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5"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606060"/>
          <w:sz w:val="16"/>
        </w:rPr>
        <w:t>DOC-LEG-001 · versión 2.0 · INTERNO · vigente</w:t>
      </w:r>
    </w:p>
    <w:p>
      <w:pPr>
        <w:pStyle w:val="Heading1"/>
      </w:pPr>
      <w:r>
        <w:t>Política de protección de datos personales</w:t>
      </w:r>
    </w:p>
    <w:p>
      <w:pPr>
        <w:pStyle w:val="Heading2"/>
      </w:pPr>
      <w:r>
        <w:t>1. Objetivo</w:t>
      </w:r>
    </w:p>
    <w:p>
      <w:r>
        <w:rPr>
          <w:b w:val="0"/>
        </w:rPr>
        <w:t>Establecer los principios y las obligaciones del banco en el tratamiento de datos personales de clientes, empleados, proveedores y terceros, en cumplimiento de la normativa de protección de datos personales aplicable.</w:t>
      </w:r>
    </w:p>
    <w:p>
      <w:pPr>
        <w:pStyle w:val="Heading2"/>
      </w:pPr>
      <w:r>
        <w:t>2. Principios</w:t>
      </w:r>
    </w:p>
    <w:p>
      <w:pPr>
        <w:pStyle w:val="ListBullet"/>
      </w:pPr>
      <w:r>
        <w:rPr>
          <w:b/>
        </w:rPr>
        <w:t>Licitud y finalidad</w:t>
      </w:r>
      <w:r>
        <w:rPr>
          <w:b w:val="0"/>
        </w:rPr>
        <w:t>: los datos se recolectan para una finalidad determinada, explícita y legítima, y no se usan para una finalidad incompatible con aquella.</w:t>
      </w:r>
    </w:p>
    <w:p>
      <w:pPr>
        <w:pStyle w:val="ListBullet"/>
      </w:pPr>
      <w:r>
        <w:rPr>
          <w:b/>
        </w:rPr>
        <w:t>Minimización</w:t>
      </w:r>
      <w:r>
        <w:rPr>
          <w:b w:val="0"/>
        </w:rPr>
        <w:t>: se recolecta el dato necesario para la finalidad, no el que resulte conveniente tener.</w:t>
      </w:r>
    </w:p>
    <w:p>
      <w:pPr>
        <w:pStyle w:val="ListBullet"/>
      </w:pPr>
      <w:r>
        <w:rPr>
          <w:b/>
        </w:rPr>
        <w:t>Exactitud</w:t>
      </w:r>
      <w:r>
        <w:rPr>
          <w:b w:val="0"/>
        </w:rPr>
        <w:t>: los datos se mantienen actualizados y se rectifican cuando se detecta un error.</w:t>
      </w:r>
    </w:p>
    <w:p>
      <w:pPr>
        <w:pStyle w:val="ListBullet"/>
      </w:pPr>
      <w:r>
        <w:rPr>
          <w:b/>
        </w:rPr>
        <w:t>Conservación limitada</w:t>
      </w:r>
      <w:r>
        <w:rPr>
          <w:b w:val="0"/>
        </w:rPr>
        <w:t>: los datos no se conservan más allá del plazo necesario o del que fija la normativa.</w:t>
      </w:r>
    </w:p>
    <w:p>
      <w:pPr>
        <w:pStyle w:val="ListBullet"/>
      </w:pPr>
      <w:r>
        <w:rPr>
          <w:b/>
        </w:rPr>
        <w:t>Seguridad</w:t>
      </w:r>
      <w:r>
        <w:rPr>
          <w:b w:val="0"/>
        </w:rPr>
        <w:t>: el tratamiento se protege con medidas técnicas y organizativas proporcionales al riesgo, que detalla la política de seguridad de la información.</w:t>
      </w:r>
    </w:p>
    <w:p>
      <w:pPr>
        <w:pStyle w:val="Heading2"/>
      </w:pPr>
      <w:r>
        <w:t>3. Datos sensibles</w:t>
      </w:r>
    </w:p>
    <w:p>
      <w:r>
        <w:rPr>
          <w:b w:val="0"/>
        </w:rPr>
        <w:t>El banco no recolecta datos sensibles salvo obligación legal o consentimiento expreso e informado del titular. Los datos biométricos utilizados para la validación de identidad reciben tratamiento de dato sensible: se almacenan como plantilla cifrada, no como imagen, y no se usan para ninguna finalidad distinta de la verificación de identidad.</w:t>
      </w:r>
    </w:p>
    <w:p>
      <w:pPr>
        <w:pStyle w:val="Heading2"/>
      </w:pPr>
      <w:r>
        <w:t>4. Derechos del titular</w:t>
      </w:r>
    </w:p>
    <w:p>
      <w:r>
        <w:rPr>
          <w:b w:val="0"/>
        </w:rPr>
        <w:t>El titular puede solicitar acceso, rectificación, actualización y supresión de sus datos. La solicitud se responde dentro del plazo legal. El derecho de supresión no alcanza a los datos que el banco debe conservar por obligación regulatoria: en ese caso se informa al titular el fundamento y el plazo.</w:t>
      </w:r>
    </w:p>
    <w:p>
      <w:pPr>
        <w:pStyle w:val="Heading2"/>
      </w:pPr>
      <w:r>
        <w:t>5. Transferencia a terceros</w:t>
      </w:r>
    </w:p>
    <w:p>
      <w:r>
        <w:rPr>
          <w:b w:val="0"/>
        </w:rPr>
        <w:t>La cesión de datos a un tercero requiere base legal o consentimiento. La contratación de un tercero que trate datos por cuenta del banco requiere contrato con cláusulas de confidencialidad, finalidad acotada, medidas de seguridad y obligación de devolución o destrucción al finalizar.</w:t>
      </w:r>
    </w:p>
    <w:p>
      <w:pPr>
        <w:pStyle w:val="Heading2"/>
      </w:pPr>
      <w:r>
        <w:t>6. Incidentes</w:t>
      </w:r>
    </w:p>
    <w:p>
      <w:r>
        <w:rPr>
          <w:b w:val="0"/>
        </w:rPr>
        <w:t>Un incidente de seguridad que afecte datos personales se trata conforme al instructivo de respuesta a incidentes, y Legales evalúa en cada caso la obligación de notificar a la autoridad de aplicación y a los titulares afectados. La evaluación se documenta siempre, aunque la conclusión sea que no corresponde notificar.</w:t>
      </w:r>
    </w:p>
    <w:p>
      <w:pPr>
        <w:pStyle w:val="Heading2"/>
      </w:pPr>
      <w:r>
        <w:t>7. Datos personales en sistemas de inteligencia artificial</w:t>
      </w:r>
    </w:p>
    <w:p>
      <w:r>
        <w:rPr>
          <w:b w:val="0"/>
        </w:rPr>
        <w:t>Los sistemas que procesen texto libre generado por usuarios —consultas, comentarios, descripciones— pueden incorporar datos personales que nadie decidió recolectar. Antes de poner en producción un sistema de esas características debe evaluarse qué datos personales podría capturar de forma incidental, por cuánto tiempo se conservan y quién accede a ellos. La evaluación la revisa Legales junto con el Oficial de Seguridad de la Información.</w:t>
      </w:r>
    </w:p>
    <w:p>
      <w:pPr>
        <w:pStyle w:val="Heading2"/>
      </w:pPr>
      <w:r>
        <w:t>8. Responsable</w:t>
      </w:r>
    </w:p>
    <w:p>
      <w:r>
        <w:rPr>
          <w:b w:val="0"/>
        </w:rPr>
        <w:t>El banco tiene designado un responsable de protección de datos personales, que interviene en la evaluación de nuevos tratamientos y es el punto de contacto con la autoridad de aplicación.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Política de protección de datos personales</dc:title>
  <dc:subject>Clasificacion: interno</dc:subject>
  <dc:creator>Banco Ejemplo S.A. — Legales</dc:creator>
  <cp:keywords>datos_personales, privacidad, politica, legales, gobierno_de_datos</cp:keywords>
  <dc:description>DOC-LEG-001 version 2.0 — estado vigente</dc:description>
  <cp:lastModifiedBy>Banco Ejemplo S.A. — Legales</cp:lastModifiedBy>
  <cp:revision>1</cp:revision>
  <dcterms:created xsi:type="dcterms:W3CDTF">2013-12-23T23:15:00Z</dcterms:created>
  <dcterms:modified xsi:type="dcterms:W3CDTF">2013-12-23T23:15:00Z</dcterms:modified>
  <cp:category>politica_interna</cp:category>
  <cp:version>2.0</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digo">
    <vt:lpwstr>DOC-LEG-001</vt:lpwstr>
  </property>
  <property fmtid="{D5CDD505-2E9C-101B-9397-08002B2CF9AE}" pid="3" name="Tipo">
    <vt:lpwstr>politica_interna</vt:lpwstr>
  </property>
  <property fmtid="{D5CDD505-2E9C-101B-9397-08002B2CF9AE}" pid="4" name="Area">
    <vt:lpwstr>Legales</vt:lpwstr>
  </property>
  <property fmtid="{D5CDD505-2E9C-101B-9397-08002B2CF9AE}" pid="5" name="Confidencialidad">
    <vt:lpwstr>interno</vt:lpwstr>
  </property>
  <property fmtid="{D5CDD505-2E9C-101B-9397-08002B2CF9AE}" pid="6" name="Version">
    <vt:lpwstr>2.0</vt:lpwstr>
  </property>
  <property fmtid="{D5CDD505-2E9C-101B-9397-08002B2CF9AE}" pid="7" name="VigenteDesde">
    <vt:lpwstr>2025-07-01</vt:lpwstr>
  </property>
  <property fmtid="{D5CDD505-2E9C-101B-9397-08002B2CF9AE}" pid="8" name="VigenteHasta">
    <vt:lpwstr/>
  </property>
  <property fmtid="{D5CDD505-2E9C-101B-9397-08002B2CF9AE}" pid="9" name="Estado">
    <vt:lpwstr>vigente</vt:lpwstr>
  </property>
  <property fmtid="{D5CDD505-2E9C-101B-9397-08002B2CF9AE}" pid="10" name="Etiquetas">
    <vt:lpwstr>datos_personales, privacidad, politica, legales, gobierno_de_datos</vt:lpwstr>
  </property>
  <property fmtid="{D5CDD505-2E9C-101B-9397-08002B2CF9AE}" pid="11" name="Relaciones">
    <vt:lpwstr>complementa DOC-TEC-021</vt:lpwstr>
  </property>
</Properties>
</file>