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color w:val="606060"/>
          <w:sz w:val="16"/>
        </w:rPr>
        <w:t>DOC-LEG-007 · versión 3.0 · INTERNO · vigente</w:t>
      </w:r>
    </w:p>
    <w:p>
      <w:pPr>
        <w:pStyle w:val="Heading1"/>
      </w:pPr>
      <w:r>
        <w:t>Política de conservación y destrucción de documentación</w:t>
      </w:r>
    </w:p>
    <w:p>
      <w:pPr>
        <w:pStyle w:val="Heading2"/>
      </w:pPr>
      <w:r>
        <w:t>1. Objetivo</w:t>
      </w:r>
    </w:p>
    <w:p>
      <w:r>
        <w:rPr>
          <w:b w:val="0"/>
        </w:rPr>
        <w:t>Definir por cuánto tiempo el banco conserva cada tipo de documentación, en qué soporte, y bajo qué condiciones puede destruirse. La conservación excesiva es un riesgo tanto como la destrucción prematura: aumenta la superficie expuesta y el costo, y contradice el principio de conservación limitada de la política de protección de datos personales.</w:t>
      </w:r>
    </w:p>
    <w:p>
      <w:pPr>
        <w:pStyle w:val="Heading2"/>
      </w:pPr>
      <w:r>
        <w:t>2. Plazos mínimos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Tipo de documentación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Plazo mínimo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Cómputo desde</w:t>
            </w:r>
          </w:p>
        </w:tc>
      </w:tr>
      <w:tr>
        <w:tc>
          <w:tcPr>
            <w:tcW w:type="dxa" w:w="2880"/>
          </w:tcPr>
          <w:p>
            <w:r>
              <w:t>Legajo de identificación de clientes</w:t>
            </w:r>
          </w:p>
        </w:tc>
        <w:tc>
          <w:tcPr>
            <w:tcW w:type="dxa" w:w="2880"/>
          </w:tcPr>
          <w:p>
            <w:r>
              <w:t>10 años</w:t>
            </w:r>
          </w:p>
        </w:tc>
        <w:tc>
          <w:tcPr>
            <w:tcW w:type="dxa" w:w="2880"/>
          </w:tcPr>
          <w:p>
            <w:r>
              <w:t>Fin de la relación</w:t>
            </w:r>
          </w:p>
        </w:tc>
      </w:tr>
      <w:tr>
        <w:tc>
          <w:tcPr>
            <w:tcW w:type="dxa" w:w="2880"/>
          </w:tcPr>
          <w:p>
            <w:r>
              <w:t>Respaldo de operaciones</w:t>
            </w:r>
          </w:p>
        </w:tc>
        <w:tc>
          <w:tcPr>
            <w:tcW w:type="dxa" w:w="2880"/>
          </w:tcPr>
          <w:p>
            <w:r>
              <w:t>10 años</w:t>
            </w:r>
          </w:p>
        </w:tc>
        <w:tc>
          <w:tcPr>
            <w:tcW w:type="dxa" w:w="2880"/>
          </w:tcPr>
          <w:p>
            <w:r>
              <w:t>Fecha de la operación</w:t>
            </w:r>
          </w:p>
        </w:tc>
      </w:tr>
      <w:tr>
        <w:tc>
          <w:tcPr>
            <w:tcW w:type="dxa" w:w="2880"/>
          </w:tcPr>
          <w:p>
            <w:r>
              <w:t>Documentación societaria de clientes</w:t>
            </w:r>
          </w:p>
        </w:tc>
        <w:tc>
          <w:tcPr>
            <w:tcW w:type="dxa" w:w="2880"/>
          </w:tcPr>
          <w:p>
            <w:r>
              <w:t>10 años</w:t>
            </w:r>
          </w:p>
        </w:tc>
        <w:tc>
          <w:tcPr>
            <w:tcW w:type="dxa" w:w="2880"/>
          </w:tcPr>
          <w:p>
            <w:r>
              <w:t>Fin de la relación</w:t>
            </w:r>
          </w:p>
        </w:tc>
      </w:tr>
      <w:tr>
        <w:tc>
          <w:tcPr>
            <w:tcW w:type="dxa" w:w="2880"/>
          </w:tcPr>
          <w:p>
            <w:r>
              <w:t>Casos de prevención de lavado</w:t>
            </w:r>
          </w:p>
        </w:tc>
        <w:tc>
          <w:tcPr>
            <w:tcW w:type="dxa" w:w="2880"/>
          </w:tcPr>
          <w:p>
            <w:r>
              <w:t>10 años</w:t>
            </w:r>
          </w:p>
        </w:tc>
        <w:tc>
          <w:tcPr>
            <w:tcW w:type="dxa" w:w="2880"/>
          </w:tcPr>
          <w:p>
            <w:r>
              <w:t>Cierre del caso</w:t>
            </w:r>
          </w:p>
        </w:tc>
      </w:tr>
      <w:tr>
        <w:tc>
          <w:tcPr>
            <w:tcW w:type="dxa" w:w="2880"/>
          </w:tcPr>
          <w:p>
            <w:r>
              <w:t>Registros de auditoría y accesos</w:t>
            </w:r>
          </w:p>
        </w:tc>
        <w:tc>
          <w:tcPr>
            <w:tcW w:type="dxa" w:w="2880"/>
          </w:tcPr>
          <w:p>
            <w:r>
              <w:t>6 años</w:t>
            </w:r>
          </w:p>
        </w:tc>
        <w:tc>
          <w:tcPr>
            <w:tcW w:type="dxa" w:w="2880"/>
          </w:tcPr>
          <w:p>
            <w:r>
              <w:t>Fecha del registro</w:t>
            </w:r>
          </w:p>
        </w:tc>
      </w:tr>
      <w:tr>
        <w:tc>
          <w:tcPr>
            <w:tcW w:type="dxa" w:w="2880"/>
          </w:tcPr>
          <w:p>
            <w:r>
              <w:t>Documentación laboral</w:t>
            </w:r>
          </w:p>
        </w:tc>
        <w:tc>
          <w:tcPr>
            <w:tcW w:type="dxa" w:w="2880"/>
          </w:tcPr>
          <w:p>
            <w:r>
              <w:t>Según normativa laboral</w:t>
            </w:r>
          </w:p>
        </w:tc>
        <w:tc>
          <w:tcPr>
            <w:tcW w:type="dxa" w:w="2880"/>
          </w:tcPr>
          <w:p>
            <w:r>
              <w:t>Fin de la relación</w:t>
            </w:r>
          </w:p>
        </w:tc>
      </w:tr>
      <w:tr>
        <w:tc>
          <w:tcPr>
            <w:tcW w:type="dxa" w:w="2880"/>
          </w:tcPr>
          <w:p>
            <w:r>
              <w:t>Normativa interna derogada</w:t>
            </w:r>
          </w:p>
        </w:tc>
        <w:tc>
          <w:tcPr>
            <w:tcW w:type="dxa" w:w="2880"/>
          </w:tcPr>
          <w:p>
            <w:r>
              <w:t>Permanente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</w:tbl>
    <w:p>
      <w:pPr>
        <w:pStyle w:val="Heading2"/>
      </w:pPr>
      <w:r>
        <w:t>3. Normativa interna derogada</w:t>
      </w:r>
    </w:p>
    <w:p>
      <w:r>
        <w:rPr>
          <w:b w:val="0"/>
        </w:rPr>
        <w:t>La normativa interna derogada se conserva sin plazo. La razón es de trazabilidad: para determinar si una actuación del pasado fue correcta hay que poder leer la norma que regía en ese momento, no la que rige hoy. Un documento derogado se conserva y se identifica como tal, pero no debe utilizarse como referencia vigente ni citarse en respuesta a una consulta operativa.</w:t>
      </w:r>
    </w:p>
    <w:p>
      <w:pPr>
        <w:pStyle w:val="Heading2"/>
      </w:pPr>
      <w:r>
        <w:t>4. Soporte</w:t>
      </w:r>
    </w:p>
    <w:p>
      <w:r>
        <w:rPr>
          <w:b w:val="0"/>
        </w:rPr>
        <w:t>La conservación en soporte digital es válida cuando el soporte garantiza integridad, inalterabilidad y legibilidad durante todo el plazo, conforme a la normativa del Banco Central sobre conservación de documentación digital (DOC-BCRA-8012). La digitalización de un documento en papel requiere el procedimiento de digitalización certificada; sin él, el papel no puede destruirse.</w:t>
      </w:r>
    </w:p>
    <w:p>
      <w:pPr>
        <w:pStyle w:val="Heading2"/>
      </w:pPr>
      <w:r>
        <w:t>5. Destrucción</w:t>
      </w:r>
    </w:p>
    <w:p>
      <w:r>
        <w:rPr>
          <w:b w:val="0"/>
        </w:rPr>
        <w:t>La destrucción se ejecuta solo después de cumplido el plazo, con autorización del área propietaria y de Legales, y se registra en un acta que identifica qué se destruyó, cuándo y quién autorizó. La destrucción sin acta se considera pérdida de documentación, no destrucción.</w:t>
      </w:r>
    </w:p>
    <w:p>
      <w:pPr>
        <w:pStyle w:val="Heading2"/>
      </w:pPr>
      <w:r>
        <w:t>6. Suspensión de la destrucción</w:t>
      </w:r>
    </w:p>
    <w:p>
      <w:r>
        <w:rPr>
          <w:b w:val="0"/>
        </w:rPr>
        <w:t>Ante un requerimiento judicial, una investigación interna en curso o una inspección del regulador, la destrucción de la documentación relacionada se suspende, aunque el plazo esté cumplido. La suspensión la comunica Legales y se levanta cuando cesa la causa.</w:t>
      </w:r>
    </w:p>
    <w:p>
      <w:pPr>
        <w:pStyle w:val="Heading2"/>
      </w:pPr>
      <w:r>
        <w:t>7. Revisión</w:t>
      </w:r>
    </w:p>
    <w:p>
      <w:r>
        <w:rPr>
          <w:b w:val="0"/>
        </w:rPr>
        <w:t>Esta política se revisa anualmente y ante cambios normativos que modifiquen algún plazo. Los plazos de esta tabla son mínimos: un área puede fundamentar la conservación por más tiempo, pero no por menos.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Política de conservación y destrucción de documentación</dc:title>
  <dc:subject>Clasificacion: interno</dc:subject>
  <dc:creator>Banco Ejemplo S.A. — Legales</dc:creator>
  <cp:keywords>conservacion, retencion, destruccion, legales, gobierno_de_datos</cp:keywords>
  <dc:description>DOC-LEG-007 version 3.0 — estado vigente</dc:description>
  <cp:lastModifiedBy>Banco Ejemplo S.A. — Legales</cp:lastModifiedBy>
  <cp:revision>1</cp:revision>
  <dcterms:created xsi:type="dcterms:W3CDTF">2013-12-23T23:15:00Z</dcterms:created>
  <dcterms:modified xsi:type="dcterms:W3CDTF">2013-12-23T23:15:00Z</dcterms:modified>
  <cp:category>politica_interna</cp:category>
  <cp:version>3.0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digo">
    <vt:lpwstr>DOC-LEG-007</vt:lpwstr>
  </property>
  <property fmtid="{D5CDD505-2E9C-101B-9397-08002B2CF9AE}" pid="3" name="Tipo">
    <vt:lpwstr>politica_interna</vt:lpwstr>
  </property>
  <property fmtid="{D5CDD505-2E9C-101B-9397-08002B2CF9AE}" pid="4" name="Area">
    <vt:lpwstr>Legales</vt:lpwstr>
  </property>
  <property fmtid="{D5CDD505-2E9C-101B-9397-08002B2CF9AE}" pid="5" name="Confidencialidad">
    <vt:lpwstr>interno</vt:lpwstr>
  </property>
  <property fmtid="{D5CDD505-2E9C-101B-9397-08002B2CF9AE}" pid="6" name="Version">
    <vt:lpwstr>3.0</vt:lpwstr>
  </property>
  <property fmtid="{D5CDD505-2E9C-101B-9397-08002B2CF9AE}" pid="7" name="VigenteDesde">
    <vt:lpwstr>2025-02-01</vt:lpwstr>
  </property>
  <property fmtid="{D5CDD505-2E9C-101B-9397-08002B2CF9AE}" pid="8" name="VigenteHasta">
    <vt:lpwstr/>
  </property>
  <property fmtid="{D5CDD505-2E9C-101B-9397-08002B2CF9AE}" pid="9" name="Estado">
    <vt:lpwstr>vigente</vt:lpwstr>
  </property>
  <property fmtid="{D5CDD505-2E9C-101B-9397-08002B2CF9AE}" pid="10" name="Etiquetas">
    <vt:lpwstr>conservacion, retencion, destruccion, legales, gobierno_de_datos</vt:lpwstr>
  </property>
  <property fmtid="{D5CDD505-2E9C-101B-9397-08002B2CF9AE}" pid="11" name="Relaciones">
    <vt:lpwstr>referencia DOC-BCRA-8012</vt:lpwstr>
  </property>
</Properties>
</file>