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DOC-OPE-001 · versión 3.1 · INTERNO · vigente</w:t>
      </w:r>
    </w:p>
    <w:p>
      <w:pPr>
        <w:pStyle w:val="Heading1"/>
      </w:pPr>
      <w:r>
        <w:t>Procedimiento de alta de cuentas para personas humanas</w:t>
      </w:r>
    </w:p>
    <w:p>
      <w:pPr>
        <w:pStyle w:val="Heading2"/>
      </w:pPr>
      <w:r>
        <w:t>1. Objetivo y alcance</w:t>
      </w:r>
    </w:p>
    <w:p>
      <w:r>
        <w:rPr>
          <w:b w:val="0"/>
        </w:rPr>
        <w:t>Describe los pasos operativos del alta de una caja de ahorro o cuenta corriente a nombre de una persona humana, desde la recepción de la solicitud hasta la habilitación de la cuenta para operar. Aplica a las altas presenciales en sucursal y a las iniciadas por canal digital.</w:t>
      </w:r>
    </w:p>
    <w:p>
      <w:pPr>
        <w:pStyle w:val="Heading2"/>
      </w:pPr>
      <w:r>
        <w:t>2. Requisitos previos</w:t>
      </w:r>
    </w:p>
    <w:p>
      <w:r>
        <w:rPr>
          <w:b w:val="0"/>
        </w:rPr>
        <w:t>El alta no comienza hasta que el proceso de conocimiento del cliente (DOC-CMP-005) esté completo. Este procedimiento asume ese proceso terminado: no lo reemplaza ni lo resume. Una cuenta abierta con el legajo incompleto queda inhabilitada para operar hasta su regularización.</w:t>
      </w:r>
    </w:p>
    <w:p>
      <w:pPr>
        <w:pStyle w:val="Heading2"/>
      </w:pPr>
      <w:r>
        <w:t>3. Pasos</w:t>
      </w:r>
    </w:p>
    <w:p>
      <w:pPr>
        <w:pStyle w:val="ListNumber"/>
      </w:pPr>
      <w:r>
        <w:rPr>
          <w:b w:val="0"/>
        </w:rPr>
        <w:t>Verificación de que el legajo de conocimiento del cliente está completo y aprobado.</w:t>
      </w:r>
    </w:p>
    <w:p>
      <w:pPr>
        <w:pStyle w:val="ListNumber"/>
      </w:pPr>
      <w:r>
        <w:rPr>
          <w:b w:val="0"/>
        </w:rPr>
        <w:t>Selección del producto y de la modalidad de mantenimiento según el perfil del cliente.</w:t>
      </w:r>
    </w:p>
    <w:p>
      <w:pPr>
        <w:pStyle w:val="ListNumber"/>
      </w:pPr>
      <w:r>
        <w:rPr>
          <w:b w:val="0"/>
        </w:rPr>
        <w:t>Registro de los datos de contacto y de la modalidad de recepción de resúmenes.</w:t>
      </w:r>
    </w:p>
    <w:p>
      <w:pPr>
        <w:pStyle w:val="ListNumber"/>
      </w:pPr>
      <w:r>
        <w:rPr>
          <w:b w:val="0"/>
        </w:rPr>
        <w:t>Generación del número de cuenta y de la clave bancaria uniforme.</w:t>
      </w:r>
    </w:p>
    <w:p>
      <w:pPr>
        <w:pStyle w:val="ListNumber"/>
      </w:pPr>
      <w:r>
        <w:rPr>
          <w:b w:val="0"/>
        </w:rPr>
        <w:t>Emisión de la tarjeta de débito, si corresponde al producto.</w:t>
      </w:r>
    </w:p>
    <w:p>
      <w:pPr>
        <w:pStyle w:val="ListNumber"/>
      </w:pPr>
      <w:r>
        <w:rPr>
          <w:b w:val="0"/>
        </w:rPr>
        <w:t>Firma del contrato de apertura y entrega de copia al cliente.</w:t>
      </w:r>
    </w:p>
    <w:p>
      <w:pPr>
        <w:pStyle w:val="ListNumber"/>
      </w:pPr>
      <w:r>
        <w:rPr>
          <w:b w:val="0"/>
        </w:rPr>
        <w:t>Habilitación de la cuenta para operar.</w:t>
      </w:r>
    </w:p>
    <w:p>
      <w:pPr>
        <w:pStyle w:val="Heading2"/>
      </w:pPr>
      <w:r>
        <w:t>4. Firma del contrato</w:t>
      </w:r>
    </w:p>
    <w:p>
      <w:r>
        <w:rPr>
          <w:b w:val="0"/>
        </w:rPr>
        <w:t>El contrato se firma en el mismo acto del alta. En canal digital, la firma electrónica se perfecciona con el segundo factor del cliente y queda registrada con su sello de tiempo. Un alta sin contrato firmado no puede habilitarse: el sistema lo impide y no existe excepción operativa.</w:t>
      </w:r>
    </w:p>
    <w:p>
      <w:pPr>
        <w:pStyle w:val="Heading2"/>
      </w:pPr>
      <w:r>
        <w:t>5. Entrega de documentación al cliente</w:t>
      </w:r>
    </w:p>
    <w:p>
      <w:r>
        <w:rPr>
          <w:b w:val="0"/>
        </w:rPr>
        <w:t>Se entrega copia del contrato, el detalle de comisiones vigentes y la información sobre el régimen de garantía de los depósitos. La entrega es obligatoria y se registra; su omisión es motivo frecuente de reclamos y de observaciones del regulador.</w:t>
      </w:r>
    </w:p>
    <w:p>
      <w:pPr>
        <w:pStyle w:val="Heading2"/>
      </w:pPr>
      <w:r>
        <w:t>6. Cuentas de apertura gratuita</w:t>
      </w:r>
    </w:p>
    <w:p>
      <w:r>
        <w:rPr>
          <w:b w:val="0"/>
        </w:rPr>
        <w:t>La cuenta gratuita universal se abre sin costo de apertura ni de mantenimiento y no puede condicionarse a la contratación de ningún otro producto. El personal de atención no debe ofrecer alternativas pagas cuando el cliente solicita expresamente esta cuenta.</w:t>
      </w:r>
    </w:p>
    <w:p>
      <w:pPr>
        <w:pStyle w:val="Heading2"/>
      </w:pPr>
      <w:r>
        <w:t>7. Rechazo del alta</w:t>
      </w:r>
    </w:p>
    <w:p>
      <w:r>
        <w:rPr>
          <w:b w:val="0"/>
        </w:rPr>
        <w:t>El rechazo se comunica al cliente sin detallar el motivo cuando la causa está vinculada al análisis de prevención de lavado, en cumplimiento del deber de reserva. En cualquier otro caso —documentación incompleta, producto no disponible para el perfil— el motivo se informa.</w:t>
      </w:r>
    </w:p>
    <w:p>
      <w:pPr>
        <w:pStyle w:val="Heading2"/>
      </w:pPr>
      <w:r>
        <w:t>8. Registro</w:t>
      </w:r>
    </w:p>
    <w:p>
      <w:r>
        <w:rPr>
          <w:b w:val="0"/>
        </w:rPr>
        <w:t>Toda alta, aprobada o rechazada, queda registrada con el operador interviniente, la sucursal o el canal, y la fecha. Es la base sobre la que Auditoría Interna revisa el proceso de originación de cuentas.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alta de cuentas para personas humanas</dc:title>
  <dc:subject>Clasificacion: interno</dc:subject>
  <dc:creator>Banco Ejemplo S.A. — Operaciones</dc:creator>
  <cp:keywords>onboarding, cuentas, kyc, operaciones, procedimiento</cp:keywords>
  <dc:description>DOC-OPE-001 version 3.1 — estado vigente</dc:description>
  <cp:lastModifiedBy>Banco Ejemplo S.A. — Operaciones</cp:lastModifiedBy>
  <cp:revision>1</cp:revision>
  <dcterms:created xsi:type="dcterms:W3CDTF">2013-12-23T23:15:00Z</dcterms:created>
  <dcterms:modified xsi:type="dcterms:W3CDTF">2013-12-23T23:15:00Z</dcterms:modified>
  <cp:category>procedimiento</cp:category>
  <cp:version>3.1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DOC-OPE-001</vt:lpwstr>
  </property>
  <property fmtid="{D5CDD505-2E9C-101B-9397-08002B2CF9AE}" pid="3" name="Tipo">
    <vt:lpwstr>procedimiento</vt:lpwstr>
  </property>
  <property fmtid="{D5CDD505-2E9C-101B-9397-08002B2CF9AE}" pid="4" name="Area">
    <vt:lpwstr>Operaciones</vt:lpwstr>
  </property>
  <property fmtid="{D5CDD505-2E9C-101B-9397-08002B2CF9AE}" pid="5" name="Confidencialidad">
    <vt:lpwstr>interno</vt:lpwstr>
  </property>
  <property fmtid="{D5CDD505-2E9C-101B-9397-08002B2CF9AE}" pid="6" name="Version">
    <vt:lpwstr>3.1</vt:lpwstr>
  </property>
  <property fmtid="{D5CDD505-2E9C-101B-9397-08002B2CF9AE}" pid="7" name="VigenteDesde">
    <vt:lpwstr>2025-10-01</vt:lpwstr>
  </property>
  <property fmtid="{D5CDD505-2E9C-101B-9397-08002B2CF9AE}" pid="8" name="VigenteHasta">
    <vt:lpwstr/>
  </property>
  <property fmtid="{D5CDD505-2E9C-101B-9397-08002B2CF9AE}" pid="9" name="Estado">
    <vt:lpwstr>vigente</vt:lpwstr>
  </property>
  <property fmtid="{D5CDD505-2E9C-101B-9397-08002B2CF9AE}" pid="10" name="Etiquetas">
    <vt:lpwstr>onboarding, cuentas, kyc, operaciones, procedimiento</vt:lpwstr>
  </property>
  <property fmtid="{D5CDD505-2E9C-101B-9397-08002B2CF9AE}" pid="11" name="Relaciones">
    <vt:lpwstr>referencia DOC-CMP-005</vt:lpwstr>
  </property>
</Properties>
</file>