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06060"/>
          <w:sz w:val="16"/>
        </w:rPr>
        <w:t>DOC-TEC-011 · versión 1.3 · INTERNO · vigente</w:t>
      </w:r>
    </w:p>
    <w:p>
      <w:pPr>
        <w:pStyle w:val="Heading1"/>
      </w:pPr>
      <w:r>
        <w:t>Política de copias de resguardo y continuidad operativa</w:t>
      </w:r>
    </w:p>
    <w:p>
      <w:pPr>
        <w:pStyle w:val="Heading2"/>
      </w:pPr>
      <w:r>
        <w:t>1. Objetivo</w:t>
      </w:r>
    </w:p>
    <w:p>
      <w:r>
        <w:rPr>
          <w:b w:val="0"/>
        </w:rPr>
        <w:t>Asegurar que la información del banco pueda recuperarse ante una pérdida, corrupción o indisponibilidad, y que los servicios esenciales puedan sostenerse ante una interrupción del centro de cómputos principal.</w:t>
      </w:r>
    </w:p>
    <w:p>
      <w:pPr>
        <w:pStyle w:val="Heading2"/>
      </w:pPr>
      <w:r>
        <w:t>2. Clasificación de sistemas</w:t>
      </w:r>
    </w:p>
    <w:p>
      <w:r>
        <w:rPr>
          <w:b w:val="0"/>
        </w:rPr>
        <w:t>Los sistemas se clasifican en tres niveles de criticidad, y de esa clasificación se derivan los objetivos de recuperación: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Criticidad</w:t>
            </w:r>
          </w:p>
        </w:tc>
        <w:tc>
          <w:tcPr>
            <w:tcW w:type="dxa" w:w="2160"/>
          </w:tcPr>
          <w:p>
            <w:r>
              <w:rPr>
                <w:b/>
              </w:rPr>
              <w:t>Ejemplos</w:t>
            </w:r>
          </w:p>
        </w:tc>
        <w:tc>
          <w:tcPr>
            <w:tcW w:type="dxa" w:w="2160"/>
          </w:tcPr>
          <w:p>
            <w:r>
              <w:rPr>
                <w:b/>
              </w:rPr>
              <w:t>Tiempo objetivo de recuperación</w:t>
            </w:r>
          </w:p>
        </w:tc>
        <w:tc>
          <w:tcPr>
            <w:tcW w:type="dxa" w:w="2160"/>
          </w:tcPr>
          <w:p>
            <w:r>
              <w:rPr>
                <w:b/>
              </w:rPr>
              <w:t>Pérdida máxima admitida</w:t>
            </w:r>
          </w:p>
        </w:tc>
      </w:tr>
      <w:tr>
        <w:tc>
          <w:tcPr>
            <w:tcW w:type="dxa" w:w="2160"/>
          </w:tcPr>
          <w:p>
            <w:r>
              <w:t>Esencial</w:t>
            </w:r>
          </w:p>
        </w:tc>
        <w:tc>
          <w:tcPr>
            <w:tcW w:type="dxa" w:w="2160"/>
          </w:tcPr>
          <w:p>
            <w:r>
              <w:t>Núcleo bancario, canales digitales, pagos</w:t>
            </w:r>
          </w:p>
        </w:tc>
        <w:tc>
          <w:tcPr>
            <w:tcW w:type="dxa" w:w="2160"/>
          </w:tcPr>
          <w:p>
            <w:r>
              <w:t>4 horas</w:t>
            </w:r>
          </w:p>
        </w:tc>
        <w:tc>
          <w:tcPr>
            <w:tcW w:type="dxa" w:w="2160"/>
          </w:tcPr>
          <w:p>
            <w:r>
              <w:t>15 minutos</w:t>
            </w:r>
          </w:p>
        </w:tc>
      </w:tr>
      <w:tr>
        <w:tc>
          <w:tcPr>
            <w:tcW w:type="dxa" w:w="2160"/>
          </w:tcPr>
          <w:p>
            <w:r>
              <w:t>Importante</w:t>
            </w:r>
          </w:p>
        </w:tc>
        <w:tc>
          <w:tcPr>
            <w:tcW w:type="dxa" w:w="2160"/>
          </w:tcPr>
          <w:p>
            <w:r>
              <w:t>Gestión documental, originación de créditos</w:t>
            </w:r>
          </w:p>
        </w:tc>
        <w:tc>
          <w:tcPr>
            <w:tcW w:type="dxa" w:w="2160"/>
          </w:tcPr>
          <w:p>
            <w:r>
              <w:t>24 horas</w:t>
            </w:r>
          </w:p>
        </w:tc>
        <w:tc>
          <w:tcPr>
            <w:tcW w:type="dxa" w:w="2160"/>
          </w:tcPr>
          <w:p>
            <w:r>
              <w:t>4 horas</w:t>
            </w:r>
          </w:p>
        </w:tc>
      </w:tr>
      <w:tr>
        <w:tc>
          <w:tcPr>
            <w:tcW w:type="dxa" w:w="2160"/>
          </w:tcPr>
          <w:p>
            <w:r>
              <w:t>Común</w:t>
            </w:r>
          </w:p>
        </w:tc>
        <w:tc>
          <w:tcPr>
            <w:tcW w:type="dxa" w:w="2160"/>
          </w:tcPr>
          <w:p>
            <w:r>
              <w:t>Herramientas internas de apoyo</w:t>
            </w:r>
          </w:p>
        </w:tc>
        <w:tc>
          <w:tcPr>
            <w:tcW w:type="dxa" w:w="2160"/>
          </w:tcPr>
          <w:p>
            <w:r>
              <w:t>72 horas</w:t>
            </w:r>
          </w:p>
        </w:tc>
        <w:tc>
          <w:tcPr>
            <w:tcW w:type="dxa" w:w="2160"/>
          </w:tcPr>
          <w:p>
            <w:r>
              <w:t>24 horas</w:t>
            </w:r>
          </w:p>
        </w:tc>
      </w:tr>
    </w:tbl>
    <w:p>
      <w:pPr>
        <w:pStyle w:val="Heading2"/>
      </w:pPr>
      <w:r>
        <w:t>3. Esquema de copias</w:t>
      </w:r>
    </w:p>
    <w:p>
      <w:r>
        <w:rPr>
          <w:b w:val="0"/>
        </w:rPr>
        <w:t>Los sistemas esenciales tienen copia continua replicada al centro alternativo y copia diaria completa retenida por 30 días. Los sistemas importantes tienen copia diaria incremental y semanal completa. Los comunes, copia semanal completa.</w:t>
      </w:r>
    </w:p>
    <w:p>
      <w:pPr>
        <w:pStyle w:val="Heading2"/>
      </w:pPr>
      <w:r>
        <w:t>4. Verificación de restauración</w:t>
      </w:r>
    </w:p>
    <w:p>
      <w:r>
        <w:rPr>
          <w:b w:val="0"/>
        </w:rPr>
        <w:t>Una copia que nunca se restauró no es una copia: es un archivo. Se ejecutan pruebas de restauración con periodicidad trimestral para los sistemas esenciales y semestral para el resto. El resultado de cada prueba se registra, incluidas las fallidas, que generan un plan de acción.</w:t>
      </w:r>
    </w:p>
    <w:p>
      <w:pPr>
        <w:pStyle w:val="Heading2"/>
      </w:pPr>
      <w:r>
        <w:t>5. Cifrado y custodia</w:t>
      </w:r>
    </w:p>
    <w:p>
      <w:r>
        <w:rPr>
          <w:b w:val="0"/>
        </w:rPr>
        <w:t>Las copias se cifran en reposo y en tránsito. Los medios que salen del centro de cómputos viajan bajo el procedimiento de traslado de valores del banco. Las claves de cifrado se custodian separadas de los medios: quien tiene acceso al medio no tiene acceso a la clave.</w:t>
      </w:r>
    </w:p>
    <w:p>
      <w:pPr>
        <w:pStyle w:val="Heading2"/>
      </w:pPr>
      <w:r>
        <w:t>6. Continuidad operativa</w:t>
      </w:r>
    </w:p>
    <w:p>
      <w:r>
        <w:rPr>
          <w:b w:val="0"/>
        </w:rPr>
        <w:t>El plan de continuidad se prueba una vez al año con una simulación que incluye el traslado de la operación al centro alternativo. La prueba se realiza en horario de baja actividad y con participación de las áreas de negocio, no solo de Tecnología: un plan probado únicamente por el equipo técnico no valida que el negocio pueda operar.</w:t>
      </w:r>
    </w:p>
    <w:p>
      <w:pPr>
        <w:pStyle w:val="Heading2"/>
      </w:pPr>
      <w:r>
        <w:t>7. Retención</w:t>
      </w:r>
    </w:p>
    <w:p>
      <w:r>
        <w:rPr>
          <w:b w:val="0"/>
        </w:rPr>
        <w:t>Los plazos de retención de las copias no reemplazan a los plazos de conservación documental fijados en DOC-LEG-007. Una copia de resguardo es un mecanismo de recuperación, no un archivo legal.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copias de resguardo y continuidad operativa</dc:title>
  <dc:subject>Clasificacion: interno</dc:subject>
  <dc:creator>Banco Ejemplo S.A. — Tecnología</dc:creator>
  <cp:keywords>continuidad_operativa, resguardo, politica, infraestructura</cp:keywords>
  <dc:description>DOC-TEC-011 version 1.3 — estado vigente</dc:description>
  <cp:lastModifiedBy>Banco Ejemplo S.A. — Tecnología</cp:lastModifiedBy>
  <cp:revision>1</cp:revision>
  <dcterms:created xsi:type="dcterms:W3CDTF">2013-12-23T23:15:00Z</dcterms:created>
  <dcterms:modified xsi:type="dcterms:W3CDTF">2013-12-23T23:15:00Z</dcterms:modified>
  <cp:category>politica_interna</cp:category>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go">
    <vt:lpwstr>DOC-TEC-011</vt:lpwstr>
  </property>
  <property fmtid="{D5CDD505-2E9C-101B-9397-08002B2CF9AE}" pid="3" name="Tipo">
    <vt:lpwstr>politica_interna</vt:lpwstr>
  </property>
  <property fmtid="{D5CDD505-2E9C-101B-9397-08002B2CF9AE}" pid="4" name="Area">
    <vt:lpwstr>Tecnología</vt:lpwstr>
  </property>
  <property fmtid="{D5CDD505-2E9C-101B-9397-08002B2CF9AE}" pid="5" name="Confidencialidad">
    <vt:lpwstr>interno</vt:lpwstr>
  </property>
  <property fmtid="{D5CDD505-2E9C-101B-9397-08002B2CF9AE}" pid="6" name="Version">
    <vt:lpwstr>1.3</vt:lpwstr>
  </property>
  <property fmtid="{D5CDD505-2E9C-101B-9397-08002B2CF9AE}" pid="7" name="VigenteDesde">
    <vt:lpwstr>2025-01-15</vt:lpwstr>
  </property>
  <property fmtid="{D5CDD505-2E9C-101B-9397-08002B2CF9AE}" pid="8" name="VigenteHasta">
    <vt:lpwstr/>
  </property>
  <property fmtid="{D5CDD505-2E9C-101B-9397-08002B2CF9AE}" pid="9" name="Estado">
    <vt:lpwstr>vigente</vt:lpwstr>
  </property>
  <property fmtid="{D5CDD505-2E9C-101B-9397-08002B2CF9AE}" pid="10" name="Etiquetas">
    <vt:lpwstr>continuidad_operativa, resguardo, politica, infraestructura</vt:lpwstr>
  </property>
  <property fmtid="{D5CDD505-2E9C-101B-9397-08002B2CF9AE}" pid="11" name="Relaciones">
    <vt:lpwstr/>
  </property>
</Properties>
</file>