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b/>
          <w:i w:val="0"/>
          <w:color w:val="000000"/>
          <w:sz w:val="60"/>
        </w:rPr>
        <w:t>Apophenia Total Capture User Guide</w:t>
      </w:r>
    </w:p>
    <w:p>
      <w:r>
        <w:rPr>
          <w:rFonts w:ascii="Aptos" w:hAnsi="Aptos"/>
          <w:b w:val="0"/>
          <w:i w:val="0"/>
          <w:color w:val="535A69"/>
          <w:sz w:val="28"/>
        </w:rPr>
        <w:t>What the app records, how authorization works, what stays local, and how to export for people and machines</w:t>
      </w:r>
    </w:p>
    <w:p>
      <w:r>
        <w:rPr>
          <w:rFonts w:ascii="Aptos" w:hAnsi="Aptos"/>
          <w:b w:val="0"/>
          <w:i w:val="0"/>
          <w:color w:val="111318"/>
          <w:sz w:val="22"/>
        </w:rPr>
        <w:t>Apophenia is a personal Android and Garmin black box for reconstructing the circumstances around a timestamped event. The operator logs the moment; the software freezes only the context that was deliberately authorized.</w:t>
      </w:r>
    </w:p>
    <w:p>
      <w:r>
        <w:rPr>
          <w:rFonts w:ascii="Aptos" w:hAnsi="Aptos"/>
          <w:b/>
          <w:i w:val="0"/>
          <w:color w:val="111318"/>
          <w:sz w:val="22"/>
        </w:rPr>
        <w:t xml:space="preserve">The privacy bargain. </w:t>
      </w:r>
      <w:r>
        <w:rPr>
          <w:rFonts w:ascii="Aptos" w:hAnsi="Aptos"/>
          <w:b w:val="0"/>
          <w:i w:val="0"/>
          <w:color w:val="111318"/>
          <w:sz w:val="22"/>
        </w:rPr>
        <w:t>It can be maximum invasive when everything is authorized and armed. That is the capability ceiling, not the default. There is no account, analytics SDK, automatic cloud sync, or background uploader. Data stays local until an export is built, verified, previewed, and deliberately routed.</w:t>
      </w:r>
    </w:p>
    <w:p>
      <w:pPr>
        <w:keepNext/>
        <w:jc w:val="center"/>
      </w:pPr>
      <w:r>
        <w:drawing>
          <wp:inline xmlns:a="http://schemas.openxmlformats.org/drawingml/2006/main" xmlns:pic="http://schemas.openxmlformats.org/drawingml/2006/picture">
            <wp:extent cx="1920240" cy="4267200"/>
            <wp:docPr id="1" name="Picture 1" descr="Apophenia capture screen with THAT WAS WEIRD, five VIBE choices, egress, and the live status strip"/>
            <wp:cNvGraphicFramePr>
              <a:graphicFrameLocks noChangeAspect="1"/>
            </wp:cNvGraphicFramePr>
            <a:graphic>
              <a:graphicData uri="http://schemas.openxmlformats.org/drawingml/2006/picture">
                <pic:pic>
                  <pic:nvPicPr>
                    <pic:cNvPr id="0" name="apophenia-home-v03.png"/>
                    <pic:cNvPicPr/>
                  </pic:nvPicPr>
                  <pic:blipFill>
                    <a:blip r:embed="rId9"/>
                    <a:stretch>
                      <a:fillRect/>
                    </a:stretch>
                  </pic:blipFill>
                  <pic:spPr>
                    <a:xfrm>
                      <a:off x="0" y="0"/>
                      <a:ext cx="1920240" cy="4267200"/>
                    </a:xfrm>
                    <a:prstGeom prst="rect"/>
                  </pic:spPr>
                </pic:pic>
              </a:graphicData>
            </a:graphic>
          </wp:inline>
        </w:drawing>
      </w:r>
    </w:p>
    <w:p>
      <w:pPr>
        <w:spacing w:after="180"/>
        <w:jc w:val="center"/>
      </w:pPr>
      <w:r>
        <w:rPr>
          <w:rFonts w:ascii="Aptos" w:hAnsi="Aptos"/>
          <w:b w:val="0"/>
          <w:i/>
          <w:color w:val="535A69"/>
          <w:sz w:val="18"/>
        </w:rPr>
        <w:t>Current debug application on an Android emulator. The event timestamp is saved before context enrichment.</w:t>
      </w:r>
    </w:p>
    <w:p>
      <w:r>
        <w:br w:type="page"/>
      </w:r>
    </w:p>
    <w:p>
      <w:pPr>
        <w:pStyle w:val="Heading1"/>
      </w:pPr>
      <w:r>
        <w:t>What the app is</w:t>
      </w:r>
    </w:p>
    <w:p>
      <w:r>
        <w:rPr>
          <w:rFonts w:ascii="Aptos" w:hAnsi="Aptos"/>
          <w:b w:val="0"/>
          <w:i w:val="0"/>
          <w:color w:val="111318"/>
          <w:sz w:val="22"/>
        </w:rPr>
        <w:t>The instrument is designed to answer a bounded question: what phone, environmental, radio, physiological, vehicle, aircraft, and audiovisual circumstances were present around the observation? It stores observations as descriptions and keeps hypotheses and evaluations separate.</w:t>
      </w:r>
    </w:p>
    <w:p>
      <w:r>
        <w:rPr>
          <w:rFonts w:ascii="Aptos" w:hAnsi="Aptos"/>
          <w:b w:val="0"/>
          <w:i w:val="0"/>
          <w:color w:val="111318"/>
          <w:sz w:val="22"/>
        </w:rPr>
        <w:t>Four controls must not be conflated:</w:t>
      </w:r>
    </w:p>
    <w:p>
      <w:pPr>
        <w:pStyle w:val="ListNumber"/>
        <w:spacing w:after="80"/>
      </w:pPr>
      <w:r>
        <w:rPr>
          <w:rFonts w:ascii="Aptos" w:hAnsi="Aptos"/>
          <w:b w:val="0"/>
          <w:i w:val="0"/>
          <w:color w:val="111318"/>
          <w:sz w:val="22"/>
        </w:rPr>
        <w:t>The named Apophenia gate authorizes a capability.</w:t>
      </w:r>
    </w:p>
    <w:p>
      <w:pPr>
        <w:pStyle w:val="ListNumber"/>
        <w:spacing w:after="80"/>
      </w:pPr>
      <w:r>
        <w:rPr>
          <w:rFonts w:ascii="Aptos" w:hAnsi="Aptos"/>
          <w:b w:val="0"/>
          <w:i w:val="0"/>
          <w:color w:val="111318"/>
          <w:sz w:val="22"/>
        </w:rPr>
        <w:t>Android permission or MediaProjection consent is granted separately where required.</w:t>
      </w:r>
    </w:p>
    <w:p>
      <w:pPr>
        <w:pStyle w:val="ListNumber"/>
        <w:spacing w:after="80"/>
      </w:pPr>
      <w:r>
        <w:rPr>
          <w:rFonts w:ascii="Aptos" w:hAnsi="Aptos"/>
          <w:b w:val="0"/>
          <w:i w:val="0"/>
          <w:color w:val="111318"/>
          <w:sz w:val="22"/>
        </w:rPr>
        <w:t>A drive, flight, control-link, RF, microphone, camera, or screen session is started explicitly where the channel has a live state.</w:t>
      </w:r>
    </w:p>
    <w:p>
      <w:pPr>
        <w:pStyle w:val="ListNumber"/>
        <w:spacing w:after="80"/>
      </w:pPr>
      <w:r>
        <w:rPr>
          <w:rFonts w:ascii="Aptos" w:hAnsi="Aptos"/>
          <w:b w:val="0"/>
          <w:i w:val="0"/>
          <w:color w:val="111318"/>
          <w:sz w:val="22"/>
        </w:rPr>
        <w:t>An export remains local through preparation and manifest preview; only an explicit route crosses the app boundary.</w:t>
      </w:r>
    </w:p>
    <w:p>
      <w:r>
        <w:rPr>
          <w:rFonts w:ascii="Aptos" w:hAnsi="Aptos"/>
          <w:b/>
          <w:i w:val="0"/>
          <w:color w:val="111318"/>
          <w:sz w:val="22"/>
        </w:rPr>
        <w:t xml:space="preserve">Evidence boundary. </w:t>
      </w:r>
      <w:r>
        <w:rPr>
          <w:rFonts w:ascii="Aptos" w:hAnsi="Aptos"/>
          <w:b w:val="0"/>
          <w:i w:val="0"/>
          <w:color w:val="111318"/>
          <w:sz w:val="22"/>
        </w:rPr>
        <w:t>Gate presence or simulator success does not prove that hardware exists, that Android exposes the channel, that a recording is live, or that a physical result has been validated.</w:t>
      </w:r>
    </w:p>
    <w:p>
      <w:r>
        <w:br w:type="page"/>
      </w:r>
    </w:p>
    <w:p>
      <w:pPr>
        <w:pStyle w:val="Heading1"/>
      </w:pPr>
      <w:r>
        <w:t>Capture a moment</w:t>
      </w:r>
    </w:p>
    <w:p>
      <w:pPr>
        <w:keepNext/>
        <w:jc w:val="center"/>
      </w:pPr>
      <w:r>
        <w:drawing>
          <wp:inline xmlns:a="http://schemas.openxmlformats.org/drawingml/2006/main" xmlns:pic="http://schemas.openxmlformats.org/drawingml/2006/picture">
            <wp:extent cx="4160520" cy="4836649"/>
            <wp:docPr id="2" name="Picture 2" descr="Annotated capture screen with arrows to live status, timestamp-first logging, and the distinct egress event"/>
            <wp:cNvGraphicFramePr>
              <a:graphicFrameLocks noChangeAspect="1"/>
            </wp:cNvGraphicFramePr>
            <a:graphic>
              <a:graphicData uri="http://schemas.openxmlformats.org/drawingml/2006/picture">
                <pic:pic>
                  <pic:nvPicPr>
                    <pic:cNvPr id="0" name="apophenia-home-annotated-v03.png"/>
                    <pic:cNvPicPr/>
                  </pic:nvPicPr>
                  <pic:blipFill>
                    <a:blip r:embed="rId10"/>
                    <a:stretch>
                      <a:fillRect/>
                    </a:stretch>
                  </pic:blipFill>
                  <pic:spPr>
                    <a:xfrm>
                      <a:off x="0" y="0"/>
                      <a:ext cx="4160520" cy="4836649"/>
                    </a:xfrm>
                    <a:prstGeom prst="rect"/>
                  </pic:spPr>
                </pic:pic>
              </a:graphicData>
            </a:graphic>
          </wp:inline>
        </w:drawing>
      </w:r>
    </w:p>
    <w:p>
      <w:pPr>
        <w:spacing w:after="180"/>
        <w:jc w:val="center"/>
      </w:pPr>
      <w:r>
        <w:rPr>
          <w:rFonts w:ascii="Aptos" w:hAnsi="Aptos"/>
          <w:b w:val="0"/>
          <w:i/>
          <w:color w:val="535A69"/>
          <w:sz w:val="18"/>
        </w:rPr>
        <w:t>The source UI is an emulator capture; arrows and labels are documentation overlays.</w:t>
      </w:r>
    </w:p>
    <w:p>
      <w:pPr>
        <w:pStyle w:val="ListBullet"/>
        <w:spacing w:after="80"/>
      </w:pPr>
      <w:r>
        <w:rPr>
          <w:rFonts w:ascii="Aptos" w:hAnsi="Aptos"/>
          <w:b w:val="0"/>
          <w:i w:val="0"/>
          <w:color w:val="111318"/>
          <w:sz w:val="22"/>
        </w:rPr>
        <w:t>THAT WAS WEIRD saves the tap time first and enriches it with authorized context afterward.</w:t>
      </w:r>
    </w:p>
    <w:p>
      <w:pPr>
        <w:pStyle w:val="ListBullet"/>
        <w:spacing w:after="80"/>
      </w:pPr>
      <w:r>
        <w:rPr>
          <w:rFonts w:ascii="Aptos" w:hAnsi="Aptos"/>
          <w:b w:val="0"/>
          <w:i w:val="0"/>
          <w:color w:val="111318"/>
          <w:sz w:val="22"/>
        </w:rPr>
        <w:t>VIBE records a one-tap ordinal state from 1 through 5; holding opens an optional note without moving the event time.</w:t>
      </w:r>
    </w:p>
    <w:p>
      <w:pPr>
        <w:pStyle w:val="ListBullet"/>
        <w:spacing w:after="80"/>
      </w:pPr>
      <w:r>
        <w:rPr>
          <w:rFonts w:ascii="Aptos" w:hAnsi="Aptos"/>
          <w:b w:val="0"/>
          <w:i w:val="0"/>
          <w:color w:val="111318"/>
          <w:sz w:val="22"/>
        </w:rPr>
        <w:t>NOPE, I'M OUT records VIBE 5 with egress=true, preserving the difference between leaving and staying.</w:t>
      </w:r>
    </w:p>
    <w:p>
      <w:pPr>
        <w:pStyle w:val="ListBullet"/>
        <w:spacing w:after="80"/>
      </w:pPr>
      <w:r>
        <w:rPr>
          <w:rFonts w:ascii="Aptos" w:hAnsi="Aptos"/>
          <w:b w:val="0"/>
          <w:i w:val="0"/>
          <w:color w:val="111318"/>
          <w:sz w:val="22"/>
        </w:rPr>
        <w:t>The status strip distinguishes authorized gate count from AV rings that are actually live.</w:t>
      </w:r>
    </w:p>
    <w:p>
      <w:r>
        <w:br w:type="page"/>
      </w:r>
    </w:p>
    <w:p>
      <w:pPr>
        <w:pStyle w:val="Heading1"/>
      </w:pPr>
      <w:r>
        <w:t>Choose how invasive the session should be</w:t>
      </w:r>
    </w:p>
    <w:p>
      <w:pPr>
        <w:keepNext/>
        <w:jc w:val="center"/>
      </w:pPr>
      <w:r>
        <w:drawing>
          <wp:inline xmlns:a="http://schemas.openxmlformats.org/drawingml/2006/main" xmlns:pic="http://schemas.openxmlformats.org/drawingml/2006/picture">
            <wp:extent cx="6126480" cy="4084320"/>
            <wp:docPr id="3" name="Picture 3" descr="Annotated Settings screen with arrows to TOTAL_EVIDENCE, the permission boundary, and the FIELD preset"/>
            <wp:cNvGraphicFramePr>
              <a:graphicFrameLocks noChangeAspect="1"/>
            </wp:cNvGraphicFramePr>
            <a:graphic>
              <a:graphicData uri="http://schemas.openxmlformats.org/drawingml/2006/picture">
                <pic:pic>
                  <pic:nvPicPr>
                    <pic:cNvPr id="0" name="apophenia-settings-annotated-v03.png"/>
                    <pic:cNvPicPr/>
                  </pic:nvPicPr>
                  <pic:blipFill>
                    <a:blip r:embed="rId11"/>
                    <a:stretch>
                      <a:fillRect/>
                    </a:stretch>
                  </pic:blipFill>
                  <pic:spPr>
                    <a:xfrm>
                      <a:off x="0" y="0"/>
                      <a:ext cx="6126480" cy="4084320"/>
                    </a:xfrm>
                    <a:prstGeom prst="rect"/>
                  </pic:spPr>
                </pic:pic>
              </a:graphicData>
            </a:graphic>
          </wp:inline>
        </w:drawing>
      </w:r>
    </w:p>
    <w:p>
      <w:pPr>
        <w:spacing w:after="180"/>
        <w:jc w:val="center"/>
      </w:pPr>
      <w:r>
        <w:rPr>
          <w:rFonts w:ascii="Aptos" w:hAnsi="Aptos"/>
          <w:b w:val="0"/>
          <w:i/>
          <w:color w:val="535A69"/>
          <w:sz w:val="18"/>
        </w:rPr>
        <w:t>TOTAL_EVIDENCE and presets change named gate authorization. Permissions and hardware starts remain separate.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31"/>
        <w:gridCol w:w="3331"/>
        <w:gridCol w:w="3331"/>
      </w:tblGrid>
      <w:tr>
        <w:trPr>
          <w:tblHeader w:val="true"/>
        </w:trPr>
        <w:tc>
          <w:tcPr>
            <w:tcW w:type="dxa" w:w="1800"/>
            <w:vAlign w:val="center"/>
            <w:shd w:fill="222B3D"/>
            <w:tcMar>
              <w:top w:w="130" w:type="dxa"/>
              <w:start w:w="150" w:type="dxa"/>
              <w:bottom w:w="130" w:type="dxa"/>
              <w:end w:w="150" w:type="dxa"/>
            </w:tcMar>
          </w:tcPr>
          <w:p>
            <w:pPr>
              <w:jc w:val="left"/>
            </w:pPr>
            <w:r>
              <w:rPr>
                <w:rFonts w:ascii="Aptos" w:hAnsi="Aptos"/>
                <w:b/>
                <w:i w:val="0"/>
                <w:color w:val="FFFFFF"/>
                <w:sz w:val="21"/>
              </w:rPr>
              <w:t>Control</w:t>
            </w:r>
          </w:p>
        </w:tc>
        <w:tc>
          <w:tcPr>
            <w:tcW w:type="dxa" w:w="3672"/>
            <w:vAlign w:val="center"/>
            <w:shd w:fill="222B3D"/>
            <w:tcMar>
              <w:top w:w="130" w:type="dxa"/>
              <w:start w:w="150" w:type="dxa"/>
              <w:bottom w:w="130" w:type="dxa"/>
              <w:end w:w="150" w:type="dxa"/>
            </w:tcMar>
          </w:tcPr>
          <w:p>
            <w:pPr>
              <w:jc w:val="left"/>
            </w:pPr>
            <w:r>
              <w:rPr>
                <w:rFonts w:ascii="Aptos" w:hAnsi="Aptos"/>
                <w:b/>
                <w:i w:val="0"/>
                <w:color w:val="FFFFFF"/>
                <w:sz w:val="21"/>
              </w:rPr>
              <w:t>Does</w:t>
            </w:r>
          </w:p>
        </w:tc>
        <w:tc>
          <w:tcPr>
            <w:tcW w:type="dxa" w:w="3816"/>
            <w:vAlign w:val="center"/>
            <w:shd w:fill="222B3D"/>
            <w:tcMar>
              <w:top w:w="130" w:type="dxa"/>
              <w:start w:w="150" w:type="dxa"/>
              <w:bottom w:w="130" w:type="dxa"/>
              <w:end w:w="150" w:type="dxa"/>
            </w:tcMar>
          </w:tcPr>
          <w:p>
            <w:pPr>
              <w:jc w:val="left"/>
            </w:pPr>
            <w:r>
              <w:rPr>
                <w:rFonts w:ascii="Aptos" w:hAnsi="Aptos"/>
                <w:b/>
                <w:i w:val="0"/>
                <w:color w:val="FFFFFF"/>
                <w:sz w:val="21"/>
              </w:rPr>
              <w:t>Does not</w:t>
            </w:r>
          </w:p>
        </w:tc>
      </w:tr>
      <w:tr>
        <w:tc>
          <w:tcPr>
            <w:tcW w:type="dxa" w:w="1800"/>
            <w:vAlign w:val="center"/>
            <w:tcMar>
              <w:top w:w="130" w:type="dxa"/>
              <w:start w:w="150" w:type="dxa"/>
              <w:bottom w:w="130" w:type="dxa"/>
              <w:end w:w="150" w:type="dxa"/>
            </w:tcMar>
          </w:tcPr>
          <w:p>
            <w:r>
              <w:rPr>
                <w:rFonts w:ascii="Aptos" w:hAnsi="Aptos"/>
                <w:b w:val="0"/>
                <w:i w:val="0"/>
                <w:color w:val="111318"/>
                <w:sz w:val="20"/>
              </w:rPr>
              <w:t>Named gate</w:t>
            </w:r>
          </w:p>
        </w:tc>
        <w:tc>
          <w:tcPr>
            <w:tcW w:type="dxa" w:w="3672"/>
            <w:vAlign w:val="center"/>
            <w:tcMar>
              <w:top w:w="130" w:type="dxa"/>
              <w:start w:w="150" w:type="dxa"/>
              <w:bottom w:w="130" w:type="dxa"/>
              <w:end w:w="150" w:type="dxa"/>
            </w:tcMar>
          </w:tcPr>
          <w:p>
            <w:r>
              <w:rPr>
                <w:rFonts w:ascii="Aptos" w:hAnsi="Aptos"/>
                <w:b w:val="0"/>
                <w:i w:val="0"/>
                <w:color w:val="111318"/>
                <w:sz w:val="20"/>
              </w:rPr>
              <w:t>Authorizes one channel</w:t>
            </w:r>
          </w:p>
        </w:tc>
        <w:tc>
          <w:tcPr>
            <w:tcW w:type="dxa" w:w="3816"/>
            <w:vAlign w:val="center"/>
            <w:tcMar>
              <w:top w:w="130" w:type="dxa"/>
              <w:start w:w="150" w:type="dxa"/>
              <w:bottom w:w="130" w:type="dxa"/>
              <w:end w:w="150" w:type="dxa"/>
            </w:tcMar>
          </w:tcPr>
          <w:p>
            <w:r>
              <w:rPr>
                <w:rFonts w:ascii="Aptos" w:hAnsi="Aptos"/>
                <w:b w:val="0"/>
                <w:i w:val="0"/>
                <w:color w:val="111318"/>
                <w:sz w:val="20"/>
              </w:rPr>
              <w:t>Bypass Android or invent hardware</w:t>
            </w:r>
          </w:p>
        </w:tc>
      </w:tr>
      <w:tr>
        <w:tc>
          <w:tcPr>
            <w:tcW w:type="dxa" w:w="1800"/>
            <w:vAlign w:val="center"/>
            <w:tcMar>
              <w:top w:w="130" w:type="dxa"/>
              <w:start w:w="150" w:type="dxa"/>
              <w:bottom w:w="130" w:type="dxa"/>
              <w:end w:w="150" w:type="dxa"/>
            </w:tcMar>
            <w:shd w:fill="F1F4FA"/>
          </w:tcPr>
          <w:p>
            <w:r>
              <w:rPr>
                <w:rFonts w:ascii="Aptos" w:hAnsi="Aptos"/>
                <w:b w:val="0"/>
                <w:i w:val="0"/>
                <w:color w:val="111318"/>
                <w:sz w:val="20"/>
              </w:rPr>
              <w:t>TOTAL_EVIDENCE</w:t>
            </w:r>
          </w:p>
        </w:tc>
        <w:tc>
          <w:tcPr>
            <w:tcW w:type="dxa" w:w="3672"/>
            <w:vAlign w:val="center"/>
            <w:tcMar>
              <w:top w:w="130" w:type="dxa"/>
              <w:start w:w="150" w:type="dxa"/>
              <w:bottom w:w="130" w:type="dxa"/>
              <w:end w:w="150" w:type="dxa"/>
            </w:tcMar>
            <w:shd w:fill="F1F4FA"/>
          </w:tcPr>
          <w:p>
            <w:r>
              <w:rPr>
                <w:rFonts w:ascii="Aptos" w:hAnsi="Aptos"/>
                <w:b w:val="0"/>
                <w:i w:val="0"/>
                <w:color w:val="111318"/>
                <w:sz w:val="20"/>
              </w:rPr>
              <w:t>Arms all capture gates and maximum configured buffers</w:t>
            </w:r>
          </w:p>
        </w:tc>
        <w:tc>
          <w:tcPr>
            <w:tcW w:type="dxa" w:w="3816"/>
            <w:vAlign w:val="center"/>
            <w:tcMar>
              <w:top w:w="130" w:type="dxa"/>
              <w:start w:w="150" w:type="dxa"/>
              <w:bottom w:w="130" w:type="dxa"/>
              <w:end w:w="150" w:type="dxa"/>
            </w:tcMar>
            <w:shd w:fill="F1F4FA"/>
          </w:tcPr>
          <w:p>
            <w:r>
              <w:rPr>
                <w:rFonts w:ascii="Aptos" w:hAnsi="Aptos"/>
                <w:b w:val="0"/>
                <w:i w:val="0"/>
                <w:color w:val="111318"/>
                <w:sz w:val="20"/>
              </w:rPr>
              <w:t>Start OBD UAS RF or screen capture or enable LAN export</w:t>
            </w:r>
          </w:p>
        </w:tc>
      </w:tr>
      <w:tr>
        <w:tc>
          <w:tcPr>
            <w:tcW w:type="dxa" w:w="1800"/>
            <w:vAlign w:val="center"/>
            <w:tcMar>
              <w:top w:w="130" w:type="dxa"/>
              <w:start w:w="150" w:type="dxa"/>
              <w:bottom w:w="130" w:type="dxa"/>
              <w:end w:w="150" w:type="dxa"/>
            </w:tcMar>
          </w:tcPr>
          <w:p>
            <w:r>
              <w:rPr>
                <w:rFonts w:ascii="Aptos" w:hAnsi="Aptos"/>
                <w:b w:val="0"/>
                <w:i w:val="0"/>
                <w:color w:val="111318"/>
                <w:sz w:val="20"/>
              </w:rPr>
              <w:t>FIELD</w:t>
            </w:r>
          </w:p>
        </w:tc>
        <w:tc>
          <w:tcPr>
            <w:tcW w:type="dxa" w:w="3672"/>
            <w:vAlign w:val="center"/>
            <w:tcMar>
              <w:top w:w="130" w:type="dxa"/>
              <w:start w:w="150" w:type="dxa"/>
              <w:bottom w:w="130" w:type="dxa"/>
              <w:end w:w="150" w:type="dxa"/>
            </w:tcMar>
          </w:tcPr>
          <w:p>
            <w:r>
              <w:rPr>
                <w:rFonts w:ascii="Aptos" w:hAnsi="Aptos"/>
                <w:b w:val="0"/>
                <w:i w:val="0"/>
                <w:color w:val="111318"/>
                <w:sz w:val="20"/>
              </w:rPr>
              <w:t>Arms flight link detector RF ground AV and watch gates</w:t>
            </w:r>
          </w:p>
        </w:tc>
        <w:tc>
          <w:tcPr>
            <w:tcW w:type="dxa" w:w="3816"/>
            <w:vAlign w:val="center"/>
            <w:tcMar>
              <w:top w:w="130" w:type="dxa"/>
              <w:start w:w="150" w:type="dxa"/>
              <w:bottom w:w="130" w:type="dxa"/>
              <w:end w:w="150" w:type="dxa"/>
            </w:tcMar>
          </w:tcPr>
          <w:p>
            <w:r>
              <w:rPr>
                <w:rFonts w:ascii="Aptos" w:hAnsi="Aptos"/>
                <w:b w:val="0"/>
                <w:i w:val="0"/>
                <w:color w:val="111318"/>
                <w:sz w:val="20"/>
              </w:rPr>
              <w:t>Claim aircraft radio SDR camera or watch validation</w:t>
            </w:r>
          </w:p>
        </w:tc>
      </w:tr>
      <w:tr>
        <w:tc>
          <w:tcPr>
            <w:tcW w:type="dxa" w:w="1800"/>
            <w:vAlign w:val="center"/>
            <w:tcMar>
              <w:top w:w="130" w:type="dxa"/>
              <w:start w:w="150" w:type="dxa"/>
              <w:bottom w:w="130" w:type="dxa"/>
              <w:end w:w="150" w:type="dxa"/>
            </w:tcMar>
            <w:shd w:fill="F1F4FA"/>
          </w:tcPr>
          <w:p>
            <w:r>
              <w:rPr>
                <w:rFonts w:ascii="Aptos" w:hAnsi="Aptos"/>
                <w:b w:val="0"/>
                <w:i w:val="0"/>
                <w:color w:val="111318"/>
                <w:sz w:val="20"/>
              </w:rPr>
              <w:t>DRIVE</w:t>
            </w:r>
          </w:p>
        </w:tc>
        <w:tc>
          <w:tcPr>
            <w:tcW w:type="dxa" w:w="3672"/>
            <w:vAlign w:val="center"/>
            <w:tcMar>
              <w:top w:w="130" w:type="dxa"/>
              <w:start w:w="150" w:type="dxa"/>
              <w:bottom w:w="130" w:type="dxa"/>
              <w:end w:w="150" w:type="dxa"/>
            </w:tcMar>
            <w:shd w:fill="F1F4FA"/>
          </w:tcPr>
          <w:p>
            <w:r>
              <w:rPr>
                <w:rFonts w:ascii="Aptos" w:hAnsi="Aptos"/>
                <w:b w:val="0"/>
                <w:i w:val="0"/>
                <w:color w:val="111318"/>
                <w:sz w:val="20"/>
              </w:rPr>
              <w:t>Arms vehicle cabin presence and AV gates</w:t>
            </w:r>
          </w:p>
        </w:tc>
        <w:tc>
          <w:tcPr>
            <w:tcW w:type="dxa" w:w="3816"/>
            <w:vAlign w:val="center"/>
            <w:tcMar>
              <w:top w:w="130" w:type="dxa"/>
              <w:start w:w="150" w:type="dxa"/>
              <w:bottom w:w="130" w:type="dxa"/>
              <w:end w:w="150" w:type="dxa"/>
            </w:tcMar>
            <w:shd w:fill="F1F4FA"/>
          </w:tcPr>
          <w:p>
            <w:r>
              <w:rPr>
                <w:rFonts w:ascii="Aptos" w:hAnsi="Aptos"/>
                <w:b w:val="0"/>
                <w:i w:val="0"/>
                <w:color w:val="111318"/>
                <w:sz w:val="20"/>
              </w:rPr>
              <w:t>Connect an adapter or start a drive session</w:t>
            </w:r>
          </w:p>
        </w:tc>
      </w:tr>
      <w:tr>
        <w:tc>
          <w:tcPr>
            <w:tcW w:type="dxa" w:w="1800"/>
            <w:vAlign w:val="center"/>
            <w:tcMar>
              <w:top w:w="130" w:type="dxa"/>
              <w:start w:w="150" w:type="dxa"/>
              <w:bottom w:w="130" w:type="dxa"/>
              <w:end w:w="150" w:type="dxa"/>
            </w:tcMar>
          </w:tcPr>
          <w:p>
            <w:r>
              <w:rPr>
                <w:rFonts w:ascii="Aptos" w:hAnsi="Aptos"/>
                <w:b w:val="0"/>
                <w:i w:val="0"/>
                <w:color w:val="111318"/>
                <w:sz w:val="20"/>
              </w:rPr>
              <w:t>EVERYTHING</w:t>
            </w:r>
          </w:p>
        </w:tc>
        <w:tc>
          <w:tcPr>
            <w:tcW w:type="dxa" w:w="3672"/>
            <w:vAlign w:val="center"/>
            <w:tcMar>
              <w:top w:w="130" w:type="dxa"/>
              <w:start w:w="150" w:type="dxa"/>
              <w:bottom w:w="130" w:type="dxa"/>
              <w:end w:w="150" w:type="dxa"/>
            </w:tcMar>
          </w:tcPr>
          <w:p>
            <w:r>
              <w:rPr>
                <w:rFonts w:ascii="Aptos" w:hAnsi="Aptos"/>
                <w:b w:val="0"/>
                <w:i w:val="0"/>
                <w:color w:val="111318"/>
                <w:sz w:val="20"/>
              </w:rPr>
              <w:t>Arms every capture gate</w:t>
            </w:r>
          </w:p>
        </w:tc>
        <w:tc>
          <w:tcPr>
            <w:tcW w:type="dxa" w:w="3816"/>
            <w:vAlign w:val="center"/>
            <w:tcMar>
              <w:top w:w="130" w:type="dxa"/>
              <w:start w:w="150" w:type="dxa"/>
              <w:bottom w:w="130" w:type="dxa"/>
              <w:end w:w="150" w:type="dxa"/>
            </w:tcMar>
          </w:tcPr>
          <w:p>
            <w:r>
              <w:rPr>
                <w:rFonts w:ascii="Aptos" w:hAnsi="Aptos"/>
                <w:b w:val="0"/>
                <w:i w:val="0"/>
                <w:color w:val="111318"/>
                <w:sz w:val="20"/>
              </w:rPr>
              <w:t>Send any data or silently grant permissions</w:t>
            </w:r>
          </w:p>
        </w:tc>
      </w:tr>
    </w:tbl>
    <w:p>
      <w:pPr>
        <w:spacing w:after="20"/>
      </w:pPr>
    </w:p>
    <w:p>
      <w:r>
        <w:br w:type="page"/>
      </w:r>
    </w:p>
    <w:p>
      <w:pPr>
        <w:pStyle w:val="Heading1"/>
      </w:pPr>
      <w:r>
        <w:t>What it can capture</w:t>
      </w:r>
    </w:p>
    <w:p>
      <w:r>
        <w:rPr>
          <w:rFonts w:ascii="Aptos" w:hAnsi="Aptos"/>
          <w:b w:val="0"/>
          <w:i w:val="0"/>
          <w:color w:val="111318"/>
          <w:sz w:val="22"/>
        </w:rPr>
        <w:t>Every channel is visible even when unavailable. Omniprobe records the stored value or a gap reason: gate off, permission denied, platform restricted, hardware absent, or statute.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31"/>
        <w:gridCol w:w="3331"/>
        <w:gridCol w:w="3331"/>
      </w:tblGrid>
      <w:tr>
        <w:trPr>
          <w:tblHeader w:val="true"/>
        </w:trPr>
        <w:tc>
          <w:tcPr>
            <w:tcW w:type="dxa" w:w="1944"/>
            <w:vAlign w:val="center"/>
            <w:shd w:fill="222B3D"/>
            <w:tcMar>
              <w:top w:w="130" w:type="dxa"/>
              <w:start w:w="150" w:type="dxa"/>
              <w:bottom w:w="130" w:type="dxa"/>
              <w:end w:w="150" w:type="dxa"/>
            </w:tcMar>
          </w:tcPr>
          <w:p>
            <w:pPr>
              <w:jc w:val="left"/>
            </w:pPr>
            <w:r>
              <w:rPr>
                <w:rFonts w:ascii="Aptos" w:hAnsi="Aptos"/>
                <w:b/>
                <w:i w:val="0"/>
                <w:color w:val="FFFFFF"/>
                <w:sz w:val="21"/>
              </w:rPr>
              <w:t>Domain</w:t>
            </w:r>
          </w:p>
        </w:tc>
        <w:tc>
          <w:tcPr>
            <w:tcW w:type="dxa" w:w="4032"/>
            <w:vAlign w:val="center"/>
            <w:shd w:fill="222B3D"/>
            <w:tcMar>
              <w:top w:w="130" w:type="dxa"/>
              <w:start w:w="150" w:type="dxa"/>
              <w:bottom w:w="130" w:type="dxa"/>
              <w:end w:w="150" w:type="dxa"/>
            </w:tcMar>
          </w:tcPr>
          <w:p>
            <w:pPr>
              <w:jc w:val="left"/>
            </w:pPr>
            <w:r>
              <w:rPr>
                <w:rFonts w:ascii="Aptos" w:hAnsi="Aptos"/>
                <w:b/>
                <w:i w:val="0"/>
                <w:color w:val="FFFFFF"/>
                <w:sz w:val="21"/>
              </w:rPr>
              <w:t>Examples</w:t>
            </w:r>
          </w:p>
        </w:tc>
        <w:tc>
          <w:tcPr>
            <w:tcW w:type="dxa" w:w="3312"/>
            <w:vAlign w:val="center"/>
            <w:shd w:fill="222B3D"/>
            <w:tcMar>
              <w:top w:w="130" w:type="dxa"/>
              <w:start w:w="150" w:type="dxa"/>
              <w:bottom w:w="130" w:type="dxa"/>
              <w:end w:w="150" w:type="dxa"/>
            </w:tcMar>
          </w:tcPr>
          <w:p>
            <w:pPr>
              <w:jc w:val="left"/>
            </w:pPr>
            <w:r>
              <w:rPr>
                <w:rFonts w:ascii="Aptos" w:hAnsi="Aptos"/>
                <w:b/>
                <w:i w:val="0"/>
                <w:color w:val="FFFFFF"/>
                <w:sz w:val="21"/>
              </w:rPr>
              <w:t>Activation boundary</w:t>
            </w:r>
          </w:p>
        </w:tc>
      </w:tr>
      <w:tr>
        <w:tc>
          <w:tcPr>
            <w:tcW w:type="dxa" w:w="1944"/>
            <w:vAlign w:val="center"/>
            <w:tcMar>
              <w:top w:w="130" w:type="dxa"/>
              <w:start w:w="150" w:type="dxa"/>
              <w:bottom w:w="130" w:type="dxa"/>
              <w:end w:w="150" w:type="dxa"/>
            </w:tcMar>
          </w:tcPr>
          <w:p>
            <w:r>
              <w:rPr>
                <w:rFonts w:ascii="Aptos" w:hAnsi="Aptos"/>
                <w:b w:val="0"/>
                <w:i w:val="0"/>
                <w:color w:val="111318"/>
                <w:sz w:val="20"/>
              </w:rPr>
              <w:t>Phone and environment</w:t>
            </w:r>
          </w:p>
        </w:tc>
        <w:tc>
          <w:tcPr>
            <w:tcW w:type="dxa" w:w="4032"/>
            <w:vAlign w:val="center"/>
            <w:tcMar>
              <w:top w:w="130" w:type="dxa"/>
              <w:start w:w="150" w:type="dxa"/>
              <w:bottom w:w="130" w:type="dxa"/>
              <w:end w:w="150" w:type="dxa"/>
            </w:tcMar>
          </w:tcPr>
          <w:p>
            <w:r>
              <w:rPr>
                <w:rFonts w:ascii="Aptos" w:hAnsi="Aptos"/>
                <w:b w:val="0"/>
                <w:i w:val="0"/>
                <w:color w:val="111318"/>
                <w:sz w:val="20"/>
              </w:rPr>
              <w:t>Sensors battery thermal display network Wi-Fi Bluetooth time weather space weather</w:t>
            </w:r>
          </w:p>
        </w:tc>
        <w:tc>
          <w:tcPr>
            <w:tcW w:type="dxa" w:w="3312"/>
            <w:vAlign w:val="center"/>
            <w:tcMar>
              <w:top w:w="130" w:type="dxa"/>
              <w:start w:w="150" w:type="dxa"/>
              <w:bottom w:w="130" w:type="dxa"/>
              <w:end w:w="150" w:type="dxa"/>
            </w:tcMar>
          </w:tcPr>
          <w:p>
            <w:r>
              <w:rPr>
                <w:rFonts w:ascii="Aptos" w:hAnsi="Aptos"/>
                <w:b w:val="0"/>
                <w:i w:val="0"/>
                <w:color w:val="111318"/>
                <w:sz w:val="20"/>
              </w:rPr>
              <w:t>Named gates plus platform permissions where required</w:t>
            </w:r>
          </w:p>
        </w:tc>
      </w:tr>
      <w:tr>
        <w:tc>
          <w:tcPr>
            <w:tcW w:type="dxa" w:w="1944"/>
            <w:vAlign w:val="center"/>
            <w:tcMar>
              <w:top w:w="130" w:type="dxa"/>
              <w:start w:w="150" w:type="dxa"/>
              <w:bottom w:w="130" w:type="dxa"/>
              <w:end w:w="150" w:type="dxa"/>
            </w:tcMar>
            <w:shd w:fill="F1F4FA"/>
          </w:tcPr>
          <w:p>
            <w:r>
              <w:rPr>
                <w:rFonts w:ascii="Aptos" w:hAnsi="Aptos"/>
                <w:b w:val="0"/>
                <w:i w:val="0"/>
                <w:color w:val="111318"/>
                <w:sz w:val="20"/>
              </w:rPr>
              <w:t>Protected contents</w:t>
            </w:r>
          </w:p>
        </w:tc>
        <w:tc>
          <w:tcPr>
            <w:tcW w:type="dxa" w:w="4032"/>
            <w:vAlign w:val="center"/>
            <w:tcMar>
              <w:top w:w="130" w:type="dxa"/>
              <w:start w:w="150" w:type="dxa"/>
              <w:bottom w:w="130" w:type="dxa"/>
              <w:end w:w="150" w:type="dxa"/>
            </w:tcMar>
            <w:shd w:fill="F1F4FA"/>
          </w:tcPr>
          <w:p>
            <w:r>
              <w:rPr>
                <w:rFonts w:ascii="Aptos" w:hAnsi="Aptos"/>
                <w:b w:val="0"/>
                <w:i w:val="0"/>
                <w:color w:val="111318"/>
                <w:sz w:val="20"/>
              </w:rPr>
              <w:t>Notifications calendar contacts message metadata</w:t>
            </w:r>
          </w:p>
        </w:tc>
        <w:tc>
          <w:tcPr>
            <w:tcW w:type="dxa" w:w="3312"/>
            <w:vAlign w:val="center"/>
            <w:tcMar>
              <w:top w:w="130" w:type="dxa"/>
              <w:start w:w="150" w:type="dxa"/>
              <w:bottom w:w="130" w:type="dxa"/>
              <w:end w:w="150" w:type="dxa"/>
            </w:tcMar>
            <w:shd w:fill="F1F4FA"/>
          </w:tcPr>
          <w:p>
            <w:r>
              <w:rPr>
                <w:rFonts w:ascii="Aptos" w:hAnsi="Aptos"/>
                <w:b w:val="0"/>
                <w:i w:val="0"/>
                <w:color w:val="111318"/>
                <w:sz w:val="20"/>
              </w:rPr>
              <w:t>Tier 2 exact-name authorization and Android access</w:t>
            </w:r>
          </w:p>
        </w:tc>
      </w:tr>
      <w:tr>
        <w:tc>
          <w:tcPr>
            <w:tcW w:type="dxa" w:w="1944"/>
            <w:vAlign w:val="center"/>
            <w:tcMar>
              <w:top w:w="130" w:type="dxa"/>
              <w:start w:w="150" w:type="dxa"/>
              <w:bottom w:w="130" w:type="dxa"/>
              <w:end w:w="150" w:type="dxa"/>
            </w:tcMar>
          </w:tcPr>
          <w:p>
            <w:r>
              <w:rPr>
                <w:rFonts w:ascii="Aptos" w:hAnsi="Aptos"/>
                <w:b w:val="0"/>
                <w:i w:val="0"/>
                <w:color w:val="111318"/>
                <w:sz w:val="20"/>
              </w:rPr>
              <w:t>Physiology</w:t>
            </w:r>
          </w:p>
        </w:tc>
        <w:tc>
          <w:tcPr>
            <w:tcW w:type="dxa" w:w="4032"/>
            <w:vAlign w:val="center"/>
            <w:tcMar>
              <w:top w:w="130" w:type="dxa"/>
              <w:start w:w="150" w:type="dxa"/>
              <w:bottom w:w="130" w:type="dxa"/>
              <w:end w:w="150" w:type="dxa"/>
            </w:tcMar>
          </w:tcPr>
          <w:p>
            <w:r>
              <w:rPr>
                <w:rFonts w:ascii="Aptos" w:hAnsi="Aptos"/>
                <w:b w:val="0"/>
                <w:i w:val="0"/>
                <w:color w:val="111318"/>
                <w:sz w:val="20"/>
              </w:rPr>
              <w:t>Health Connect and Garmin context</w:t>
            </w:r>
          </w:p>
        </w:tc>
        <w:tc>
          <w:tcPr>
            <w:tcW w:type="dxa" w:w="3312"/>
            <w:vAlign w:val="center"/>
            <w:tcMar>
              <w:top w:w="130" w:type="dxa"/>
              <w:start w:w="150" w:type="dxa"/>
              <w:bottom w:w="130" w:type="dxa"/>
              <w:end w:w="150" w:type="dxa"/>
            </w:tcMar>
          </w:tcPr>
          <w:p>
            <w:r>
              <w:rPr>
                <w:rFonts w:ascii="Aptos" w:hAnsi="Aptos"/>
                <w:b w:val="0"/>
                <w:i w:val="0"/>
                <w:color w:val="111318"/>
                <w:sz w:val="20"/>
              </w:rPr>
              <w:t>Read permission or paired-phone delivery</w:t>
            </w:r>
          </w:p>
        </w:tc>
      </w:tr>
      <w:tr>
        <w:tc>
          <w:tcPr>
            <w:tcW w:type="dxa" w:w="1944"/>
            <w:vAlign w:val="center"/>
            <w:tcMar>
              <w:top w:w="130" w:type="dxa"/>
              <w:start w:w="150" w:type="dxa"/>
              <w:bottom w:w="130" w:type="dxa"/>
              <w:end w:w="150" w:type="dxa"/>
            </w:tcMar>
            <w:shd w:fill="F1F4FA"/>
          </w:tcPr>
          <w:p>
            <w:r>
              <w:rPr>
                <w:rFonts w:ascii="Aptos" w:hAnsi="Aptos"/>
                <w:b w:val="0"/>
                <w:i w:val="0"/>
                <w:color w:val="111318"/>
                <w:sz w:val="20"/>
              </w:rPr>
              <w:t>Vehicle</w:t>
            </w:r>
          </w:p>
        </w:tc>
        <w:tc>
          <w:tcPr>
            <w:tcW w:type="dxa" w:w="4032"/>
            <w:vAlign w:val="center"/>
            <w:tcMar>
              <w:top w:w="130" w:type="dxa"/>
              <w:start w:w="150" w:type="dxa"/>
              <w:bottom w:w="130" w:type="dxa"/>
              <w:end w:w="150" w:type="dxa"/>
            </w:tcMar>
            <w:shd w:fill="F1F4FA"/>
          </w:tcPr>
          <w:p>
            <w:r>
              <w:rPr>
                <w:rFonts w:ascii="Aptos" w:hAnsi="Aptos"/>
                <w:b w:val="0"/>
                <w:i w:val="0"/>
                <w:color w:val="111318"/>
                <w:sz w:val="20"/>
              </w:rPr>
              <w:t>OBD-II Automotive EV and cabin Bluetooth</w:t>
            </w:r>
          </w:p>
        </w:tc>
        <w:tc>
          <w:tcPr>
            <w:tcW w:type="dxa" w:w="3312"/>
            <w:vAlign w:val="center"/>
            <w:tcMar>
              <w:top w:w="130" w:type="dxa"/>
              <w:start w:w="150" w:type="dxa"/>
              <w:bottom w:w="130" w:type="dxa"/>
              <w:end w:w="150" w:type="dxa"/>
            </w:tcMar>
            <w:shd w:fill="F1F4FA"/>
          </w:tcPr>
          <w:p>
            <w:r>
              <w:rPr>
                <w:rFonts w:ascii="Aptos" w:hAnsi="Aptos"/>
                <w:b w:val="0"/>
                <w:i w:val="0"/>
                <w:color w:val="111318"/>
                <w:sz w:val="20"/>
              </w:rPr>
              <w:t>Gate paired adapter and operator-started DRIVE_SESSION</w:t>
            </w:r>
          </w:p>
        </w:tc>
      </w:tr>
      <w:tr>
        <w:tc>
          <w:tcPr>
            <w:tcW w:type="dxa" w:w="1944"/>
            <w:vAlign w:val="center"/>
            <w:tcMar>
              <w:top w:w="130" w:type="dxa"/>
              <w:start w:w="150" w:type="dxa"/>
              <w:bottom w:w="130" w:type="dxa"/>
              <w:end w:w="150" w:type="dxa"/>
            </w:tcMar>
          </w:tcPr>
          <w:p>
            <w:r>
              <w:rPr>
                <w:rFonts w:ascii="Aptos" w:hAnsi="Aptos"/>
                <w:b w:val="0"/>
                <w:i w:val="0"/>
                <w:color w:val="111318"/>
                <w:sz w:val="20"/>
              </w:rPr>
              <w:t>Aircraft and field</w:t>
            </w:r>
          </w:p>
        </w:tc>
        <w:tc>
          <w:tcPr>
            <w:tcW w:type="dxa" w:w="4032"/>
            <w:vAlign w:val="center"/>
            <w:tcMar>
              <w:top w:w="130" w:type="dxa"/>
              <w:start w:w="150" w:type="dxa"/>
              <w:bottom w:w="130" w:type="dxa"/>
              <w:end w:w="150" w:type="dxa"/>
            </w:tcMar>
          </w:tcPr>
          <w:p>
            <w:r>
              <w:rPr>
                <w:rFonts w:ascii="Aptos" w:hAnsi="Aptos"/>
                <w:b w:val="0"/>
                <w:i w:val="0"/>
                <w:color w:val="111318"/>
                <w:sz w:val="20"/>
              </w:rPr>
              <w:t>MAVLink CRSF GHST Field-Kit TAK ground context and SDR</w:t>
            </w:r>
          </w:p>
        </w:tc>
        <w:tc>
          <w:tcPr>
            <w:tcW w:type="dxa" w:w="3312"/>
            <w:vAlign w:val="center"/>
            <w:tcMar>
              <w:top w:w="130" w:type="dxa"/>
              <w:start w:w="150" w:type="dxa"/>
              <w:bottom w:w="130" w:type="dxa"/>
              <w:end w:w="150" w:type="dxa"/>
            </w:tcMar>
          </w:tcPr>
          <w:p>
            <w:r>
              <w:rPr>
                <w:rFonts w:ascii="Aptos" w:hAnsi="Aptos"/>
                <w:b w:val="0"/>
                <w:i w:val="0"/>
                <w:color w:val="111318"/>
                <w:sz w:val="20"/>
              </w:rPr>
              <w:t>Gate owned hardware or selected transport and bounded session/window</w:t>
            </w:r>
          </w:p>
        </w:tc>
      </w:tr>
      <w:tr>
        <w:tc>
          <w:tcPr>
            <w:tcW w:type="dxa" w:w="1944"/>
            <w:vAlign w:val="center"/>
            <w:tcMar>
              <w:top w:w="130" w:type="dxa"/>
              <w:start w:w="150" w:type="dxa"/>
              <w:bottom w:w="130" w:type="dxa"/>
              <w:end w:w="150" w:type="dxa"/>
            </w:tcMar>
            <w:shd w:fill="F1F4FA"/>
          </w:tcPr>
          <w:p>
            <w:r>
              <w:rPr>
                <w:rFonts w:ascii="Aptos" w:hAnsi="Aptos"/>
                <w:b w:val="0"/>
                <w:i w:val="0"/>
                <w:color w:val="111318"/>
                <w:sz w:val="20"/>
              </w:rPr>
              <w:t>Audio and video</w:t>
            </w:r>
          </w:p>
        </w:tc>
        <w:tc>
          <w:tcPr>
            <w:tcW w:type="dxa" w:w="4032"/>
            <w:vAlign w:val="center"/>
            <w:tcMar>
              <w:top w:w="130" w:type="dxa"/>
              <w:start w:w="150" w:type="dxa"/>
              <w:bottom w:w="130" w:type="dxa"/>
              <w:end w:w="150" w:type="dxa"/>
            </w:tcMar>
            <w:shd w:fill="F1F4FA"/>
          </w:tcPr>
          <w:p>
            <w:r>
              <w:rPr>
                <w:rFonts w:ascii="Aptos" w:hAnsi="Aptos"/>
                <w:b w:val="0"/>
                <w:i w:val="0"/>
                <w:color w:val="111318"/>
                <w:sz w:val="20"/>
              </w:rPr>
              <w:t>Microphone main front concurrent cameras and screen</w:t>
            </w:r>
          </w:p>
        </w:tc>
        <w:tc>
          <w:tcPr>
            <w:tcW w:type="dxa" w:w="3312"/>
            <w:vAlign w:val="center"/>
            <w:tcMar>
              <w:top w:w="130" w:type="dxa"/>
              <w:start w:w="150" w:type="dxa"/>
              <w:bottom w:w="130" w:type="dxa"/>
              <w:end w:w="150" w:type="dxa"/>
            </w:tcMar>
            <w:shd w:fill="F1F4FA"/>
          </w:tcPr>
          <w:p>
            <w:r>
              <w:rPr>
                <w:rFonts w:ascii="Aptos" w:hAnsi="Aptos"/>
                <w:b w:val="0"/>
                <w:i w:val="0"/>
                <w:color w:val="111318"/>
                <w:sz w:val="20"/>
              </w:rPr>
              <w:t>Tier 2 gate permission or per-arm consent and persistent live indicator</w:t>
            </w:r>
          </w:p>
        </w:tc>
      </w:tr>
    </w:tbl>
    <w:p>
      <w:pPr>
        <w:spacing w:after="20"/>
      </w:pPr>
    </w:p>
    <w:p>
      <w:pPr>
        <w:pStyle w:val="Heading2"/>
      </w:pPr>
      <w:r>
        <w:t>Local retention</w:t>
      </w:r>
    </w:p>
    <w:p>
      <w:r>
        <w:rPr>
          <w:rFonts w:ascii="Aptos" w:hAnsi="Aptos"/>
          <w:b w:val="0"/>
          <w:i w:val="0"/>
          <w:color w:val="111318"/>
          <w:sz w:val="22"/>
        </w:rPr>
        <w:t>Ordinary records and derived metrics live in SQLite. Tier 2 contents and raw AV are encrypted with device-local keys. Raw AV expires after the configured deadline, 14 days by default, unless that event is marked keep forever.</w:t>
      </w:r>
    </w:p>
    <w:p>
      <w:pPr>
        <w:pStyle w:val="ListBullet"/>
        <w:spacing w:after="80"/>
      </w:pPr>
      <w:r>
        <w:rPr>
          <w:rFonts w:ascii="Aptos" w:hAnsi="Aptos"/>
          <w:b w:val="0"/>
          <w:i w:val="0"/>
          <w:color w:val="111318"/>
          <w:sz w:val="22"/>
        </w:rPr>
        <w:t>Scrub and expiry delete media ciphertext, its sidecar, and its event key.</w:t>
      </w:r>
    </w:p>
    <w:p>
      <w:pPr>
        <w:pStyle w:val="ListBullet"/>
        <w:spacing w:after="80"/>
      </w:pPr>
      <w:r>
        <w:rPr>
          <w:rFonts w:ascii="Aptos" w:hAnsi="Aptos"/>
          <w:b w:val="0"/>
          <w:i w:val="0"/>
          <w:color w:val="111318"/>
          <w:sz w:val="22"/>
        </w:rPr>
        <w:t>Non-reconstructive loudness, spectral, motion, brightness, flicker, and scene-change metrics survive.</w:t>
      </w:r>
    </w:p>
    <w:p>
      <w:pPr>
        <w:pStyle w:val="ListBullet"/>
        <w:spacing w:after="80"/>
      </w:pPr>
      <w:r>
        <w:rPr>
          <w:rFonts w:ascii="Aptos" w:hAnsi="Aptos"/>
          <w:b w:val="0"/>
          <w:i w:val="0"/>
          <w:color w:val="111318"/>
          <w:sz w:val="22"/>
        </w:rPr>
        <w:t>A purge ledger records what was deleted and why.</w:t>
      </w:r>
    </w:p>
    <w:p>
      <w:pPr>
        <w:pStyle w:val="ListBullet"/>
        <w:spacing w:after="80"/>
      </w:pPr>
      <w:r>
        <w:rPr>
          <w:rFonts w:ascii="Aptos" w:hAnsi="Aptos"/>
          <w:b w:val="0"/>
          <w:i w:val="0"/>
          <w:color w:val="111318"/>
          <w:sz w:val="22"/>
        </w:rPr>
        <w:t>Raw BSSIDs, MAC addresses, adapter addresses, and airframe IDs are not durable fields; locally keyed hashes are stored instead.</w:t>
      </w:r>
    </w:p>
    <w:p>
      <w:r>
        <w:br w:type="page"/>
      </w:r>
    </w:p>
    <w:p>
      <w:pPr>
        <w:pStyle w:val="Heading1"/>
      </w:pPr>
      <w:r>
        <w:t>Export for people and machines</w:t>
      </w:r>
    </w:p>
    <w:p>
      <w:pPr>
        <w:keepNext/>
        <w:jc w:val="center"/>
      </w:pPr>
      <w:r>
        <w:drawing>
          <wp:inline xmlns:a="http://schemas.openxmlformats.org/drawingml/2006/main" xmlns:pic="http://schemas.openxmlformats.org/drawingml/2006/picture">
            <wp:extent cx="3520440" cy="7823200"/>
            <wp:docPr id="4" name="Picture 4" descr="Settings export actions for data-only full evidence raw SQLite backup and restore"/>
            <wp:cNvGraphicFramePr>
              <a:graphicFrameLocks noChangeAspect="1"/>
            </wp:cNvGraphicFramePr>
            <a:graphic>
              <a:graphicData uri="http://schemas.openxmlformats.org/drawingml/2006/picture">
                <pic:pic>
                  <pic:nvPicPr>
                    <pic:cNvPr id="0" name="apophenia-settings-export-v03.png"/>
                    <pic:cNvPicPr/>
                  </pic:nvPicPr>
                  <pic:blipFill>
                    <a:blip r:embed="rId12"/>
                    <a:stretch>
                      <a:fillRect/>
                    </a:stretch>
                  </pic:blipFill>
                  <pic:spPr>
                    <a:xfrm>
                      <a:off x="0" y="0"/>
                      <a:ext cx="3520440" cy="7823200"/>
                    </a:xfrm>
                    <a:prstGeom prst="rect"/>
                  </pic:spPr>
                </pic:pic>
              </a:graphicData>
            </a:graphic>
          </wp:inline>
        </w:drawing>
      </w:r>
    </w:p>
    <w:p>
      <w:pPr>
        <w:spacing w:after="180"/>
        <w:jc w:val="center"/>
      </w:pPr>
      <w:r>
        <w:rPr>
          <w:rFonts w:ascii="Aptos" w:hAnsi="Aptos"/>
          <w:b w:val="0"/>
          <w:i/>
          <w:color w:val="535A69"/>
          <w:sz w:val="18"/>
        </w:rPr>
        <w:t>All export routes prepare locally and show a verified manifest before a destination can be selected.</w:t>
      </w:r>
    </w:p>
    <w:p>
      <w:pPr>
        <w:pStyle w:val="Heading2"/>
      </w:pPr>
      <w:r>
        <w:t>Choose an export format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31"/>
        <w:gridCol w:w="3331"/>
        <w:gridCol w:w="3331"/>
      </w:tblGrid>
      <w:tr>
        <w:trPr>
          <w:tblHeader w:val="true"/>
        </w:trPr>
        <w:tc>
          <w:tcPr>
            <w:tcW w:type="dxa" w:w="1944"/>
            <w:vAlign w:val="center"/>
            <w:shd w:fill="222B3D"/>
            <w:tcMar>
              <w:top w:w="130" w:type="dxa"/>
              <w:start w:w="150" w:type="dxa"/>
              <w:bottom w:w="130" w:type="dxa"/>
              <w:end w:w="150" w:type="dxa"/>
            </w:tcMar>
          </w:tcPr>
          <w:p>
            <w:pPr>
              <w:jc w:val="left"/>
            </w:pPr>
            <w:r>
              <w:rPr>
                <w:rFonts w:ascii="Aptos" w:hAnsi="Aptos"/>
                <w:b/>
                <w:i w:val="0"/>
                <w:color w:val="FFFFFF"/>
                <w:sz w:val="21"/>
              </w:rPr>
              <w:t>Export</w:t>
            </w:r>
          </w:p>
        </w:tc>
        <w:tc>
          <w:tcPr>
            <w:tcW w:type="dxa" w:w="3384"/>
            <w:vAlign w:val="center"/>
            <w:shd w:fill="222B3D"/>
            <w:tcMar>
              <w:top w:w="130" w:type="dxa"/>
              <w:start w:w="150" w:type="dxa"/>
              <w:bottom w:w="130" w:type="dxa"/>
              <w:end w:w="150" w:type="dxa"/>
            </w:tcMar>
          </w:tcPr>
          <w:p>
            <w:pPr>
              <w:jc w:val="left"/>
            </w:pPr>
            <w:r>
              <w:rPr>
                <w:rFonts w:ascii="Aptos" w:hAnsi="Aptos"/>
                <w:b/>
                <w:i w:val="0"/>
                <w:color w:val="FFFFFF"/>
                <w:sz w:val="21"/>
              </w:rPr>
              <w:t>Human-readable</w:t>
            </w:r>
          </w:p>
        </w:tc>
        <w:tc>
          <w:tcPr>
            <w:tcW w:type="dxa" w:w="3960"/>
            <w:vAlign w:val="center"/>
            <w:shd w:fill="222B3D"/>
            <w:tcMar>
              <w:top w:w="130" w:type="dxa"/>
              <w:start w:w="150" w:type="dxa"/>
              <w:bottom w:w="130" w:type="dxa"/>
              <w:end w:w="150" w:type="dxa"/>
            </w:tcMar>
          </w:tcPr>
          <w:p>
            <w:pPr>
              <w:jc w:val="left"/>
            </w:pPr>
            <w:r>
              <w:rPr>
                <w:rFonts w:ascii="Aptos" w:hAnsi="Aptos"/>
                <w:b/>
                <w:i w:val="0"/>
                <w:color w:val="FFFFFF"/>
                <w:sz w:val="21"/>
              </w:rPr>
              <w:t>Machine-readable</w:t>
            </w:r>
          </w:p>
        </w:tc>
      </w:tr>
      <w:tr>
        <w:tc>
          <w:tcPr>
            <w:tcW w:type="dxa" w:w="1944"/>
            <w:vAlign w:val="center"/>
            <w:tcMar>
              <w:top w:w="130" w:type="dxa"/>
              <w:start w:w="150" w:type="dxa"/>
              <w:bottom w:w="130" w:type="dxa"/>
              <w:end w:w="150" w:type="dxa"/>
            </w:tcMar>
          </w:tcPr>
          <w:p>
            <w:r>
              <w:rPr>
                <w:rFonts w:ascii="Aptos" w:hAnsi="Aptos"/>
                <w:b w:val="0"/>
                <w:i w:val="0"/>
                <w:color w:val="111318"/>
                <w:sz w:val="20"/>
              </w:rPr>
              <w:t>Data-only</w:t>
            </w:r>
          </w:p>
        </w:tc>
        <w:tc>
          <w:tcPr>
            <w:tcW w:type="dxa" w:w="3384"/>
            <w:vAlign w:val="center"/>
            <w:tcMar>
              <w:top w:w="130" w:type="dxa"/>
              <w:start w:w="150" w:type="dxa"/>
              <w:bottom w:w="130" w:type="dxa"/>
              <w:end w:w="150" w:type="dxa"/>
            </w:tcMar>
          </w:tcPr>
          <w:p>
            <w:r>
              <w:rPr>
                <w:rFonts w:ascii="Aptos" w:hAnsi="Aptos"/>
                <w:b w:val="0"/>
                <w:i w:val="0"/>
                <w:color w:val="111318"/>
                <w:sz w:val="20"/>
              </w:rPr>
              <w:t>Analysis README and CSV tables</w:t>
            </w:r>
          </w:p>
        </w:tc>
        <w:tc>
          <w:tcPr>
            <w:tcW w:type="dxa" w:w="3960"/>
            <w:vAlign w:val="center"/>
            <w:tcMar>
              <w:top w:w="130" w:type="dxa"/>
              <w:start w:w="150" w:type="dxa"/>
              <w:bottom w:w="130" w:type="dxa"/>
              <w:end w:w="150" w:type="dxa"/>
            </w:tcMar>
          </w:tcPr>
          <w:p>
            <w:r>
              <w:rPr>
                <w:rFonts w:ascii="Aptos" w:hAnsi="Aptos"/>
                <w:b w:val="0"/>
                <w:i w:val="0"/>
                <w:color w:val="111318"/>
                <w:sz w:val="20"/>
              </w:rPr>
              <w:t>Canonical JSON CSV and JSON data dictionary</w:t>
            </w:r>
          </w:p>
        </w:tc>
      </w:tr>
      <w:tr>
        <w:tc>
          <w:tcPr>
            <w:tcW w:type="dxa" w:w="1944"/>
            <w:vAlign w:val="center"/>
            <w:tcMar>
              <w:top w:w="130" w:type="dxa"/>
              <w:start w:w="150" w:type="dxa"/>
              <w:bottom w:w="130" w:type="dxa"/>
              <w:end w:w="150" w:type="dxa"/>
            </w:tcMar>
            <w:shd w:fill="F1F4FA"/>
          </w:tcPr>
          <w:p>
            <w:r>
              <w:rPr>
                <w:rFonts w:ascii="Aptos" w:hAnsi="Aptos"/>
                <w:b w:val="0"/>
                <w:i w:val="0"/>
                <w:color w:val="111318"/>
                <w:sz w:val="20"/>
              </w:rPr>
              <w:t>Raw SQLite</w:t>
            </w:r>
          </w:p>
        </w:tc>
        <w:tc>
          <w:tcPr>
            <w:tcW w:type="dxa" w:w="3384"/>
            <w:vAlign w:val="center"/>
            <w:tcMar>
              <w:top w:w="130" w:type="dxa"/>
              <w:start w:w="150" w:type="dxa"/>
              <w:bottom w:w="130" w:type="dxa"/>
              <w:end w:w="150" w:type="dxa"/>
            </w:tcMar>
            <w:shd w:fill="F1F4FA"/>
          </w:tcPr>
          <w:p>
            <w:r>
              <w:rPr>
                <w:rFonts w:ascii="Aptos" w:hAnsi="Aptos"/>
                <w:b w:val="0"/>
                <w:i w:val="0"/>
                <w:color w:val="111318"/>
                <w:sz w:val="20"/>
              </w:rPr>
              <w:t>Schema documentation</w:t>
            </w:r>
          </w:p>
        </w:tc>
        <w:tc>
          <w:tcPr>
            <w:tcW w:type="dxa" w:w="3960"/>
            <w:vAlign w:val="center"/>
            <w:tcMar>
              <w:top w:w="130" w:type="dxa"/>
              <w:start w:w="150" w:type="dxa"/>
              <w:bottom w:w="130" w:type="dxa"/>
              <w:end w:w="150" w:type="dxa"/>
            </w:tcMar>
            <w:shd w:fill="F1F4FA"/>
          </w:tcPr>
          <w:p>
            <w:r>
              <w:rPr>
                <w:rFonts w:ascii="Aptos" w:hAnsi="Aptos"/>
                <w:b w:val="0"/>
                <w:i w:val="0"/>
                <w:color w:val="111318"/>
                <w:sz w:val="20"/>
              </w:rPr>
              <w:t>Checkpointed integrity-checked database</w:t>
            </w:r>
          </w:p>
        </w:tc>
      </w:tr>
      <w:tr>
        <w:tc>
          <w:tcPr>
            <w:tcW w:type="dxa" w:w="1944"/>
            <w:vAlign w:val="center"/>
            <w:tcMar>
              <w:top w:w="130" w:type="dxa"/>
              <w:start w:w="150" w:type="dxa"/>
              <w:bottom w:w="130" w:type="dxa"/>
              <w:end w:w="150" w:type="dxa"/>
            </w:tcMar>
          </w:tcPr>
          <w:p>
            <w:r>
              <w:rPr>
                <w:rFonts w:ascii="Aptos" w:hAnsi="Aptos"/>
                <w:b w:val="0"/>
                <w:i w:val="0"/>
                <w:color w:val="111318"/>
                <w:sz w:val="20"/>
              </w:rPr>
              <w:t>Event dossier</w:t>
            </w:r>
          </w:p>
        </w:tc>
        <w:tc>
          <w:tcPr>
            <w:tcW w:type="dxa" w:w="3384"/>
            <w:vAlign w:val="center"/>
            <w:tcMar>
              <w:top w:w="130" w:type="dxa"/>
              <w:start w:w="150" w:type="dxa"/>
              <w:bottom w:w="130" w:type="dxa"/>
              <w:end w:w="150" w:type="dxa"/>
            </w:tcMar>
          </w:tcPr>
          <w:p>
            <w:r>
              <w:rPr>
                <w:rFonts w:ascii="Aptos" w:hAnsi="Aptos"/>
                <w:b w:val="0"/>
                <w:i w:val="0"/>
                <w:color w:val="111318"/>
                <w:sz w:val="20"/>
              </w:rPr>
              <w:t>Plain summary and SVG chart</w:t>
            </w:r>
          </w:p>
        </w:tc>
        <w:tc>
          <w:tcPr>
            <w:tcW w:type="dxa" w:w="3960"/>
            <w:vAlign w:val="center"/>
            <w:tcMar>
              <w:top w:w="130" w:type="dxa"/>
              <w:start w:w="150" w:type="dxa"/>
              <w:bottom w:w="130" w:type="dxa"/>
              <w:end w:w="150" w:type="dxa"/>
            </w:tcMar>
          </w:tcPr>
          <w:p>
            <w:r>
              <w:rPr>
                <w:rFonts w:ascii="Aptos" w:hAnsi="Aptos"/>
                <w:b w:val="0"/>
                <w:i w:val="0"/>
                <w:color w:val="111318"/>
                <w:sz w:val="20"/>
              </w:rPr>
              <w:t>Event JSON context CSV inventories and retained evidence</w:t>
            </w:r>
          </w:p>
        </w:tc>
      </w:tr>
      <w:tr>
        <w:tc>
          <w:tcPr>
            <w:tcW w:type="dxa" w:w="1944"/>
            <w:vAlign w:val="center"/>
            <w:tcMar>
              <w:top w:w="130" w:type="dxa"/>
              <w:start w:w="150" w:type="dxa"/>
              <w:bottom w:w="130" w:type="dxa"/>
              <w:end w:w="150" w:type="dxa"/>
            </w:tcMar>
            <w:shd w:fill="F1F4FA"/>
          </w:tcPr>
          <w:p>
            <w:r>
              <w:rPr>
                <w:rFonts w:ascii="Aptos" w:hAnsi="Aptos"/>
                <w:b w:val="0"/>
                <w:i w:val="0"/>
                <w:color w:val="111318"/>
                <w:sz w:val="20"/>
              </w:rPr>
              <w:t>Selected report</w:t>
            </w:r>
          </w:p>
        </w:tc>
        <w:tc>
          <w:tcPr>
            <w:tcW w:type="dxa" w:w="3384"/>
            <w:vAlign w:val="center"/>
            <w:tcMar>
              <w:top w:w="130" w:type="dxa"/>
              <w:start w:w="150" w:type="dxa"/>
              <w:bottom w:w="130" w:type="dxa"/>
              <w:end w:w="150" w:type="dxa"/>
            </w:tcMar>
            <w:shd w:fill="F1F4FA"/>
          </w:tcPr>
          <w:p>
            <w:r>
              <w:rPr>
                <w:rFonts w:ascii="Aptos" w:hAnsi="Aptos"/>
                <w:b w:val="0"/>
                <w:i w:val="0"/>
                <w:color w:val="111318"/>
                <w:sz w:val="20"/>
              </w:rPr>
              <w:t>Self-contained HTML and PDF</w:t>
            </w:r>
          </w:p>
        </w:tc>
        <w:tc>
          <w:tcPr>
            <w:tcW w:type="dxa" w:w="3960"/>
            <w:vAlign w:val="center"/>
            <w:tcMar>
              <w:top w:w="130" w:type="dxa"/>
              <w:start w:w="150" w:type="dxa"/>
              <w:bottom w:w="130" w:type="dxa"/>
              <w:end w:w="150" w:type="dxa"/>
            </w:tcMar>
            <w:shd w:fill="F1F4FA"/>
          </w:tcPr>
          <w:p>
            <w:r>
              <w:rPr>
                <w:rFonts w:ascii="Aptos" w:hAnsi="Aptos"/>
                <w:b w:val="0"/>
                <w:i w:val="0"/>
                <w:color w:val="111318"/>
                <w:sz w:val="20"/>
              </w:rPr>
              <w:t>Report JSON context CSV and SVG</w:t>
            </w:r>
          </w:p>
        </w:tc>
      </w:tr>
      <w:tr>
        <w:tc>
          <w:tcPr>
            <w:tcW w:type="dxa" w:w="1944"/>
            <w:vAlign w:val="center"/>
            <w:tcMar>
              <w:top w:w="130" w:type="dxa"/>
              <w:start w:w="150" w:type="dxa"/>
              <w:bottom w:w="130" w:type="dxa"/>
              <w:end w:w="150" w:type="dxa"/>
            </w:tcMar>
          </w:tcPr>
          <w:p>
            <w:r>
              <w:rPr>
                <w:rFonts w:ascii="Aptos" w:hAnsi="Aptos"/>
                <w:b w:val="0"/>
                <w:i w:val="0"/>
                <w:color w:val="111318"/>
                <w:sz w:val="20"/>
              </w:rPr>
              <w:t>Full evidence</w:t>
            </w:r>
          </w:p>
        </w:tc>
        <w:tc>
          <w:tcPr>
            <w:tcW w:type="dxa" w:w="3384"/>
            <w:vAlign w:val="center"/>
            <w:tcMar>
              <w:top w:w="130" w:type="dxa"/>
              <w:start w:w="150" w:type="dxa"/>
              <w:bottom w:w="130" w:type="dxa"/>
              <w:end w:w="150" w:type="dxa"/>
            </w:tcMar>
          </w:tcPr>
          <w:p>
            <w:r>
              <w:rPr>
                <w:rFonts w:ascii="Aptos" w:hAnsi="Aptos"/>
                <w:b w:val="0"/>
                <w:i w:val="0"/>
                <w:color w:val="111318"/>
                <w:sz w:val="20"/>
              </w:rPr>
              <w:t>Analysis README and inventories</w:t>
            </w:r>
          </w:p>
        </w:tc>
        <w:tc>
          <w:tcPr>
            <w:tcW w:type="dxa" w:w="3960"/>
            <w:vAlign w:val="center"/>
            <w:tcMar>
              <w:top w:w="130" w:type="dxa"/>
              <w:start w:w="150" w:type="dxa"/>
              <w:bottom w:w="130" w:type="dxa"/>
              <w:end w:w="150" w:type="dxa"/>
            </w:tcMar>
          </w:tcPr>
          <w:p>
            <w:r>
              <w:rPr>
                <w:rFonts w:ascii="Aptos" w:hAnsi="Aptos"/>
                <w:b w:val="0"/>
                <w:i w:val="0"/>
                <w:color w:val="111318"/>
                <w:sz w:val="20"/>
              </w:rPr>
              <w:t>JSON CSV AV Tier 2 attachments RF and hashes</w:t>
            </w:r>
          </w:p>
        </w:tc>
      </w:tr>
    </w:tbl>
    <w:p>
      <w:pPr>
        <w:spacing w:after="20"/>
      </w:pPr>
    </w:p>
    <w:p>
      <w:r>
        <w:br w:type="page"/>
      </w:r>
    </w:p>
    <w:p>
      <w:pPr>
        <w:pStyle w:val="Heading1"/>
      </w:pPr>
      <w:r>
        <w:t>Manifest preview and release</w:t>
      </w:r>
    </w:p>
    <w:p>
      <w:pPr>
        <w:keepNext/>
        <w:jc w:val="center"/>
      </w:pPr>
      <w:r>
        <w:drawing>
          <wp:inline xmlns:a="http://schemas.openxmlformats.org/drawingml/2006/main" xmlns:pic="http://schemas.openxmlformats.org/drawingml/2006/picture">
            <wp:extent cx="3611880" cy="8026400"/>
            <wp:docPr id="5" name="Picture 5" descr="Data-only manifest preview with hashes and explicit raw AV and Tier 2 exclusions"/>
            <wp:cNvGraphicFramePr>
              <a:graphicFrameLocks noChangeAspect="1"/>
            </wp:cNvGraphicFramePr>
            <a:graphic>
              <a:graphicData uri="http://schemas.openxmlformats.org/drawingml/2006/picture">
                <pic:pic>
                  <pic:nvPicPr>
                    <pic:cNvPr id="0" name="apophenia-manifest-v03.png"/>
                    <pic:cNvPicPr/>
                  </pic:nvPicPr>
                  <pic:blipFill>
                    <a:blip r:embed="rId13"/>
                    <a:stretch>
                      <a:fillRect/>
                    </a:stretch>
                  </pic:blipFill>
                  <pic:spPr>
                    <a:xfrm>
                      <a:off x="0" y="0"/>
                      <a:ext cx="3611880" cy="8026400"/>
                    </a:xfrm>
                    <a:prstGeom prst="rect"/>
                  </pic:spPr>
                </pic:pic>
              </a:graphicData>
            </a:graphic>
          </wp:inline>
        </w:drawing>
      </w:r>
    </w:p>
    <w:p>
      <w:pPr>
        <w:spacing w:after="180"/>
        <w:jc w:val="center"/>
      </w:pPr>
      <w:r>
        <w:rPr>
          <w:rFonts w:ascii="Aptos" w:hAnsi="Aptos"/>
          <w:b w:val="0"/>
          <w:i/>
          <w:color w:val="535A69"/>
          <w:sz w:val="18"/>
        </w:rPr>
        <w:t>The preview lists payload count and bytes, AV and Tier 2 flags, the bundle digest, and every declared file digest.</w:t>
      </w:r>
    </w:p>
    <w:p>
      <w:r>
        <w:rPr>
          <w:rFonts w:ascii="Aptos" w:hAnsi="Aptos"/>
          <w:b w:val="0"/>
          <w:i w:val="0"/>
          <w:color w:val="111318"/>
          <w:sz w:val="22"/>
        </w:rPr>
        <w:t>The default data-only tier excludes raw AV, Tier 2 plaintext, RF IQ, and inbound attachment bytes. Full evidence materializes device-bound evidence into portable plaintext and requires two confirmations.</w:t>
      </w:r>
    </w:p>
    <w:p>
      <w:r>
        <w:rPr>
          <w:rFonts w:ascii="Aptos" w:hAnsi="Aptos"/>
          <w:b/>
          <w:i w:val="0"/>
          <w:color w:val="111318"/>
          <w:sz w:val="22"/>
        </w:rPr>
        <w:t xml:space="preserve">Honest route receipts. </w:t>
      </w:r>
      <w:r>
        <w:rPr>
          <w:rFonts w:ascii="Aptos" w:hAnsi="Aptos"/>
          <w:b w:val="0"/>
          <w:i w:val="0"/>
          <w:color w:val="111318"/>
          <w:sz w:val="22"/>
        </w:rPr>
        <w:t>Sharesheet handoff, completed SAF writes, and LAN endpoint acknowledgement are different audit outcomes. None proves recipient reading, durable retention, or exactly-once delivery.</w:t>
      </w:r>
    </w:p>
    <w:p>
      <w:pPr>
        <w:pStyle w:val="Heading1"/>
      </w:pPr>
      <w:r>
        <w:t>Analysis boundaries</w:t>
      </w:r>
    </w:p>
    <w:p>
      <w:pPr>
        <w:pStyle w:val="ListBullet"/>
        <w:spacing w:after="80"/>
      </w:pPr>
      <w:r>
        <w:rPr>
          <w:rFonts w:ascii="Aptos" w:hAnsi="Aptos"/>
          <w:b w:val="0"/>
          <w:i w:val="0"/>
          <w:color w:val="111318"/>
          <w:sz w:val="22"/>
        </w:rPr>
        <w:t>Group dense rows by capture_id before comparison; rows in one capture are not independent observations.</w:t>
      </w:r>
    </w:p>
    <w:p>
      <w:pPr>
        <w:pStyle w:val="ListBullet"/>
        <w:spacing w:after="80"/>
      </w:pPr>
      <w:r>
        <w:rPr>
          <w:rFonts w:ascii="Aptos" w:hAnsi="Aptos"/>
          <w:b w:val="0"/>
          <w:i w:val="0"/>
          <w:color w:val="111318"/>
          <w:sz w:val="22"/>
        </w:rPr>
        <w:t>Exclude phase POST from predictors while retaining it for reconstruction.</w:t>
      </w:r>
    </w:p>
    <w:p>
      <w:pPr>
        <w:pStyle w:val="ListBullet"/>
        <w:spacing w:after="80"/>
      </w:pPr>
      <w:r>
        <w:rPr>
          <w:rFonts w:ascii="Aptos" w:hAnsi="Aptos"/>
          <w:b w:val="0"/>
          <w:i w:val="0"/>
          <w:color w:val="111318"/>
          <w:sz w:val="22"/>
        </w:rPr>
        <w:t>Keep is_control and CONTROL phase rows identifiable.</w:t>
      </w:r>
    </w:p>
    <w:p>
      <w:pPr>
        <w:pStyle w:val="ListBullet"/>
        <w:spacing w:after="80"/>
      </w:pPr>
      <w:r>
        <w:rPr>
          <w:rFonts w:ascii="Aptos" w:hAnsi="Aptos"/>
          <w:b w:val="0"/>
          <w:i w:val="0"/>
          <w:color w:val="111318"/>
          <w:sz w:val="22"/>
        </w:rPr>
        <w:t>Preserve the tested-channel count and multiple-comparisons correction.</w:t>
      </w:r>
    </w:p>
    <w:p>
      <w:pPr>
        <w:pStyle w:val="ListBullet"/>
        <w:spacing w:after="80"/>
      </w:pPr>
      <w:r>
        <w:rPr>
          <w:rFonts w:ascii="Aptos" w:hAnsi="Aptos"/>
          <w:b w:val="0"/>
          <w:i w:val="0"/>
          <w:color w:val="111318"/>
          <w:sz w:val="22"/>
        </w:rPr>
        <w:t>Do not convert association into causation diagnosis or explanation.</w:t>
      </w:r>
    </w:p>
    <w:p>
      <w:pPr>
        <w:pStyle w:val="ListBullet"/>
        <w:spacing w:after="80"/>
      </w:pPr>
      <w:r>
        <w:rPr>
          <w:rFonts w:ascii="Aptos" w:hAnsi="Aptos"/>
          <w:b w:val="0"/>
          <w:i w:val="0"/>
          <w:color w:val="111318"/>
          <w:sz w:val="22"/>
        </w:rPr>
        <w:t>Treat a refuted preregistered pattern as the instrument working.</w:t>
      </w:r>
    </w:p>
    <w:p>
      <w:r>
        <w:rPr>
          <w:rFonts w:ascii="Aptos" w:hAnsi="Aptos"/>
          <w:b/>
          <w:i w:val="0"/>
          <w:color w:val="111318"/>
          <w:sz w:val="22"/>
        </w:rPr>
        <w:t xml:space="preserve">Validation boundary. </w:t>
      </w:r>
      <w:r>
        <w:rPr>
          <w:rFonts w:ascii="Aptos" w:hAnsi="Aptos"/>
          <w:b w:val="0"/>
          <w:i w:val="0"/>
          <w:color w:val="111318"/>
          <w:sz w:val="22"/>
        </w:rPr>
        <w:t>Software tests and emulator screenshots do not establish phone hardware, multicamera, microphone, radio, adapter, vehicle, aircraft, SDR, watch, field, or flight performance. Use the dated physical-validation checklist in PROJECT_HANDOFF.md.</w:t>
      </w:r>
    </w:p>
    <w:sectPr w:rsidR="00FC693F" w:rsidRPr="0006063C" w:rsidSect="00034616">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4" w:lineRule="auto"/>
    </w:pPr>
    <w:rPr>
      <w:rFonts w:ascii="Aptos" w:hAnsi="Aptos"/>
      <w:color w:val="11131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Apophenia Total Capture User Guide</dc:title>
  <dc:subject>Capture gates, local evidence, export formats, and analysis boundaries</dc:subject>
  <dc:creator>DroneWuKong</dc:creator>
  <cp:keywords/>
  <dc:description>generated by python-docx</dc:description>
  <cp:lastModifiedBy/>
  <cp:revision>1</cp:revision>
  <dcterms:created xsi:type="dcterms:W3CDTF">2013-12-23T23:15:00Z</dcterms:created>
  <dcterms:modified xsi:type="dcterms:W3CDTF">2013-12-23T23:15:00Z</dcterms:modified>
  <cp:category/>
</cp:coreProperties>
</file>