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32"/>
          <w:szCs w:val="32"/>
        </w:rPr>
        <w:t xml:space="preserve">Instructor Station — Failure-Injection &amp; Assessment Logging</w:t>
      </w:r>
    </w:p>
    <w:p>
      <w:pPr>
        <w:spacing w:after="300"/>
      </w:pPr>
      <w:r>
        <w:rPr>
          <w:color w:val="555555"/>
          <w:sz w:val="22"/>
          <w:szCs w:val="22"/>
        </w:rPr>
        <w:t xml:space="preserve">CAA / RAE(PC) compliance notes — 23 August 2026</w:t>
      </w:r>
    </w:p>
    <w:p>
      <w:pPr>
        <w:spacing w:after="140"/>
      </w:pPr>
      <w:r>
        <w:t xml:space="preserve">This note records what was built today in the Instructor Station app (the desktop console instructors use to run the simulator), and lines it up against the CAA requirements that are actually relevant to it — CAP722B Chapter 5 (Use of Flight Simulator Training Devices), CAP722B Chapter 2 (record-keeping and impartiality), and the RPC-L1 training-record templates already in this project. Nothing here is a finished compliance position — it's a working map of what's covered, what's a genuine judgement call for your Head of Training, and what hasn't been touched yet, so nothing gets missed later when the software is put in front of real students.</w:t>
      </w:r>
    </w:p>
    <w:p>
      <w:pPr>
        <w:pStyle w:val="Heading1"/>
        <w:spacing w:after="150" w:before="300"/>
      </w:pPr>
      <w:r>
        <w:t xml:space="preserve">1. What was built today</w:t>
      </w:r>
    </w:p>
    <w:p>
      <w:pPr>
        <w:spacing w:after="140"/>
      </w:pPr>
      <w:r>
        <w:t xml:space="preserve">Every instructor console action (arm, disarm, freeze/resume, reposition, reset, mode changes, and the three working failure-injection controls — GPS, motor, and engine/pusher) is now written to a timestamped log file, alongside a new mechanism that specifically watches for the student's response to an injected failure:</w:t>
      </w:r>
    </w:p>
    <w:p>
      <w:pPr>
        <w:pStyle w:val="ListParagraph"/>
        <w:numPr>
          <w:ilvl w:val="0"/>
          <w:numId w:val="2"/>
        </w:numPr>
        <w:spacing w:after="80"/>
      </w:pPr>
      <w:r>
        <w:t xml:space="preserve">When the instructor injects a failure, the aircraft's mode and altitude at that instant are recorded.</w:t>
      </w:r>
    </w:p>
    <w:p>
      <w:pPr>
        <w:pStyle w:val="ListParagraph"/>
        <w:numPr>
          <w:ilvl w:val="0"/>
          <w:numId w:val="2"/>
        </w:numPr>
        <w:spacing w:after="80"/>
      </w:pPr>
      <w:r>
        <w:t xml:space="preserve">The app then watches the aircraft's live telemetry (which reflects whatever the student is actually flying with) for the first mode change, and logs it as the student's response, with a reaction time in seconds.</w:t>
      </w:r>
    </w:p>
    <w:p>
      <w:pPr>
        <w:pStyle w:val="ListParagraph"/>
        <w:numPr>
          <w:ilvl w:val="0"/>
          <w:numId w:val="2"/>
        </w:numPr>
        <w:spacing w:after="80"/>
      </w:pPr>
      <w:r>
        <w:t xml:space="preserve">If the instructor takes over first (e.g. presses RTL before the student reacts), that is logged separately as an instructor intervention — so an instructor's own corrective action is never mistaken for a student decision.</w:t>
      </w:r>
    </w:p>
    <w:p>
      <w:pPr>
        <w:pStyle w:val="ListParagraph"/>
        <w:numPr>
          <w:ilvl w:val="0"/>
          <w:numId w:val="2"/>
        </w:numPr>
        <w:spacing w:after="80"/>
      </w:pPr>
      <w:r>
        <w:t xml:space="preserve">If nothing happens for 45 seconds, that is logged too, as “no mode change response” — a flat line is itself a finding worth having on record, not silence.</w:t>
      </w:r>
    </w:p>
    <w:p>
      <w:pPr>
        <w:spacing w:after="140"/>
      </w:pPr>
      <w:r>
        <w:rPr>
          <w:sz w:val="22"/>
          <w:szCs w:val="22"/>
        </w:rPr>
        <w:t xml:space="preserve">The log file is </w:t>
      </w:r>
      <w:r>
        <w:rPr>
          <w:rFonts w:ascii="Consolas" w:cs="Consolas" w:eastAsia="Consolas" w:hAnsi="Consolas"/>
          <w:sz w:val="22"/>
          <w:szCs w:val="22"/>
        </w:rPr>
        <w:t xml:space="preserve">~/uas_sim_logs/instructor_events.csv</w:t>
      </w:r>
      <w:r>
        <w:rPr>
          <w:sz w:val="22"/>
          <w:szCs w:val="22"/>
        </w:rPr>
        <w:t xml:space="preserve"> — a plain CSV that opens in Excel, extending the same 3-column format an earlier prototype already used, so the test rows from 10 August aren't disturbed.</w:t>
      </w:r>
    </w:p>
    <w:p>
      <w:pPr>
        <w:pStyle w:val="Heading2"/>
        <w:spacing w:after="120" w:before="240"/>
      </w:pPr>
      <w:r>
        <w:t xml:space="preserve">What this does NOT do (by design, for now)</w:t>
      </w:r>
    </w:p>
    <w:p>
      <w:pPr>
        <w:pStyle w:val="ListParagraph"/>
        <w:numPr>
          <w:ilvl w:val="0"/>
          <w:numId w:val="2"/>
        </w:numPr>
        <w:spacing w:after="80"/>
      </w:pPr>
      <w:r>
        <w:t xml:space="preserve">It does not identify who the student or instructor is. There's no login or name field anywhere in the app — rows are grouped only by an automatic “session ID” (when the app was started), not a person. Attaching a real name is a deliberate decision left open below.</w:t>
      </w:r>
    </w:p>
    <w:p>
      <w:pPr>
        <w:pStyle w:val="ListParagraph"/>
        <w:numPr>
          <w:ilvl w:val="0"/>
          <w:numId w:val="2"/>
        </w:numPr>
        <w:spacing w:after="80"/>
      </w:pPr>
      <w:r>
        <w:t xml:space="preserve">It does not grade or judge the student's response as correct or incorrect — it only records what happened and how fast. Turning “reaction time / mode after failure” into a pass/fail or 1–4 grade against a defined standard is a training-design decision, not a logging one.</w:t>
      </w:r>
    </w:p>
    <w:p>
      <w:pPr>
        <w:pStyle w:val="ListParagraph"/>
        <w:numPr>
          <w:ilvl w:val="0"/>
          <w:numId w:val="2"/>
        </w:numPr>
        <w:spacing w:after="80"/>
      </w:pPr>
      <w:r>
        <w:t xml:space="preserve">Loss-of-signal and wind/gust failure injection are still placeholders in the app (not yet built) — see the project's own decision log — so there is nothing to log for those yet.</w:t>
      </w:r>
    </w:p>
    <w:p>
      <w:pPr>
        <w:pStyle w:val="Heading1"/>
        <w:spacing w:after="150" w:before="300"/>
      </w:pPr>
      <w:r>
        <w:t xml:space="preserve">2. Direct CAP722B requirements this feature touches</w:t>
      </w:r>
    </w:p>
    <w:p>
      <w:pPr>
        <w:spacing w:after="160"/>
      </w:pPr>
      <w:r>
        <w:rPr>
          <w:i/>
          <w:iCs/>
          <w:color w:val="555555"/>
          <w:sz w:val="20"/>
          <w:szCs w:val="20"/>
        </w:rPr>
        <w:t xml:space="preserve">Source: cap_722b_fifthedition_amendment-1.pdf, Chapter 5 (Use of FSTD) and Chapter 2 (RAE(PC) approval requirements).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1700"/>
        <w:gridCol w:w="2400"/>
      </w:tblGrid>
      <w:tr>
        <w:trPr>
          <w:tblHeader/>
        </w:trPr>
        <w:tc>
          <w:tcPr>
            <w:tcW w:type="dxa" w:w="1500"/>
            <w:shd w:fill="1F3864" w:val="clear"/>
            <w:tcMar>
              <w:top w:type="dxa" w:w="80"/>
              <w:left w:type="dxa" w:w="100"/>
              <w:bottom w:type="dxa" w:w="80"/>
              <w:right w:type="dxa" w:w="100"/>
            </w:tcMar>
          </w:tcPr>
          <w:p>
            <w:r>
              <w:rPr>
                <w:b/>
                <w:bCs/>
                <w:sz w:val="20"/>
                <w:szCs w:val="20"/>
              </w:rPr>
              <w:t xml:space="preserve">Clause</w:t>
            </w:r>
          </w:p>
        </w:tc>
        <w:tc>
          <w:tcPr>
            <w:tcW w:type="dxa" w:w="4200"/>
            <w:shd w:fill="1F3864" w:val="clear"/>
            <w:tcMar>
              <w:top w:type="dxa" w:w="80"/>
              <w:left w:type="dxa" w:w="100"/>
              <w:bottom w:type="dxa" w:w="80"/>
              <w:right w:type="dxa" w:w="100"/>
            </w:tcMar>
          </w:tcPr>
          <w:p>
            <w:r>
              <w:rPr>
                <w:b/>
                <w:bCs/>
                <w:sz w:val="20"/>
                <w:szCs w:val="20"/>
              </w:rPr>
              <w:t xml:space="preserve">Requirement</w:t>
            </w:r>
          </w:p>
        </w:tc>
        <w:tc>
          <w:tcPr>
            <w:tcW w:type="dxa" w:w="1700"/>
            <w:shd w:fill="1F3864" w:val="clear"/>
            <w:tcMar>
              <w:top w:type="dxa" w:w="80"/>
              <w:left w:type="dxa" w:w="100"/>
              <w:bottom w:type="dxa" w:w="80"/>
              <w:right w:type="dxa" w:w="100"/>
            </w:tcMar>
          </w:tcPr>
          <w:p>
            <w:r>
              <w:rPr>
                <w:b/>
                <w:bCs/>
                <w:sz w:val="20"/>
                <w:szCs w:val="20"/>
              </w:rPr>
              <w:t xml:space="preserve">Status</w:t>
            </w:r>
          </w:p>
        </w:tc>
        <w:tc>
          <w:tcPr>
            <w:tcW w:type="dxa" w:w="2400"/>
            <w:shd w:fill="1F3864" w:val="clear"/>
            <w:tcMar>
              <w:top w:type="dxa" w:w="80"/>
              <w:left w:type="dxa" w:w="100"/>
              <w:bottom w:type="dxa" w:w="80"/>
              <w:right w:type="dxa" w:w="100"/>
            </w:tcMar>
          </w:tcPr>
          <w:p>
            <w:r>
              <w:rPr>
                <w:b/>
                <w:bCs/>
                <w:sz w:val="20"/>
                <w:szCs w:val="20"/>
              </w:rPr>
              <w:t xml:space="preserve">Notes</w:t>
            </w:r>
          </w:p>
        </w:tc>
      </w:tr>
      <w:tr>
        <w:tc>
          <w:tcPr>
            <w:tcW w:type="dxa" w:w="1500"/>
            <w:tcMar>
              <w:top w:type="dxa" w:w="80"/>
              <w:left w:type="dxa" w:w="100"/>
              <w:bottom w:type="dxa" w:w="80"/>
              <w:right w:type="dxa" w:w="100"/>
            </w:tcMar>
          </w:tcPr>
          <w:p>
            <w:r>
              <w:rPr>
                <w:b w:val="false"/>
                <w:bCs w:val="false"/>
                <w:sz w:val="20"/>
                <w:szCs w:val="20"/>
              </w:rPr>
              <w:t xml:space="preserve">5.3(a)</w:t>
            </w:r>
          </w:p>
        </w:tc>
        <w:tc>
          <w:tcPr>
            <w:tcW w:type="dxa" w:w="4200"/>
            <w:tcMar>
              <w:top w:type="dxa" w:w="80"/>
              <w:left w:type="dxa" w:w="100"/>
              <w:bottom w:type="dxa" w:w="80"/>
              <w:right w:type="dxa" w:w="100"/>
            </w:tcMar>
          </w:tcPr>
          <w:p>
            <w:r>
              <w:rPr>
                <w:b w:val="false"/>
                <w:bCs w:val="false"/>
                <w:sz w:val="20"/>
                <w:szCs w:val="20"/>
              </w:rPr>
              <w:t xml:space="preserve">Instructor station must let the operator control system variables and insert abnormal/emergency conditions.</w:t>
            </w:r>
          </w:p>
        </w:tc>
        <w:tc>
          <w:tcPr>
            <w:tcW w:type="dxa" w:w="1700"/>
            <w:tcMar>
              <w:top w:type="dxa" w:w="80"/>
              <w:left w:type="dxa" w:w="100"/>
              <w:bottom w:type="dxa" w:w="80"/>
              <w:right w:type="dxa" w:w="100"/>
            </w:tcMar>
          </w:tcPr>
          <w:p>
            <w:r>
              <w:rPr>
                <w:b/>
                <w:bCs/>
                <w:sz w:val="20"/>
                <w:szCs w:val="20"/>
              </w:rPr>
              <w:t xml:space="preserve">Built</w:t>
            </w:r>
          </w:p>
        </w:tc>
        <w:tc>
          <w:tcPr>
            <w:tcW w:type="dxa" w:w="2400"/>
            <w:tcMar>
              <w:top w:type="dxa" w:w="80"/>
              <w:left w:type="dxa" w:w="100"/>
              <w:bottom w:type="dxa" w:w="80"/>
              <w:right w:type="dxa" w:w="100"/>
            </w:tcMar>
          </w:tcPr>
          <w:p>
            <w:r>
              <w:rPr>
                <w:b w:val="false"/>
                <w:bCs w:val="false"/>
                <w:sz w:val="20"/>
                <w:szCs w:val="20"/>
              </w:rPr>
              <w:t xml:space="preserve">Confirmed working 10 Aug (freeze, reposition, GPS/motor failure). Now also logged.</w:t>
            </w:r>
          </w:p>
        </w:tc>
      </w:tr>
      <w:tr>
        <w:tc>
          <w:tcPr>
            <w:tcW w:type="dxa" w:w="1500"/>
            <w:shd w:fill="F2F2F2" w:val="clear"/>
            <w:tcMar>
              <w:top w:type="dxa" w:w="80"/>
              <w:left w:type="dxa" w:w="100"/>
              <w:bottom w:type="dxa" w:w="80"/>
              <w:right w:type="dxa" w:w="100"/>
            </w:tcMar>
          </w:tcPr>
          <w:p>
            <w:r>
              <w:rPr>
                <w:b w:val="false"/>
                <w:bCs w:val="false"/>
                <w:sz w:val="20"/>
                <w:szCs w:val="20"/>
              </w:rPr>
              <w:t xml:space="preserve">5.3(c)</w:t>
            </w:r>
          </w:p>
        </w:tc>
        <w:tc>
          <w:tcPr>
            <w:tcW w:type="dxa" w:w="4200"/>
            <w:shd w:fill="F2F2F2" w:val="clear"/>
            <w:tcMar>
              <w:top w:type="dxa" w:w="80"/>
              <w:left w:type="dxa" w:w="100"/>
              <w:bottom w:type="dxa" w:w="80"/>
              <w:right w:type="dxa" w:w="100"/>
            </w:tcMar>
          </w:tcPr>
          <w:p>
            <w:r>
              <w:rPr>
                <w:b w:val="false"/>
                <w:bCs w:val="false"/>
                <w:sz w:val="20"/>
                <w:szCs w:val="20"/>
              </w:rPr>
              <w:t xml:space="preserve">Simulator must have a feedback tool showing the instructor when UA limits (incl. crash limits) are approached/exceeded.</w:t>
            </w:r>
          </w:p>
        </w:tc>
        <w:tc>
          <w:tcPr>
            <w:tcW w:type="dxa" w:w="1700"/>
            <w:shd w:fill="F2F2F2" w:val="clear"/>
            <w:tcMar>
              <w:top w:type="dxa" w:w="80"/>
              <w:left w:type="dxa" w:w="100"/>
              <w:bottom w:type="dxa" w:w="80"/>
              <w:right w:type="dxa" w:w="100"/>
            </w:tcMar>
          </w:tcPr>
          <w:p>
            <w:r>
              <w:rPr>
                <w:b/>
                <w:bCs/>
                <w:sz w:val="20"/>
                <w:szCs w:val="20"/>
              </w:rPr>
              <w:t xml:space="preserve">Not built</w:t>
            </w:r>
          </w:p>
        </w:tc>
        <w:tc>
          <w:tcPr>
            <w:tcW w:type="dxa" w:w="2400"/>
            <w:shd w:fill="F2F2F2" w:val="clear"/>
            <w:tcMar>
              <w:top w:type="dxa" w:w="80"/>
              <w:left w:type="dxa" w:w="100"/>
              <w:bottom w:type="dxa" w:w="80"/>
              <w:right w:type="dxa" w:w="100"/>
            </w:tcMar>
          </w:tcPr>
          <w:p>
            <w:r>
              <w:rPr>
                <w:b w:val="false"/>
                <w:bCs w:val="false"/>
                <w:sz w:val="20"/>
                <w:szCs w:val="20"/>
              </w:rPr>
              <w:t xml:space="preserve">Separate from today's work. No limit-exceedance indicator exists yet in the app — flagged as outstanding in the 10 Aug test log too.</w:t>
            </w:r>
          </w:p>
        </w:tc>
      </w:tr>
      <w:tr>
        <w:tc>
          <w:tcPr>
            <w:tcW w:type="dxa" w:w="1500"/>
            <w:tcMar>
              <w:top w:type="dxa" w:w="80"/>
              <w:left w:type="dxa" w:w="100"/>
              <w:bottom w:type="dxa" w:w="80"/>
              <w:right w:type="dxa" w:w="100"/>
            </w:tcMar>
          </w:tcPr>
          <w:p>
            <w:r>
              <w:rPr>
                <w:b w:val="false"/>
                <w:bCs w:val="false"/>
                <w:sz w:val="20"/>
                <w:szCs w:val="20"/>
              </w:rPr>
              <w:t xml:space="preserve">5.5(h)</w:t>
            </w:r>
          </w:p>
        </w:tc>
        <w:tc>
          <w:tcPr>
            <w:tcW w:type="dxa" w:w="4200"/>
            <w:tcMar>
              <w:top w:type="dxa" w:w="80"/>
              <w:left w:type="dxa" w:w="100"/>
              <w:bottom w:type="dxa" w:w="80"/>
              <w:right w:type="dxa" w:w="100"/>
            </w:tcMar>
          </w:tcPr>
          <w:p>
            <w:r>
              <w:rPr>
                <w:b w:val="false"/>
                <w:bCs w:val="false"/>
                <w:sz w:val="20"/>
                <w:szCs w:val="20"/>
              </w:rPr>
              <w:t xml:space="preserve">Flight dynamics model must account for cause-and-effect of mechanical/electronics failures.</w:t>
            </w:r>
          </w:p>
        </w:tc>
        <w:tc>
          <w:tcPr>
            <w:tcW w:type="dxa" w:w="1700"/>
            <w:tcMar>
              <w:top w:type="dxa" w:w="80"/>
              <w:left w:type="dxa" w:w="100"/>
              <w:bottom w:type="dxa" w:w="80"/>
              <w:right w:type="dxa" w:w="100"/>
            </w:tcMar>
          </w:tcPr>
          <w:p>
            <w:r>
              <w:rPr>
                <w:b/>
                <w:bCs/>
                <w:sz w:val="20"/>
                <w:szCs w:val="20"/>
              </w:rPr>
              <w:t xml:space="preserve">Partial</w:t>
            </w:r>
          </w:p>
        </w:tc>
        <w:tc>
          <w:tcPr>
            <w:tcW w:type="dxa" w:w="2400"/>
            <w:tcMar>
              <w:top w:type="dxa" w:w="80"/>
              <w:left w:type="dxa" w:w="100"/>
              <w:bottom w:type="dxa" w:w="80"/>
              <w:right w:type="dxa" w:w="100"/>
            </w:tcMar>
          </w:tcPr>
          <w:p>
            <w:r>
              <w:rPr>
                <w:b w:val="false"/>
                <w:bCs w:val="false"/>
                <w:sz w:val="20"/>
                <w:szCs w:val="20"/>
              </w:rPr>
              <w:t xml:space="preserve">Motor and engine failure injection confirmed visually working. GPS failure relies on the custom proxy workaround (PX4's own GPS failure command is a known-broken PX4 bug, #22296).</w:t>
            </w:r>
          </w:p>
        </w:tc>
      </w:tr>
      <w:tr>
        <w:tc>
          <w:tcPr>
            <w:tcW w:type="dxa" w:w="1500"/>
            <w:shd w:fill="F2F2F2" w:val="clear"/>
            <w:tcMar>
              <w:top w:type="dxa" w:w="80"/>
              <w:left w:type="dxa" w:w="100"/>
              <w:bottom w:type="dxa" w:w="80"/>
              <w:right w:type="dxa" w:w="100"/>
            </w:tcMar>
          </w:tcPr>
          <w:p>
            <w:r>
              <w:rPr>
                <w:b w:val="false"/>
                <w:bCs w:val="false"/>
                <w:sz w:val="20"/>
                <w:szCs w:val="20"/>
              </w:rPr>
              <w:t xml:space="preserve">5.5(l)</w:t>
            </w:r>
          </w:p>
        </w:tc>
        <w:tc>
          <w:tcPr>
            <w:tcW w:type="dxa" w:w="4200"/>
            <w:shd w:fill="F2F2F2" w:val="clear"/>
            <w:tcMar>
              <w:top w:type="dxa" w:w="80"/>
              <w:left w:type="dxa" w:w="100"/>
              <w:bottom w:type="dxa" w:w="80"/>
              <w:right w:type="dxa" w:w="100"/>
            </w:tcMar>
          </w:tcPr>
          <w:p>
            <w:r>
              <w:rPr>
                <w:b w:val="false"/>
                <w:bCs w:val="false"/>
                <w:sz w:val="20"/>
                <w:szCs w:val="20"/>
              </w:rPr>
              <w:t xml:space="preserve">Modelling of GPS performance during nominal and degraded operation.</w:t>
            </w:r>
          </w:p>
        </w:tc>
        <w:tc>
          <w:tcPr>
            <w:tcW w:type="dxa" w:w="1700"/>
            <w:shd w:fill="F2F2F2" w:val="clear"/>
            <w:tcMar>
              <w:top w:type="dxa" w:w="80"/>
              <w:left w:type="dxa" w:w="100"/>
              <w:bottom w:type="dxa" w:w="80"/>
              <w:right w:type="dxa" w:w="100"/>
            </w:tcMar>
          </w:tcPr>
          <w:p>
            <w:r>
              <w:rPr>
                <w:b/>
                <w:bCs/>
                <w:sz w:val="20"/>
                <w:szCs w:val="20"/>
              </w:rPr>
              <w:t xml:space="preserve">Partial</w:t>
            </w:r>
          </w:p>
        </w:tc>
        <w:tc>
          <w:tcPr>
            <w:tcW w:type="dxa" w:w="2400"/>
            <w:shd w:fill="F2F2F2" w:val="clear"/>
            <w:tcMar>
              <w:top w:type="dxa" w:w="80"/>
              <w:left w:type="dxa" w:w="100"/>
              <w:bottom w:type="dxa" w:w="80"/>
              <w:right w:type="dxa" w:w="100"/>
            </w:tcMar>
          </w:tcPr>
          <w:p>
            <w:r>
              <w:rPr>
                <w:b w:val="false"/>
                <w:bCs w:val="false"/>
                <w:sz w:val="20"/>
                <w:szCs w:val="20"/>
              </w:rPr>
              <w:t xml:space="preserve">Covered via the GPS dropout proxy, not PX4's native failure injection. Whether this is realistic/graduated enough (vs. instant total loss) is still an open training-design question.</w:t>
            </w:r>
          </w:p>
        </w:tc>
      </w:tr>
      <w:tr>
        <w:tc>
          <w:tcPr>
            <w:tcW w:type="dxa" w:w="1500"/>
            <w:tcMar>
              <w:top w:type="dxa" w:w="80"/>
              <w:left w:type="dxa" w:w="100"/>
              <w:bottom w:type="dxa" w:w="80"/>
              <w:right w:type="dxa" w:w="100"/>
            </w:tcMar>
          </w:tcPr>
          <w:p>
            <w:r>
              <w:rPr>
                <w:b w:val="false"/>
                <w:bCs w:val="false"/>
                <w:sz w:val="20"/>
                <w:szCs w:val="20"/>
              </w:rPr>
              <w:t xml:space="preserve">2.2(g)</w:t>
            </w:r>
          </w:p>
        </w:tc>
        <w:tc>
          <w:tcPr>
            <w:tcW w:type="dxa" w:w="4200"/>
            <w:tcMar>
              <w:top w:type="dxa" w:w="80"/>
              <w:left w:type="dxa" w:w="100"/>
              <w:bottom w:type="dxa" w:w="80"/>
              <w:right w:type="dxa" w:w="100"/>
            </w:tcMar>
          </w:tcPr>
          <w:p>
            <w:r>
              <w:rPr>
                <w:b w:val="false"/>
                <w:bCs w:val="false"/>
                <w:sz w:val="20"/>
                <w:szCs w:val="20"/>
              </w:rPr>
              <w:t xml:space="preserve">RAE must keep training records (incl. practical flight training events) for 5 years, stored securely against damage or tampering; digital storage recommended.</w:t>
            </w:r>
          </w:p>
        </w:tc>
        <w:tc>
          <w:tcPr>
            <w:tcW w:type="dxa" w:w="1700"/>
            <w:tcMar>
              <w:top w:type="dxa" w:w="80"/>
              <w:left w:type="dxa" w:w="100"/>
              <w:bottom w:type="dxa" w:w="80"/>
              <w:right w:type="dxa" w:w="100"/>
            </w:tcMar>
          </w:tcPr>
          <w:p>
            <w:r>
              <w:rPr>
                <w:b/>
                <w:bCs/>
                <w:sz w:val="20"/>
                <w:szCs w:val="20"/>
              </w:rPr>
              <w:t xml:space="preserve">Needs your decision</w:t>
            </w:r>
          </w:p>
        </w:tc>
        <w:tc>
          <w:tcPr>
            <w:tcW w:type="dxa" w:w="2400"/>
            <w:tcMar>
              <w:top w:type="dxa" w:w="80"/>
              <w:left w:type="dxa" w:w="100"/>
              <w:bottom w:type="dxa" w:w="80"/>
              <w:right w:type="dxa" w:w="100"/>
            </w:tcMar>
          </w:tcPr>
          <w:p>
            <w:r>
              <w:rPr>
                <w:b w:val="false"/>
                <w:bCs w:val="false"/>
                <w:sz w:val="20"/>
                <w:szCs w:val="20"/>
              </w:rPr>
              <w:t xml:space="preserve">The CSV file itself has no retention policy, backup, or tamper-protection yet — see section 4.</w:t>
            </w:r>
          </w:p>
        </w:tc>
      </w:tr>
      <w:tr>
        <w:tc>
          <w:tcPr>
            <w:tcW w:type="dxa" w:w="1500"/>
            <w:shd w:fill="F2F2F2" w:val="clear"/>
            <w:tcMar>
              <w:top w:type="dxa" w:w="80"/>
              <w:left w:type="dxa" w:w="100"/>
              <w:bottom w:type="dxa" w:w="80"/>
              <w:right w:type="dxa" w:w="100"/>
            </w:tcMar>
          </w:tcPr>
          <w:p>
            <w:r>
              <w:rPr>
                <w:b w:val="false"/>
                <w:bCs w:val="false"/>
                <w:sz w:val="20"/>
                <w:szCs w:val="20"/>
              </w:rPr>
              <w:t xml:space="preserve">2.2(f)</w:t>
            </w:r>
          </w:p>
        </w:tc>
        <w:tc>
          <w:tcPr>
            <w:tcW w:type="dxa" w:w="4200"/>
            <w:shd w:fill="F2F2F2" w:val="clear"/>
            <w:tcMar>
              <w:top w:type="dxa" w:w="80"/>
              <w:left w:type="dxa" w:w="100"/>
              <w:bottom w:type="dxa" w:w="80"/>
              <w:right w:type="dxa" w:w="100"/>
            </w:tcMar>
          </w:tcPr>
          <w:p>
            <w:r>
              <w:rPr>
                <w:b w:val="false"/>
                <w:bCs w:val="false"/>
                <w:sz w:val="20"/>
                <w:szCs w:val="20"/>
              </w:rPr>
              <w:t xml:space="preserve">Personal data must comply with UK GDPR and the Data Protection Act 2018.</w:t>
            </w:r>
          </w:p>
        </w:tc>
        <w:tc>
          <w:tcPr>
            <w:tcW w:type="dxa" w:w="1700"/>
            <w:shd w:fill="F2F2F2" w:val="clear"/>
            <w:tcMar>
              <w:top w:type="dxa" w:w="80"/>
              <w:left w:type="dxa" w:w="100"/>
              <w:bottom w:type="dxa" w:w="80"/>
              <w:right w:type="dxa" w:w="100"/>
            </w:tcMar>
          </w:tcPr>
          <w:p>
            <w:r>
              <w:rPr>
                <w:b/>
                <w:bCs/>
                <w:sz w:val="20"/>
                <w:szCs w:val="20"/>
              </w:rPr>
              <w:t xml:space="preserve">Needs your decision</w:t>
            </w:r>
          </w:p>
        </w:tc>
        <w:tc>
          <w:tcPr>
            <w:tcW w:type="dxa" w:w="2400"/>
            <w:shd w:fill="F2F2F2" w:val="clear"/>
            <w:tcMar>
              <w:top w:type="dxa" w:w="80"/>
              <w:left w:type="dxa" w:w="100"/>
              <w:bottom w:type="dxa" w:w="80"/>
              <w:right w:type="dxa" w:w="100"/>
            </w:tcMar>
          </w:tcPr>
          <w:p>
            <w:r>
              <w:rPr>
                <w:b w:val="false"/>
                <w:bCs w:val="false"/>
                <w:sz w:val="20"/>
                <w:szCs w:val="20"/>
              </w:rPr>
              <w:t xml:space="preserve">The log currently holds no personal data at all (no names). The moment a student/instructor identifier is added, this becomes directly engaged — see section 4.</w:t>
            </w:r>
          </w:p>
        </w:tc>
      </w:tr>
    </w:tbl>
    <w:p>
      <w:pPr>
        <w:pStyle w:val="Heading1"/>
        <w:spacing w:after="150" w:before="300"/>
      </w:pPr>
      <w:r>
        <w:t xml:space="preserve">3. Flagged for your (or your Head of Training's) sign-off</w:t>
      </w:r>
    </w:p>
    <w:p>
      <w:pPr>
        <w:spacing w:after="140"/>
      </w:pPr>
      <w:r>
        <w:t xml:space="preserve">These are genuine judgement calls this software should not make on its own:</w:t>
      </w:r>
    </w:p>
    <w:p>
      <w:pPr>
        <w:pStyle w:val="ListParagraph"/>
        <w:numPr>
          <w:ilvl w:val="0"/>
          <w:numId w:val="2"/>
        </w:numPr>
        <w:spacing w:after="80"/>
      </w:pPr>
      <w:r>
        <w:t xml:space="preserve">Student and instructor identification. How should a training session be tied to a named student and instructor in the log? (A name typed in at session start? Linked to a roster elsewhere? This also decides how UK GDPR applies to this specific file.)</w:t>
      </w:r>
    </w:p>
    <w:p>
      <w:pPr>
        <w:pStyle w:val="ListParagraph"/>
        <w:numPr>
          <w:ilvl w:val="0"/>
          <w:numId w:val="2"/>
        </w:numPr>
        <w:spacing w:after="80"/>
      </w:pPr>
      <w:r>
        <w:t xml:space="preserve">What counts as “correct” in response to a failure. The app now records what happened and how fast — it does not yet know what the right procedure was, so it can't flag a wrong response, only a recorded one. Defining that is a training-design/assessment question.</w:t>
      </w:r>
    </w:p>
    <w:p>
      <w:pPr>
        <w:pStyle w:val="ListParagraph"/>
        <w:numPr>
          <w:ilvl w:val="0"/>
          <w:numId w:val="2"/>
        </w:numPr>
        <w:spacing w:after="80"/>
      </w:pPr>
      <w:r>
        <w:t xml:space="preserve">The 45-second no-response window. This was chosen as a reasonable default, not derived from any CAP722B figure or your syllabus. Confirm it's the right threshold for RPC-L1 Part A scenarios before relying on “no_mode_change_response” rows for anything formal.</w:t>
      </w:r>
    </w:p>
    <w:p>
      <w:pPr>
        <w:pStyle w:val="ListParagraph"/>
        <w:numPr>
          <w:ilvl w:val="0"/>
          <w:numId w:val="2"/>
        </w:numPr>
        <w:spacing w:after="80"/>
      </w:pPr>
      <w:r>
        <w:t xml:space="preserve">Retention, backup, and tamper-protection for the log file itself, per CAP722B 2.2(g) (5-year retention, secure storage). Right now it's a single CSV file on one laptop with no backup and no protection against accidental edits.</w:t>
      </w:r>
    </w:p>
    <w:p>
      <w:pPr>
        <w:pStyle w:val="ListParagraph"/>
        <w:numPr>
          <w:ilvl w:val="0"/>
          <w:numId w:val="2"/>
        </w:numPr>
        <w:spacing w:after="80"/>
      </w:pPr>
      <w:r>
        <w:t xml:space="preserve">Whether GPS failure via the custom proxy workaround is an acceptable substitute for PX4's native (currently broken) failure injection for CAP722B 5.5(l) sign-off, or whether that needs its own Statement of Compliance explaining the workaround.</w:t>
      </w:r>
    </w:p>
    <w:p>
      <w:pPr>
        <w:pStyle w:val="Heading1"/>
        <w:spacing w:after="150" w:before="300"/>
      </w:pPr>
      <w:r>
        <w:t xml:space="preserve">4. Broader checklist — so nothing surfaces late</w:t>
      </w:r>
    </w:p>
    <w:p>
      <w:pPr>
        <w:spacing w:after="140"/>
      </w:pPr>
      <w:r>
        <w:t xml:space="preserve">You asked to be told now if there's anything you'll wish you'd handled earlier. These come directly from CAP722B and the RPC-L1 templates already in this project, not from assumptions:</w:t>
      </w:r>
    </w:p>
    <w:p>
      <w:pPr>
        <w:pStyle w:val="Heading2"/>
        <w:spacing w:after="120" w:before="240"/>
      </w:pPr>
      <w:r>
        <w:t xml:space="preserve">Records &amp; data</w:t>
      </w:r>
    </w:p>
    <w:p>
      <w:pPr>
        <w:pStyle w:val="ListParagraph"/>
        <w:numPr>
          <w:ilvl w:val="0"/>
          <w:numId w:val="2"/>
        </w:numPr>
        <w:spacing w:after="80"/>
      </w:pPr>
      <w:r>
        <w:t xml:space="preserve">5-year retention for training records, RPC certificates issued, and any recommendation made to the CAA (CAP722B 2.2(g)). Nothing currently enforces this for the new log file — it will just accumulate on the X600 laptop indefinitely unless a backup/archive plan is set up.</w:t>
      </w:r>
    </w:p>
    <w:p>
      <w:pPr>
        <w:pStyle w:val="ListParagraph"/>
        <w:numPr>
          <w:ilvl w:val="0"/>
          <w:numId w:val="2"/>
        </w:numPr>
        <w:spacing w:after="80"/>
      </w:pPr>
      <w:r>
        <w:t xml:space="preserve">Records must be stored “in a secure manner to ensure no damage to, or tampering of, records can occur” — digital storage is recommended, but a single editable CSV with no access control or backup does not yet meet that bar.</w:t>
      </w:r>
    </w:p>
    <w:p>
      <w:pPr>
        <w:pStyle w:val="ListParagraph"/>
        <w:numPr>
          <w:ilvl w:val="0"/>
          <w:numId w:val="2"/>
        </w:numPr>
        <w:spacing w:after="80"/>
      </w:pPr>
      <w:r>
        <w:t xml:space="preserve">Once any student name is attached to a record, UK GDPR / Data Protection Act 2018 compliance applies (CAP722B 2.2(f)) — who can see the file, how long it's kept, and how a student could request their own data.</w:t>
      </w:r>
    </w:p>
    <w:p>
      <w:pPr>
        <w:pStyle w:val="ListParagraph"/>
        <w:numPr>
          <w:ilvl w:val="0"/>
          <w:numId w:val="2"/>
        </w:numPr>
        <w:spacing w:after="80"/>
      </w:pPr>
      <w:r>
        <w:t xml:space="preserve">The RAE must also keep records of quarterly internal safety reviews and any recommendation made to the CAA (2.2(g)(3)–(4)) — unrelated to this app, but part of the same 5-year retention rule, worth keeping in the same place/plan.</w:t>
      </w:r>
    </w:p>
    <w:p>
      <w:pPr>
        <w:pStyle w:val="Heading2"/>
        <w:spacing w:after="120" w:before="240"/>
      </w:pPr>
      <w:r>
        <w:t xml:space="preserve">Instructor station &amp; FSTD technical requirements (CAP722B Ch.5)</w:t>
      </w:r>
    </w:p>
    <w:p>
      <w:pPr>
        <w:pStyle w:val="ListParagraph"/>
        <w:numPr>
          <w:ilvl w:val="0"/>
          <w:numId w:val="2"/>
        </w:numPr>
        <w:spacing w:after="80"/>
      </w:pPr>
      <w:r>
        <w:t xml:space="preserve">5.2(c): a technical logbook must be maintained and accessible before the FSTD is operated, recording tests, results, and defects — separate from the new event log, and not yet built.</w:t>
      </w:r>
    </w:p>
    <w:p>
      <w:pPr>
        <w:pStyle w:val="ListParagraph"/>
        <w:numPr>
          <w:ilvl w:val="0"/>
          <w:numId w:val="2"/>
        </w:numPr>
        <w:spacing w:after="80"/>
      </w:pPr>
      <w:r>
        <w:t xml:space="preserve">5.2(d): the FSTD must show visual response time (ms) and frame rate (fps) on screen — not currently in the Instructor Station UI.</w:t>
      </w:r>
    </w:p>
    <w:p>
      <w:pPr>
        <w:pStyle w:val="ListParagraph"/>
        <w:numPr>
          <w:ilvl w:val="0"/>
          <w:numId w:val="2"/>
        </w:numPr>
        <w:spacing w:after="80"/>
      </w:pPr>
      <w:r>
        <w:t xml:space="preserve">5.3(c): a feedback tool showing when UA limits (including crash limits) are being approached/exceeded — still outstanding, flagged in the 10 Aug test log.</w:t>
      </w:r>
    </w:p>
    <w:p>
      <w:pPr>
        <w:pStyle w:val="ListParagraph"/>
        <w:numPr>
          <w:ilvl w:val="0"/>
          <w:numId w:val="2"/>
        </w:numPr>
        <w:spacing w:after="80"/>
      </w:pPr>
      <w:r>
        <w:t xml:space="preserve">5.7: before this simulator is used for real training, a Simulator Qualification Manual (SQM) must be written and submitted to the CAA for approval, including Statements of Compliance (SOCs) for each Chapter 5 requirement, a test plan/report for each, and a configuration-control system to keep the qualified hardware/software from drifting afterward.</w:t>
      </w:r>
    </w:p>
    <w:p>
      <w:pPr>
        <w:pStyle w:val="Heading2"/>
        <w:spacing w:after="120" w:before="240"/>
      </w:pPr>
      <w:r>
        <w:t xml:space="preserve">Assessment &amp; grading (from the RPC-L1 CAP3252/CAP3253 templates already in this project)</w:t>
      </w:r>
    </w:p>
    <w:p>
      <w:pPr>
        <w:pStyle w:val="ListParagraph"/>
        <w:numPr>
          <w:ilvl w:val="0"/>
          <w:numId w:val="2"/>
        </w:numPr>
        <w:spacing w:after="80"/>
      </w:pPr>
      <w:r>
        <w:t xml:space="preserve">Training records must show, as a minimum: theoretical assessment, practical flight training events, and practical flight assessment — the new log covers only the practical/simulated flight event side.</w:t>
      </w:r>
    </w:p>
    <w:p>
      <w:pPr>
        <w:pStyle w:val="ListParagraph"/>
        <w:numPr>
          <w:ilvl w:val="0"/>
          <w:numId w:val="2"/>
        </w:numPr>
        <w:spacing w:after="80"/>
      </w:pPr>
      <w:r>
        <w:t xml:space="preserve">If a grading scale is used, CAP722B guidance expects an even number of grades (the templates show a 1–4 scale: Above Standard / Standard Achieved / Consolidation Required / Practice Required) with a defined meaning for each — not something this logging change should invent unilaterally.</w:t>
      </w:r>
    </w:p>
    <w:p>
      <w:pPr>
        <w:pStyle w:val="ListParagraph"/>
        <w:numPr>
          <w:ilvl w:val="0"/>
          <w:numId w:val="2"/>
        </w:numPr>
        <w:spacing w:after="80"/>
      </w:pPr>
      <w:r>
        <w:t xml:space="preserve">Instructor reports are expected to be countersigned by the student, per the RAE's own training-record procedure — a workflow step, not something the app currently supports or needs to.</w:t>
      </w:r>
    </w:p>
    <w:p>
      <w:pPr>
        <w:pStyle w:val="ListParagraph"/>
        <w:numPr>
          <w:ilvl w:val="0"/>
          <w:numId w:val="2"/>
        </w:numPr>
        <w:spacing w:after="80"/>
      </w:pPr>
      <w:r>
        <w:t xml:space="preserve">Impartiality rule (CAP722B 2.7(d)): an instructor who has given more than 25% of a student's required flight instruction must not also be the one who assesses that student. Not a software concern, but worth keeping in mind once session/student data is attached to logs that feed into assessment decisions.</w:t>
      </w:r>
    </w:p>
    <w:p>
      <w:pPr>
        <w:pStyle w:val="Heading1"/>
        <w:spacing w:after="150" w:before="300"/>
      </w:pPr>
      <w:r>
        <w:t xml:space="preserve">5. Sources</w:t>
      </w:r>
    </w:p>
    <w:p>
      <w:pPr>
        <w:pStyle w:val="ListParagraph"/>
        <w:numPr>
          <w:ilvl w:val="0"/>
          <w:numId w:val="2"/>
        </w:numPr>
        <w:spacing w:after="80"/>
      </w:pPr>
      <w:r>
        <w:t xml:space="preserve">cap_722b_fifthedition_amendment-1.pdf — Chapter 2 (RAE(PC) approval requirements, records, impartiality) and Chapter 5 (Use of FSTD).</w:t>
      </w:r>
    </w:p>
    <w:p>
      <w:pPr>
        <w:pStyle w:val="ListParagraph"/>
        <w:numPr>
          <w:ilvl w:val="0"/>
          <w:numId w:val="2"/>
        </w:numPr>
        <w:spacing w:after="80"/>
      </w:pPr>
      <w:r>
        <w:t xml:space="preserve">master_rpc-l1_template_fw_cap3252.docx / master_rpc-l1_template_rotor_cap3253.docx — training record form, grading scheme, countersignature.</w:t>
      </w:r>
    </w:p>
    <w:p>
      <w:pPr>
        <w:pStyle w:val="ListParagraph"/>
        <w:numPr>
          <w:ilvl w:val="0"/>
          <w:numId w:val="2"/>
        </w:numPr>
        <w:spacing w:after="80"/>
      </w:pPr>
      <w:r>
        <w:t xml:space="preserve">RAE Meeting slides March 26 (2).pdf — competency-based grading model, core tasks required every flight.</w:t>
      </w:r>
    </w:p>
    <w:p>
      <w:pPr>
        <w:pStyle w:val="ListParagraph"/>
        <w:numPr>
          <w:ilvl w:val="0"/>
          <w:numId w:val="2"/>
        </w:numPr>
        <w:spacing w:after="80"/>
      </w:pPr>
      <w:r>
        <w:t xml:space="preserve">10.08.2026 decision-log Instructor Station — v1 prototype, first live test.md; 10.08.2026 decisions-log-addition-gps-dropout-proxy.md — this project's own prior notes on what's working and what isn't.</w:t>
      </w:r>
    </w:p>
    <w:p>
      <w:pPr>
        <w:spacing w:before="200"/>
      </w:pPr>
      <w:r>
        <w:rPr>
          <w:i/>
          <w:iCs/>
          <w:color w:val="777777"/>
          <w:sz w:val="20"/>
          <w:szCs w:val="20"/>
        </w:rPr>
        <w:t xml:space="preserve">This document does not replace a Simulator Qualification Manual or exposition — it is a working note for this project only.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2026-08-23T09:33:11.141Z</dcterms:created>
  <dcterms:modified xsi:type="dcterms:W3CDTF">2026-08-23T09:33:11.158Z</dcterms:modified>
</cp:coreProperties>
</file>

<file path=docProps/custom.xml><?xml version="1.0" encoding="utf-8"?>
<Properties xmlns="http://schemas.openxmlformats.org/officeDocument/2006/custom-properties" xmlns:vt="http://schemas.openxmlformats.org/officeDocument/2006/docPropsVTypes"/>
</file>