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namespace blokdur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kodlari qruplasdirmaq ucundur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iki eyni adli seylerin toqqusmamasi ucundur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mes. windows.h daki rectangle ile oz rectangle classimiz toqqusa biler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kodun oxunarligini artirmaq ucundur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header file namespacesiz yazilan kodlar global namespace dedir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global namespacede her sey bir birini gorur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 std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eger std varsa hemin namespace skoplarin icinde yazdiqlarimizi elave edir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yoxdursa yenisini yaradir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namespace Network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namespace HTTP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namespace HttpClient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class HttpClientRequest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Qisaltma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namespace NHH = Network::HTTP::HttpClient;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//Network::HTTP::HttpClient::HttpClientRequest client;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Yuxardakinin evezine asagidakini yazmaq olar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NHH::HttpClientRequest client2;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