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Monolite structure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accessi ayri bir yere cixaririq.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UI - i ayirmaq.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00425" cy="436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Microservice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Complex olan proyektleri ssadelesdirmek ucundur.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xirda applicationlar olur ve onlarin her birinde monolit structure olur.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26995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699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Monolith Structure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App.Server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tMM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App.Business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lazim olan servisler buradadir.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App.Core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App.DataAccess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DAL (D</w:t>
      </w:r>
      <w:r w:rsidDel="00000000" w:rsidR="00000000" w:rsidRPr="00000000">
        <w:rPr>
          <w:rtl w:val="0"/>
        </w:rPr>
        <w:t xml:space="preserve">ata Access Layer) claslari buradadir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Database e access, database ucun metodlar buradadir.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App.Entities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Butun classlari mes car, human ve s. kimi classlari burada saxlayiriq.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