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Georgia" w:hAnsi="Georgia"/>
          <w:color w:val="16130E"/>
          <w:sz w:val="54"/>
        </w:rPr>
        <w:t>14-Day TikTok Traffic Calendar</w:t>
      </w:r>
    </w:p>
    <w:p>
      <w:pPr>
        <w:pStyle w:val="Heading1"/>
      </w:pPr>
      <w:r>
        <w:t>The Digital Tycoon Traffic Engine</w:t>
      </w:r>
    </w:p>
    <w:p>
      <w:pPr>
        <w:pStyle w:val="Quote"/>
      </w:pPr>
      <w:r>
        <w:rPr>
          <w:b/>
        </w:rPr>
        <w:t>Execution rule:</w:t>
      </w:r>
      <w:r>
        <w:t xml:space="preserve"> Every script opens with its </w:t>
      </w:r>
      <w:r>
        <w:rPr>
          <w:b/>
        </w:rPr>
        <w:t>hook + twist on screen and spoken in the first 0.5 seconds</w:t>
      </w:r>
      <w:r>
        <w:t>. Film vertically, frame the face or primary visual tightly, add burned-in captions, and use one visual shift around the 4–6 second mark. The public post gives a complete micro-lesson; the call to action directs the viewer to one next move only.</w:t>
      </w:r>
    </w:p>
    <w:p>
      <w:pPr>
        <w:pStyle w:val="Quote"/>
      </w:pPr>
      <w:r>
        <w:rPr>
          <w:b/>
        </w:rPr>
        <w:t>Legal-content rule for Days 8–14:</w:t>
      </w:r>
      <w:r>
        <w:t xml:space="preserve"> These posts are educational organization and self-management content, not legal advice. Never claim to predict court results, tell viewers to violate an order, coach testimony, hide information, retaliate, harass someone, or record people where it is unlawful. Add a short caption line such as: “General education only—get local legal advice for your own matter.”</w:t>
      </w:r>
    </w:p>
    <w:p>
      <w:pPr>
        <w:pStyle w:val="Heading1"/>
      </w:pPr>
      <w:r>
        <w:t>Calendar at a Glance</w:t>
      </w:r>
    </w:p>
    <w:tbl>
      <w:tblPr>
        <w:tblStyle w:val="TableGrid"/>
        <w:tblW w:type="auto" w:w="0"/>
        <w:tblLayout w:type="autofit"/>
        <w:tblLook w:firstColumn="1" w:firstRow="1" w:lastColumn="0" w:lastRow="0" w:noHBand="0" w:noVBand="1" w:val="04A0"/>
      </w:tblPr>
      <w:tblGrid>
        <w:gridCol w:w="2570"/>
        <w:gridCol w:w="2570"/>
        <w:gridCol w:w="2570"/>
        <w:gridCol w:w="2570"/>
      </w:tblGrid>
      <w:tr>
        <w:trPr>
          <w:tblHeader w:val="true"/>
        </w:trPr>
        <w:tc>
          <w:tcPr>
            <w:tcW w:type="dxa" w:w="2570"/>
            <w:vAlign w:val="top"/>
            <w:tcMar>
              <w:top w:w="100" w:type="dxa"/>
              <w:start w:w="130" w:type="dxa"/>
              <w:bottom w:w="100" w:type="dxa"/>
              <w:end w:w="130" w:type="dxa"/>
            </w:tcMar>
            <w:shd w:fill="25211A"/>
          </w:tcPr>
          <w:p>
            <w:pPr>
              <w:spacing w:after="0" w:before="0"/>
            </w:pPr>
            <w:r>
              <w:rPr>
                <w:rFonts w:ascii="Aptos" w:hAnsi="Aptos"/>
                <w:b/>
                <w:color w:val="FBF6EC"/>
                <w:sz w:val="16"/>
              </w:rPr>
              <w:t>Days</w:t>
            </w:r>
          </w:p>
        </w:tc>
        <w:tc>
          <w:tcPr>
            <w:tcW w:type="dxa" w:w="2570"/>
            <w:vAlign w:val="top"/>
            <w:tcMar>
              <w:top w:w="100" w:type="dxa"/>
              <w:start w:w="130" w:type="dxa"/>
              <w:bottom w:w="100" w:type="dxa"/>
              <w:end w:w="130" w:type="dxa"/>
            </w:tcMar>
            <w:shd w:fill="25211A"/>
          </w:tcPr>
          <w:p>
            <w:pPr>
              <w:spacing w:after="0" w:before="0"/>
            </w:pPr>
            <w:r>
              <w:rPr>
                <w:rFonts w:ascii="Aptos" w:hAnsi="Aptos"/>
                <w:b/>
                <w:color w:val="FBF6EC"/>
                <w:sz w:val="16"/>
              </w:rPr>
              <w:t>Destination</w:t>
            </w:r>
          </w:p>
        </w:tc>
        <w:tc>
          <w:tcPr>
            <w:tcW w:type="dxa" w:w="2570"/>
            <w:vAlign w:val="top"/>
            <w:tcMar>
              <w:top w:w="100" w:type="dxa"/>
              <w:start w:w="130" w:type="dxa"/>
              <w:bottom w:w="100" w:type="dxa"/>
              <w:end w:w="130" w:type="dxa"/>
            </w:tcMar>
            <w:shd w:fill="25211A"/>
          </w:tcPr>
          <w:p>
            <w:pPr>
              <w:spacing w:after="0" w:before="0"/>
            </w:pPr>
            <w:r>
              <w:rPr>
                <w:rFonts w:ascii="Aptos" w:hAnsi="Aptos"/>
                <w:b/>
                <w:color w:val="FBF6EC"/>
                <w:sz w:val="16"/>
              </w:rPr>
              <w:t>Objective</w:t>
            </w:r>
          </w:p>
        </w:tc>
        <w:tc>
          <w:tcPr>
            <w:tcW w:type="dxa" w:w="2570"/>
            <w:vAlign w:val="top"/>
            <w:tcMar>
              <w:top w:w="100" w:type="dxa"/>
              <w:start w:w="130" w:type="dxa"/>
              <w:bottom w:w="100" w:type="dxa"/>
              <w:end w:w="130" w:type="dxa"/>
            </w:tcMar>
            <w:shd w:fill="25211A"/>
          </w:tcPr>
          <w:p>
            <w:pPr>
              <w:spacing w:after="0" w:before="0"/>
            </w:pPr>
            <w:r>
              <w:rPr>
                <w:rFonts w:ascii="Aptos" w:hAnsi="Aptos"/>
                <w:b/>
                <w:color w:val="FBF6EC"/>
                <w:sz w:val="16"/>
              </w:rPr>
              <w:t>CTA split</w:t>
            </w:r>
          </w:p>
        </w:tc>
      </w:tr>
      <w:tr>
        <w:tc>
          <w:tcPr>
            <w:tcW w:type="dxa" w:w="2570"/>
            <w:vAlign w:val="top"/>
            <w:tcMar>
              <w:top w:w="100" w:type="dxa"/>
              <w:start w:w="130" w:type="dxa"/>
              <w:bottom w:w="100" w:type="dxa"/>
              <w:end w:w="130" w:type="dxa"/>
            </w:tcMar>
            <w:shd w:fill="FBF6EC"/>
          </w:tcPr>
          <w:p>
            <w:pPr>
              <w:spacing w:after="0" w:before="0"/>
            </w:pPr>
            <w:r>
              <w:rPr>
                <w:rFonts w:ascii="Aptos" w:hAnsi="Aptos"/>
                <w:b/>
                <w:color w:val="16130E"/>
                <w:sz w:val="17"/>
              </w:rPr>
              <w:t>1–7</w:t>
            </w:r>
          </w:p>
        </w:tc>
        <w:tc>
          <w:tcPr>
            <w:tcW w:type="dxa" w:w="2570"/>
            <w:vAlign w:val="top"/>
            <w:tcMar>
              <w:top w:w="100" w:type="dxa"/>
              <w:start w:w="130" w:type="dxa"/>
              <w:bottom w:w="100" w:type="dxa"/>
              <w:end w:w="130" w:type="dxa"/>
            </w:tcMar>
            <w:shd w:fill="FBF6EC"/>
          </w:tcPr>
          <w:p>
            <w:pPr>
              <w:spacing w:after="0" w:before="0"/>
            </w:pPr>
            <w:r>
              <w:rPr>
                <w:rFonts w:ascii="Aptos" w:hAnsi="Aptos"/>
                <w:color w:val="16130E"/>
                <w:sz w:val="17"/>
              </w:rPr>
              <w:t>Payhip Playbook</w:t>
            </w:r>
          </w:p>
        </w:tc>
        <w:tc>
          <w:tcPr>
            <w:tcW w:type="dxa" w:w="2570"/>
            <w:vAlign w:val="top"/>
            <w:tcMar>
              <w:top w:w="100" w:type="dxa"/>
              <w:start w:w="130" w:type="dxa"/>
              <w:bottom w:w="100" w:type="dxa"/>
              <w:end w:w="130" w:type="dxa"/>
            </w:tcMar>
            <w:shd w:fill="FBF6EC"/>
          </w:tcPr>
          <w:p>
            <w:pPr>
              <w:spacing w:after="0" w:before="0"/>
            </w:pPr>
            <w:r>
              <w:rPr>
                <w:rFonts w:ascii="Aptos" w:hAnsi="Aptos"/>
                <w:color w:val="16130E"/>
                <w:sz w:val="17"/>
              </w:rPr>
              <w:t>Move creator viewers from content into the Digital Tycoon Playbook checkout.</w:t>
            </w:r>
          </w:p>
        </w:tc>
        <w:tc>
          <w:tcPr>
            <w:tcW w:type="dxa" w:w="2570"/>
            <w:vAlign w:val="top"/>
            <w:tcMar>
              <w:top w:w="100" w:type="dxa"/>
              <w:start w:w="130" w:type="dxa"/>
              <w:bottom w:w="100" w:type="dxa"/>
              <w:end w:w="130" w:type="dxa"/>
            </w:tcMar>
            <w:shd w:fill="FBF6EC"/>
          </w:tcPr>
          <w:p>
            <w:pPr>
              <w:spacing w:after="0" w:before="0"/>
            </w:pPr>
            <w:r>
              <w:rPr>
                <w:rFonts w:ascii="Aptos" w:hAnsi="Aptos"/>
                <w:b/>
                <w:color w:val="16130E"/>
                <w:sz w:val="17"/>
              </w:rPr>
              <w:t>7 posts</w:t>
            </w:r>
          </w:p>
        </w:tc>
      </w:tr>
      <w:tr>
        <w:tc>
          <w:tcPr>
            <w:tcW w:type="dxa" w:w="2570"/>
            <w:vAlign w:val="top"/>
            <w:tcMar>
              <w:top w:w="100" w:type="dxa"/>
              <w:start w:w="130" w:type="dxa"/>
              <w:bottom w:w="100" w:type="dxa"/>
              <w:end w:w="130" w:type="dxa"/>
            </w:tcMar>
            <w:shd w:fill="E9DDC7"/>
          </w:tcPr>
          <w:p>
            <w:pPr>
              <w:spacing w:after="0" w:before="0"/>
            </w:pPr>
            <w:r>
              <w:rPr>
                <w:rFonts w:ascii="Aptos" w:hAnsi="Aptos"/>
                <w:b/>
                <w:color w:val="16130E"/>
                <w:sz w:val="17"/>
              </w:rPr>
              <w:t>8–14</w:t>
            </w:r>
          </w:p>
        </w:tc>
        <w:tc>
          <w:tcPr>
            <w:tcW w:type="dxa" w:w="2570"/>
            <w:vAlign w:val="top"/>
            <w:tcMar>
              <w:top w:w="100" w:type="dxa"/>
              <w:start w:w="130" w:type="dxa"/>
              <w:bottom w:w="100" w:type="dxa"/>
              <w:end w:w="130" w:type="dxa"/>
            </w:tcMar>
            <w:shd w:fill="E9DDC7"/>
          </w:tcPr>
          <w:p>
            <w:pPr>
              <w:spacing w:after="0" w:before="0"/>
            </w:pPr>
            <w:r>
              <w:rPr>
                <w:rFonts w:ascii="Aptos" w:hAnsi="Aptos"/>
                <w:color w:val="16130E"/>
                <w:sz w:val="17"/>
              </w:rPr>
              <w:t>Premium Series + Operator’s Room Subscription</w:t>
            </w:r>
          </w:p>
        </w:tc>
        <w:tc>
          <w:tcPr>
            <w:tcW w:type="dxa" w:w="2570"/>
            <w:vAlign w:val="top"/>
            <w:tcMar>
              <w:top w:w="100" w:type="dxa"/>
              <w:start w:w="130" w:type="dxa"/>
              <w:bottom w:w="100" w:type="dxa"/>
              <w:end w:w="130" w:type="dxa"/>
            </w:tcMar>
            <w:shd w:fill="E9DDC7"/>
          </w:tcPr>
          <w:p>
            <w:pPr>
              <w:spacing w:after="0" w:before="0"/>
            </w:pPr>
            <w:r>
              <w:rPr>
                <w:rFonts w:ascii="Aptos" w:hAnsi="Aptos"/>
                <w:color w:val="16130E"/>
                <w:sz w:val="17"/>
              </w:rPr>
              <w:t>Build interest in the family-court readiness Series and show why recurring LIVE access is valuable.</w:t>
            </w:r>
          </w:p>
        </w:tc>
        <w:tc>
          <w:tcPr>
            <w:tcW w:type="dxa" w:w="2570"/>
            <w:vAlign w:val="top"/>
            <w:tcMar>
              <w:top w:w="100" w:type="dxa"/>
              <w:start w:w="130" w:type="dxa"/>
              <w:bottom w:w="100" w:type="dxa"/>
              <w:end w:w="130" w:type="dxa"/>
            </w:tcMar>
            <w:shd w:fill="E9DDC7"/>
          </w:tcPr>
          <w:p>
            <w:pPr>
              <w:spacing w:after="0" w:before="0"/>
            </w:pPr>
            <w:r>
              <w:rPr>
                <w:rFonts w:ascii="Aptos" w:hAnsi="Aptos"/>
                <w:b/>
                <w:color w:val="16130E"/>
                <w:sz w:val="17"/>
              </w:rPr>
              <w:t>7 posts</w:t>
            </w:r>
          </w:p>
        </w:tc>
      </w:tr>
    </w:tbl>
    <w:p/>
    <w:p>
      <w:pPr>
        <w:pStyle w:val="Heading1"/>
      </w:pPr>
      <w:r>
        <w:t>Days 1–7: Payhip Playbook Traffic</w:t>
      </w:r>
    </w:p>
    <w:p>
      <w:pPr>
        <w:pStyle w:val="Heading2"/>
      </w:pPr>
      <w:r>
        <w:t>Day 1 — Stop Going LIVE for Free</w:t>
      </w:r>
    </w:p>
    <w:p>
      <w:pPr>
        <w:keepLines/>
      </w:pPr>
      <w:r>
        <w:rPr>
          <w:b/>
        </w:rPr>
        <w:t>Format:</w:t>
      </w:r>
      <w:r>
        <w:t xml:space="preserve"> Tight face-to-camera, black-and-brass desk, hold a blank menu card.</w:t>
      </w:r>
    </w:p>
    <w:p>
      <w:pPr>
        <w:keepLines/>
      </w:pPr>
      <w:r>
        <w:rPr>
          <w:b/>
        </w:rPr>
        <w:t>0.0–0.5 second hook-twist:</w:t>
      </w:r>
      <w:r>
        <w:t xml:space="preserve"> “You are not undercharging on LIVE—you are leaving the room unbuilt.”</w:t>
      </w:r>
    </w:p>
    <w:p>
      <w:pPr>
        <w:keepLines/>
      </w:pPr>
      <w:r>
        <w:rPr>
          <w:b/>
        </w:rPr>
        <w:t>15–30 second script:</w:t>
      </w:r>
      <w:r>
        <w:t xml:space="preserve"> “If people watch, comment, and disappear, the problem is not your audience. You gave them a show with no role. Start every LIVE with three lanes: a free move, an access move, and a reason to come back. The free move could be a vote. The access move could be the worksheet or focused question queue. The return move is next week’s room. That is how you stop hoping people support you and start giving them a reason to participate.”</w:t>
      </w:r>
    </w:p>
    <w:p>
      <w:pPr>
        <w:keepLines/>
      </w:pPr>
      <w:r>
        <w:rPr>
          <w:b/>
        </w:rPr>
        <w:t>On-screen close:</w:t>
      </w:r>
      <w:r>
        <w:t xml:space="preserve"> “A room needs roles.”</w:t>
      </w:r>
    </w:p>
    <w:p>
      <w:pPr>
        <w:keepLines/>
      </w:pPr>
      <w:r>
        <w:rPr>
          <w:b/>
        </w:rPr>
        <w:t>CTA:</w:t>
      </w:r>
      <w:r>
        <w:t xml:space="preserve"> “The full Casino Matrix is in the Digital Tycoon Playbook. It is in my bio.”</w:t>
      </w:r>
    </w:p>
    <w:p>
      <w:pPr>
        <w:pStyle w:val="Heading2"/>
      </w:pPr>
      <w:r>
        <w:t>Day 2 — Your Tip Menu Is Not a Donation Jar</w:t>
      </w:r>
    </w:p>
    <w:p>
      <w:pPr>
        <w:keepLines/>
      </w:pPr>
      <w:r>
        <w:rPr>
          <w:b/>
        </w:rPr>
        <w:t>Format:</w:t>
      </w:r>
      <w:r>
        <w:t xml:space="preserve"> Point to three large menu cards labeled `VOTE`, `FOCUSED QUESTION`, and `BUILD PACK`.</w:t>
      </w:r>
    </w:p>
    <w:p>
      <w:pPr>
        <w:keepLines/>
      </w:pPr>
      <w:r>
        <w:rPr>
          <w:b/>
        </w:rPr>
        <w:t>0.0–0.5 second hook-twist:</w:t>
      </w:r>
      <w:r>
        <w:t xml:space="preserve"> “Stop saying ‘support me’—tell the room what their move changes.”</w:t>
      </w:r>
    </w:p>
    <w:p>
      <w:pPr>
        <w:keepLines/>
      </w:pPr>
      <w:r>
        <w:rPr>
          <w:b/>
        </w:rPr>
        <w:t>15–30 second script:</w:t>
      </w:r>
      <w:r>
        <w:t xml:space="preserve"> “A real Tip Menu is not three random prices. It is a choice board. The free lane lets people vote or pick the next topic. The entry lane gets a focused question into the queue. The deeper lane gives a defined asset, like the worksheet and replay. If your audience cannot explain what happens after they choose, the menu is not ready. Make the action visible. Make the price visible. Make delivery obvious.”</w:t>
      </w:r>
    </w:p>
    <w:p>
      <w:pPr>
        <w:keepLines/>
      </w:pPr>
      <w:r>
        <w:rPr>
          <w:b/>
        </w:rPr>
        <w:t>On-screen close:</w:t>
      </w:r>
      <w:r>
        <w:t xml:space="preserve"> “Free lane / access lane / build lane.”</w:t>
      </w:r>
    </w:p>
    <w:p>
      <w:pPr>
        <w:keepLines/>
      </w:pPr>
      <w:r>
        <w:rPr>
          <w:b/>
        </w:rPr>
        <w:t>CTA:</w:t>
      </w:r>
      <w:r>
        <w:t xml:space="preserve"> “I put the full three-tier menu framework in the Playbook. Bio link.”</w:t>
      </w:r>
    </w:p>
    <w:p>
      <w:pPr>
        <w:pStyle w:val="Heading2"/>
      </w:pPr>
      <w:r>
        <w:t>Day 3 — Views Are Not Your Scoreboard</w:t>
      </w:r>
    </w:p>
    <w:p>
      <w:pPr>
        <w:keepLines/>
      </w:pPr>
      <w:r>
        <w:rPr>
          <w:b/>
        </w:rPr>
        <w:t>Format:</w:t>
      </w:r>
      <w:r>
        <w:t xml:space="preserve"> Start with a fake large view-count overlay, then cover it with three words: `ACTION`, `USE`, `RETURN`.</w:t>
      </w:r>
    </w:p>
    <w:p>
      <w:pPr>
        <w:keepLines/>
      </w:pPr>
      <w:r>
        <w:rPr>
          <w:b/>
        </w:rPr>
        <w:t>0.0–0.5 second hook-twist:</w:t>
      </w:r>
      <w:r>
        <w:t xml:space="preserve"> “A viral post can still be a broke business move.”</w:t>
      </w:r>
    </w:p>
    <w:p>
      <w:pPr>
        <w:keepLines/>
      </w:pPr>
      <w:r>
        <w:rPr>
          <w:b/>
        </w:rPr>
        <w:t>15–30 second script:</w:t>
      </w:r>
      <w:r>
        <w:t xml:space="preserve"> “Views tell you a screen opened. They do not tell you if someone took a next step, used what you gave them, or came back. Track three things instead: did they move, did they use it, and did they return? Your post has one job. Your LIVE has one job. Your offer has one job. When you know the job, you stop chasing loud numbers and start building a room that can actually repeat.”</w:t>
      </w:r>
    </w:p>
    <w:p>
      <w:pPr>
        <w:keepLines/>
      </w:pPr>
      <w:r>
        <w:rPr>
          <w:b/>
        </w:rPr>
        <w:t>On-screen close:</w:t>
      </w:r>
      <w:r>
        <w:t xml:space="preserve"> “Action &gt; use &gt; return.”</w:t>
      </w:r>
    </w:p>
    <w:p>
      <w:pPr>
        <w:keepLines/>
      </w:pPr>
      <w:r>
        <w:rPr>
          <w:b/>
        </w:rPr>
        <w:t>CTA:</w:t>
      </w:r>
      <w:r>
        <w:t xml:space="preserve"> “The Playbook gives you the full scoreboard and weekly review. Grab it through my bio.”</w:t>
      </w:r>
    </w:p>
    <w:p>
      <w:pPr>
        <w:pStyle w:val="Heading2"/>
      </w:pPr>
      <w:r>
        <w:t>Day 4 — The Ticket Show Move</w:t>
      </w:r>
    </w:p>
    <w:p>
      <w:pPr>
        <w:keepLines/>
      </w:pPr>
      <w:r>
        <w:rPr>
          <w:b/>
        </w:rPr>
        <w:t>Format:</w:t>
      </w:r>
      <w:r>
        <w:t xml:space="preserve"> Hold a blank black ticket card. Cut to a worksheet or calendar.</w:t>
      </w:r>
    </w:p>
    <w:p>
      <w:pPr>
        <w:keepLines/>
      </w:pPr>
      <w:r>
        <w:rPr>
          <w:b/>
        </w:rPr>
        <w:t>0.0–0.5 second hook-twist:</w:t>
      </w:r>
      <w:r>
        <w:t xml:space="preserve"> “A deadline is not urgency unless the room knows what it unlocks.”</w:t>
      </w:r>
    </w:p>
    <w:p>
      <w:pPr>
        <w:keepLines/>
      </w:pPr>
      <w:r>
        <w:rPr>
          <w:b/>
        </w:rPr>
        <w:t>15–30 second script:</w:t>
      </w:r>
      <w:r>
        <w:t xml:space="preserve"> “A Ticket Show sells a defined moment. Name who it is for, what happens inside, what they leave with, and why registration closes when it does. ‘Join my LIVE tonight’ is weak. ‘Tonight we build your three-option menu, you leave with the script and worksheet, and the list closes at five so I can send the pack’ is a real ticket. Make the access event make sense before you ask people to move.”</w:t>
      </w:r>
    </w:p>
    <w:p>
      <w:pPr>
        <w:keepLines/>
      </w:pPr>
      <w:r>
        <w:rPr>
          <w:b/>
        </w:rPr>
        <w:t>On-screen close:</w:t>
      </w:r>
      <w:r>
        <w:t xml:space="preserve"> “Outcome / asset / real boundary.”</w:t>
      </w:r>
    </w:p>
    <w:p>
      <w:pPr>
        <w:keepLines/>
      </w:pPr>
      <w:r>
        <w:rPr>
          <w:b/>
        </w:rPr>
        <w:t>CTA:</w:t>
      </w:r>
      <w:r>
        <w:t xml:space="preserve"> “The 72-hour Ticket Show sequence is inside the Digital Tycoon Playbook. Bio.”</w:t>
      </w:r>
    </w:p>
    <w:p>
      <w:pPr>
        <w:pStyle w:val="Heading2"/>
      </w:pPr>
      <w:r>
        <w:t>Day 5 — Make Recognition Work for You</w:t>
      </w:r>
    </w:p>
    <w:p>
      <w:pPr>
        <w:keepLines/>
      </w:pPr>
      <w:r>
        <w:rPr>
          <w:b/>
        </w:rPr>
        <w:t>Format:</w:t>
      </w:r>
      <w:r>
        <w:t xml:space="preserve"> Use a brass badge prop or on-screen board with `CONTRIBUTION`, `CONSISTENCY`, and `CRAFT`.</w:t>
      </w:r>
    </w:p>
    <w:p>
      <w:pPr>
        <w:keepLines/>
      </w:pPr>
      <w:r>
        <w:rPr>
          <w:b/>
        </w:rPr>
        <w:t>0.0–0.5 second hook-twist:</w:t>
      </w:r>
      <w:r>
        <w:t xml:space="preserve"> “Your biggest supporter should not have to spend the most to get seen.”</w:t>
      </w:r>
    </w:p>
    <w:p>
      <w:pPr>
        <w:keepLines/>
      </w:pPr>
      <w:r>
        <w:rPr>
          <w:b/>
        </w:rPr>
        <w:t>15–30 second script:</w:t>
      </w:r>
      <w:r>
        <w:t xml:space="preserve"> “If the only person who gets attention is the person who pays the most, you built a spending contest, not a community. Make people visible for contribution, consistency, and craft. Shout out the person who gave the strongest example. Let the helpful operator vote on next week’s topic. Build status people can earn by showing up and adding value. That is how the room gets energy without losing its standards.”</w:t>
      </w:r>
    </w:p>
    <w:p>
      <w:pPr>
        <w:keepLines/>
      </w:pPr>
      <w:r>
        <w:rPr>
          <w:b/>
        </w:rPr>
        <w:t>On-screen close:</w:t>
      </w:r>
      <w:r>
        <w:t xml:space="preserve"> “Contribution earns visibility.”</w:t>
      </w:r>
    </w:p>
    <w:p>
      <w:pPr>
        <w:keepLines/>
      </w:pPr>
      <w:r>
        <w:rPr>
          <w:b/>
        </w:rPr>
        <w:t>CTA:</w:t>
      </w:r>
      <w:r>
        <w:t xml:space="preserve"> “The King of the Hill board is one of the four systems in my Playbook. Link in bio.”</w:t>
      </w:r>
    </w:p>
    <w:p>
      <w:pPr>
        <w:pStyle w:val="Heading2"/>
      </w:pPr>
      <w:r>
        <w:t>Day 6 — Your Bio Needs a Path</w:t>
      </w:r>
    </w:p>
    <w:p>
      <w:pPr>
        <w:keepLines/>
      </w:pPr>
      <w:r>
        <w:rPr>
          <w:b/>
        </w:rPr>
        <w:t>Format:</w:t>
      </w:r>
      <w:r>
        <w:t xml:space="preserve"> Screen-record a simple path diagram: `VIDEO → BIO → PLAYBOOK → NEXT LIVE`.</w:t>
      </w:r>
    </w:p>
    <w:p>
      <w:pPr>
        <w:keepLines/>
      </w:pPr>
      <w:r>
        <w:rPr>
          <w:b/>
        </w:rPr>
        <w:t>0.0–0.5 second hook-twist:</w:t>
      </w:r>
      <w:r>
        <w:t xml:space="preserve"> “Your bio does not need more links—it needs one clear next move.”</w:t>
      </w:r>
    </w:p>
    <w:p>
      <w:pPr>
        <w:keepLines/>
      </w:pPr>
      <w:r>
        <w:rPr>
          <w:b/>
        </w:rPr>
        <w:t>15–30 second script:</w:t>
      </w:r>
      <w:r>
        <w:t xml:space="preserve"> “Every link should answer, ‘What do I do now?’ Give the person one path: this video names the problem, the Playbook shows the system, and the next LIVE lets them build it. Do not make people choose between six random offers. Give them a door that matches the video they just watched. A clean path gets used. A crowded bio gets ignored.”</w:t>
      </w:r>
    </w:p>
    <w:p>
      <w:pPr>
        <w:keepLines/>
      </w:pPr>
      <w:r>
        <w:rPr>
          <w:b/>
        </w:rPr>
        <w:t>On-screen close:</w:t>
      </w:r>
      <w:r>
        <w:t xml:space="preserve"> “One video. One move.”</w:t>
      </w:r>
    </w:p>
    <w:p>
      <w:pPr>
        <w:keepLines/>
      </w:pPr>
      <w:r>
        <w:rPr>
          <w:b/>
        </w:rPr>
        <w:t>CTA:</w:t>
      </w:r>
      <w:r>
        <w:t xml:space="preserve"> “Take the full game board through the Playbook link in my bio.”</w:t>
      </w:r>
    </w:p>
    <w:p>
      <w:pPr>
        <w:pStyle w:val="Heading2"/>
      </w:pPr>
      <w:r>
        <w:t>Day 7 — The 15-Minute Operator Reset</w:t>
      </w:r>
    </w:p>
    <w:p>
      <w:pPr>
        <w:keepLines/>
      </w:pPr>
      <w:r>
        <w:rPr>
          <w:b/>
        </w:rPr>
        <w:t>Format:</w:t>
      </w:r>
      <w:r>
        <w:t xml:space="preserve"> Set a 15-minute timer beside a notepad. Use a quick visual transition to a completed three-line plan.</w:t>
      </w:r>
    </w:p>
    <w:p>
      <w:pPr>
        <w:keepLines/>
      </w:pPr>
      <w:r>
        <w:rPr>
          <w:b/>
        </w:rPr>
        <w:t>0.0–0.5 second hook-twist:</w:t>
      </w:r>
      <w:r>
        <w:t xml:space="preserve"> “You do not need a new brand—you need one working room by Sunday.”</w:t>
      </w:r>
    </w:p>
    <w:p>
      <w:pPr>
        <w:keepLines/>
      </w:pPr>
      <w:r>
        <w:rPr>
          <w:b/>
        </w:rPr>
        <w:t>15–30 second script:</w:t>
      </w:r>
      <w:r>
        <w:t xml:space="preserve"> “Set a 15-minute timer. First, name the public problem you solve. Second, write one free action the audience can take on LIVE. Third, write one clear access offer with a real deliverable. Done. Do not build ten products in your notes app. Build one room people can understand in ten seconds. Then run it, watch the response, and sharpen the next round.”</w:t>
      </w:r>
    </w:p>
    <w:p>
      <w:pPr>
        <w:keepLines/>
      </w:pPr>
      <w:r>
        <w:rPr>
          <w:b/>
        </w:rPr>
        <w:t>On-screen close:</w:t>
      </w:r>
      <w:r>
        <w:t xml:space="preserve"> “Name it. Give a role. Make the offer.”</w:t>
      </w:r>
    </w:p>
    <w:p>
      <w:pPr>
        <w:keepLines/>
      </w:pPr>
      <w:r>
        <w:rPr>
          <w:b/>
        </w:rPr>
        <w:t>CTA:</w:t>
      </w:r>
      <w:r>
        <w:t xml:space="preserve"> “If you want the worksheets and full build sequence, the Digital Tycoon Playbook is in my bio.”</w:t>
      </w:r>
    </w:p>
    <w:p>
      <w:pPr>
        <w:pStyle w:val="Heading1"/>
      </w:pPr>
      <w:r>
        <w:t>Days 8–14: Premium Series + Operator’s Room Traffic</w:t>
      </w:r>
    </w:p>
    <w:p>
      <w:pPr>
        <w:pStyle w:val="Heading2"/>
      </w:pPr>
      <w:r>
        <w:t>Day 8 — Build a Timeline, Not a Spiral</w:t>
      </w:r>
    </w:p>
    <w:p>
      <w:pPr>
        <w:keepLines/>
      </w:pPr>
      <w:r>
        <w:rPr>
          <w:b/>
        </w:rPr>
        <w:t>Format:</w:t>
      </w:r>
      <w:r>
        <w:t xml:space="preserve"> Neutral desk shot of a dated chronology sheet; no case documents or personal names visible.</w:t>
      </w:r>
    </w:p>
    <w:p>
      <w:pPr>
        <w:keepLines/>
      </w:pPr>
      <w:r>
        <w:rPr>
          <w:b/>
        </w:rPr>
        <w:t>0.0–0.5 second hook-twist:</w:t>
      </w:r>
      <w:r>
        <w:t xml:space="preserve"> “If your story is a spiral, your first move is not to explain harder—it is to build a timeline.”</w:t>
      </w:r>
    </w:p>
    <w:p>
      <w:pPr>
        <w:keepLines/>
      </w:pPr>
      <w:r>
        <w:rPr>
          <w:b/>
        </w:rPr>
        <w:t>15–30 second script:</w:t>
      </w:r>
      <w:r>
        <w:t xml:space="preserve"> “When stress is high, everything feels connected at once. Start with date, event, source, and follow-up. Keep facts separate from what you remember, and mark anything you need to verify. A timeline does not decide your case. It gives you a calmer way to prepare questions for qualified help and to stop losing important details in emotional messages.”</w:t>
      </w:r>
    </w:p>
    <w:p>
      <w:pPr>
        <w:keepLines/>
      </w:pPr>
      <w:r>
        <w:rPr>
          <w:b/>
        </w:rPr>
        <w:t>On-screen close:</w:t>
      </w:r>
      <w:r>
        <w:t xml:space="preserve"> “Date / event / source / follow-up.”</w:t>
      </w:r>
    </w:p>
    <w:p>
      <w:pPr>
        <w:keepLines/>
      </w:pPr>
      <w:r>
        <w:rPr>
          <w:b/>
        </w:rPr>
        <w:t>CTA:</w:t>
      </w:r>
      <w:r>
        <w:t xml:space="preserve"> “The full readiness binder system is inside my Family-Court Readiness Series. Open it from my profile.”</w:t>
      </w:r>
    </w:p>
    <w:p>
      <w:pPr>
        <w:pStyle w:val="Heading2"/>
      </w:pPr>
      <w:r>
        <w:t>Day 9 — Preserve, Do Not Perform</w:t>
      </w:r>
    </w:p>
    <w:p>
      <w:pPr>
        <w:keepLines/>
      </w:pPr>
      <w:r>
        <w:rPr>
          <w:b/>
        </w:rPr>
        <w:t>Format:</w:t>
      </w:r>
      <w:r>
        <w:t xml:space="preserve"> Hold a phone face-down beside a folder labeled `ORIGINALS`; use a lock icon overlay.</w:t>
      </w:r>
    </w:p>
    <w:p>
      <w:pPr>
        <w:keepLines/>
      </w:pPr>
      <w:r>
        <w:rPr>
          <w:b/>
        </w:rPr>
        <w:t>0.0–0.5 second hook-twist:</w:t>
      </w:r>
      <w:r>
        <w:t xml:space="preserve"> “You do not need a perfect speech right now—you need to preserve what already exists.”</w:t>
      </w:r>
    </w:p>
    <w:p>
      <w:pPr>
        <w:keepLines/>
      </w:pPr>
      <w:r>
        <w:rPr>
          <w:b/>
        </w:rPr>
        <w:t>15–30 second script:</w:t>
      </w:r>
      <w:r>
        <w:t xml:space="preserve"> “Before you start posting, forwarding, or arguing, pause. Save original records responsibly, note where they came from, and keep a simple inventory of what you have. Do not edit screenshots until the original is preserved. Do not create drama to create evidence. And do not record anyone unless you know it is lawful where you are. Calm preservation beats a public performance every time.”</w:t>
      </w:r>
    </w:p>
    <w:p>
      <w:pPr>
        <w:keepLines/>
      </w:pPr>
      <w:r>
        <w:rPr>
          <w:b/>
        </w:rPr>
        <w:t>On-screen close:</w:t>
      </w:r>
      <w:r>
        <w:t xml:space="preserve"> “Original / source / relevance.”</w:t>
      </w:r>
    </w:p>
    <w:p>
      <w:pPr>
        <w:keepLines/>
      </w:pPr>
      <w:r>
        <w:rPr>
          <w:b/>
        </w:rPr>
        <w:t>CTA:</w:t>
      </w:r>
      <w:r>
        <w:t xml:space="preserve"> “For the evidence-inventory lesson and readiness worksheets, see the Family-Court Readiness Series from my profile.”</w:t>
      </w:r>
    </w:p>
    <w:p>
      <w:pPr>
        <w:pStyle w:val="Heading2"/>
      </w:pPr>
      <w:r>
        <w:t>Day 10 — Do Not Reply From the Adrenaline</w:t>
      </w:r>
    </w:p>
    <w:p>
      <w:pPr>
        <w:keepLines/>
      </w:pPr>
      <w:r>
        <w:rPr>
          <w:b/>
        </w:rPr>
        <w:t>Format:</w:t>
      </w:r>
      <w:r>
        <w:t xml:space="preserve"> Show a large text bubble that gets replaced by a three-line neutral reply template.</w:t>
      </w:r>
    </w:p>
    <w:p>
      <w:pPr>
        <w:keepLines/>
      </w:pPr>
      <w:r>
        <w:rPr>
          <w:b/>
        </w:rPr>
        <w:t>0.0–0.5 second hook-twist:</w:t>
      </w:r>
      <w:r>
        <w:t xml:space="preserve"> “The message that feels good to send can be the message that costs you peace later.”</w:t>
      </w:r>
    </w:p>
    <w:p>
      <w:pPr>
        <w:keepLines/>
      </w:pPr>
      <w:r>
        <w:rPr>
          <w:b/>
        </w:rPr>
        <w:t>15–30 second script:</w:t>
      </w:r>
      <w:r>
        <w:t xml:space="preserve"> “When a message lights you up, do not answer from the first version in your head. Ask: is it brief, factual, necessary, and focused on the actual issue? If not, step away and write the version you could stand behind tomorrow. This is not about being weak or silent. It is about choosing a record that is clear instead of feeding a fight you cannot control.”</w:t>
      </w:r>
    </w:p>
    <w:p>
      <w:pPr>
        <w:keepLines/>
      </w:pPr>
      <w:r>
        <w:rPr>
          <w:b/>
        </w:rPr>
        <w:t>On-screen close:</w:t>
      </w:r>
      <w:r>
        <w:t xml:space="preserve"> “Brief. Factual. Necessary.”</w:t>
      </w:r>
    </w:p>
    <w:p>
      <w:pPr>
        <w:keepLines/>
      </w:pPr>
      <w:r>
        <w:rPr>
          <w:b/>
        </w:rPr>
        <w:t>CTA:</w:t>
      </w:r>
      <w:r>
        <w:t xml:space="preserve"> “I break down communication boundaries and the before-send checklist in the premium Series. Use the Series link on my profile.”</w:t>
      </w:r>
    </w:p>
    <w:p>
      <w:pPr>
        <w:pStyle w:val="Heading2"/>
      </w:pPr>
      <w:r>
        <w:t>Day 11 — The Court Calendar Is a Safety Tool</w:t>
      </w:r>
    </w:p>
    <w:p>
      <w:pPr>
        <w:keepLines/>
      </w:pPr>
      <w:r>
        <w:rPr>
          <w:b/>
        </w:rPr>
        <w:t>Format:</w:t>
      </w:r>
      <w:r>
        <w:t xml:space="preserve"> Show a generic calendar with blocks labeled `HEARING`, `DOCUMENTS`, `SCHOOL`, and `QUESTIONS`.</w:t>
      </w:r>
    </w:p>
    <w:p>
      <w:pPr>
        <w:keepLines/>
      </w:pPr>
      <w:r>
        <w:rPr>
          <w:b/>
        </w:rPr>
        <w:t>0.0–0.5 second hook-twist:</w:t>
      </w:r>
      <w:r>
        <w:t xml:space="preserve"> “Your calendar is not just a reminder app—it is how you stop deadlines from running your life.”</w:t>
      </w:r>
    </w:p>
    <w:p>
      <w:pPr>
        <w:keepLines/>
      </w:pPr>
      <w:r>
        <w:rPr>
          <w:b/>
        </w:rPr>
        <w:t>15–30 second script:</w:t>
      </w:r>
      <w:r>
        <w:t xml:space="preserve"> “Put every hearing, exchange, document request, school event, and question deadline in one place. Then add a check-in three days before each one. The goal is not to interpret the order yourself. The goal is to see what is coming early enough to ask the right professional question, organize the right record, and not get blindsided by a date you forgot in a text thread.”</w:t>
      </w:r>
    </w:p>
    <w:p>
      <w:pPr>
        <w:keepLines/>
      </w:pPr>
      <w:r>
        <w:rPr>
          <w:b/>
        </w:rPr>
        <w:t>On-screen close:</w:t>
      </w:r>
      <w:r>
        <w:t xml:space="preserve"> “One calendar. Fewer surprises.”</w:t>
      </w:r>
    </w:p>
    <w:p>
      <w:pPr>
        <w:keepLines/>
      </w:pPr>
      <w:r>
        <w:rPr>
          <w:b/>
        </w:rPr>
        <w:t>CTA:</w:t>
      </w:r>
      <w:r>
        <w:t xml:space="preserve"> “Subscribers get the weekly After Hours Operator check-in; the full court-event calendar lesson is in the premium Series.”</w:t>
      </w:r>
    </w:p>
    <w:p>
      <w:pPr>
        <w:pStyle w:val="Heading2"/>
      </w:pPr>
      <w:r>
        <w:t>Day 12 — Your Support Team Has Different Jobs</w:t>
      </w:r>
    </w:p>
    <w:p>
      <w:pPr>
        <w:keepLines/>
      </w:pPr>
      <w:r>
        <w:rPr>
          <w:b/>
        </w:rPr>
        <w:t>Format:</w:t>
      </w:r>
      <w:r>
        <w:t xml:space="preserve"> Use four clean cards: `LAWYER`, `LEGAL AID`, `ADVOCATE`, `THERAPIST`.</w:t>
      </w:r>
    </w:p>
    <w:p>
      <w:pPr>
        <w:keepLines/>
      </w:pPr>
      <w:r>
        <w:rPr>
          <w:b/>
        </w:rPr>
        <w:t>0.0–0.5 second hook-twist:</w:t>
      </w:r>
      <w:r>
        <w:t xml:space="preserve"> “One person cannot carry every part of a court situation—build a support map.”</w:t>
      </w:r>
    </w:p>
    <w:p>
      <w:pPr>
        <w:keepLines/>
      </w:pPr>
      <w:r>
        <w:rPr>
          <w:b/>
        </w:rPr>
        <w:t>15–30 second script:</w:t>
      </w:r>
      <w:r>
        <w:t xml:space="preserve"> “A lawyer helps with legal advice and filings. Legal aid may help you find affordable legal support. An advocate may help with safety planning and local resources. A therapist supports your wellbeing; they are not your legal strategist. Before your next appointment, write the exact question each person is qualified to answer. You will get more useful support when you stop asking one person to do every job.”</w:t>
      </w:r>
    </w:p>
    <w:p>
      <w:pPr>
        <w:keepLines/>
      </w:pPr>
      <w:r>
        <w:rPr>
          <w:b/>
        </w:rPr>
        <w:t>On-screen close:</w:t>
      </w:r>
      <w:r>
        <w:t xml:space="preserve"> “Right question. Right person.”</w:t>
      </w:r>
    </w:p>
    <w:p>
      <w:pPr>
        <w:keepLines/>
      </w:pPr>
      <w:r>
        <w:rPr>
          <w:b/>
        </w:rPr>
        <w:t>CTA:</w:t>
      </w:r>
      <w:r>
        <w:t xml:space="preserve"> “The support-map worksheet is part of the Family-Court Readiness Series. Join Operator’s Room for the weekly reset reminders.”</w:t>
      </w:r>
    </w:p>
    <w:p>
      <w:pPr>
        <w:pStyle w:val="Heading2"/>
      </w:pPr>
      <w:r>
        <w:t>Day 13 — Protect Your Digital Footprint</w:t>
      </w:r>
    </w:p>
    <w:p>
      <w:pPr>
        <w:keepLines/>
      </w:pPr>
      <w:r>
        <w:rPr>
          <w:b/>
        </w:rPr>
        <w:t>Format:</w:t>
      </w:r>
      <w:r>
        <w:t xml:space="preserve"> Screen-record generic privacy toggles, then cut to a lock-screen visual. Do not show any real account.</w:t>
      </w:r>
    </w:p>
    <w:p>
      <w:pPr>
        <w:keepLines/>
      </w:pPr>
      <w:r>
        <w:rPr>
          <w:b/>
        </w:rPr>
        <w:t>0.0–0.5 second hook-twist:</w:t>
      </w:r>
      <w:r>
        <w:t xml:space="preserve"> “Your next post can feel like relief today and become a problem tomorrow.”</w:t>
      </w:r>
    </w:p>
    <w:p>
      <w:pPr>
        <w:keepLines/>
      </w:pPr>
      <w:r>
        <w:rPr>
          <w:b/>
        </w:rPr>
        <w:t>15–30 second script:</w:t>
      </w:r>
      <w:r>
        <w:t xml:space="preserve"> “Pause before you post about a live conflict. Review who can see your account, remove location habits you do not want public, and keep private case material out of public content. You can still protect your voice and your business without turning social media into the fight itself. If a specific post or safety issue matters to your case, get local legal guidance before you make a move.”</w:t>
      </w:r>
    </w:p>
    <w:p>
      <w:pPr>
        <w:keepLines/>
      </w:pPr>
      <w:r>
        <w:rPr>
          <w:b/>
        </w:rPr>
        <w:t>On-screen close:</w:t>
      </w:r>
      <w:r>
        <w:t xml:space="preserve"> “Pause. Review. Protect.”</w:t>
      </w:r>
    </w:p>
    <w:p>
      <w:pPr>
        <w:keepLines/>
      </w:pPr>
      <w:r>
        <w:rPr>
          <w:b/>
        </w:rPr>
        <w:t>CTA:</w:t>
      </w:r>
      <w:r>
        <w:t xml:space="preserve"> “The digital-boundary checklist is in the premium Series. Subscriber After Hours is where we do the weekly organization reset.”</w:t>
      </w:r>
    </w:p>
    <w:p>
      <w:pPr>
        <w:pStyle w:val="Heading2"/>
      </w:pPr>
      <w:r>
        <w:t>Day 14 — The Case-Readiness Binder</w:t>
      </w:r>
    </w:p>
    <w:p>
      <w:pPr>
        <w:keepLines/>
      </w:pPr>
      <w:r>
        <w:rPr>
          <w:b/>
        </w:rPr>
        <w:t>Format:</w:t>
      </w:r>
      <w:r>
        <w:t xml:space="preserve"> Assemble an unbranded black binder with tabs: `TIMELINE`, `ORDERS`, `RECORDS`, `QUESTIONS`.</w:t>
      </w:r>
    </w:p>
    <w:p>
      <w:pPr>
        <w:keepLines/>
      </w:pPr>
      <w:r>
        <w:rPr>
          <w:b/>
        </w:rPr>
        <w:t>0.0–0.5 second hook-twist:</w:t>
      </w:r>
      <w:r>
        <w:t xml:space="preserve"> “You do not need every answer today—you need one place for the questions.”</w:t>
      </w:r>
    </w:p>
    <w:p>
      <w:pPr>
        <w:keepLines/>
      </w:pPr>
      <w:r>
        <w:rPr>
          <w:b/>
        </w:rPr>
        <w:t>15–30 second script:</w:t>
      </w:r>
      <w:r>
        <w:t xml:space="preserve"> “Make four tabs: timeline, orders and dates, records, and questions for qualified help. Keep the originals safe. Put copies or notes in the binder. Once a week, spend 30 minutes updating it so you are not rebuilding your whole life the night before a meeting. Organization does not guarantee an outcome, but it gives you more control over how prepared you arrive.”</w:t>
      </w:r>
    </w:p>
    <w:p>
      <w:pPr>
        <w:keepLines/>
      </w:pPr>
      <w:r>
        <w:rPr>
          <w:b/>
        </w:rPr>
        <w:t>On-screen close:</w:t>
      </w:r>
      <w:r>
        <w:t xml:space="preserve"> “Build the binder. Keep the calm.”</w:t>
      </w:r>
    </w:p>
    <w:p>
      <w:pPr>
        <w:keepLines/>
      </w:pPr>
      <w:r>
        <w:rPr>
          <w:b/>
        </w:rPr>
        <w:t>CTA:</w:t>
      </w:r>
      <w:r>
        <w:t xml:space="preserve"> “Get the complete Family-Court Readiness Series from my profile, and subscribe to Operator’s Room for the live weekly reset.”</w:t>
      </w:r>
    </w:p>
    <w:p>
      <w:pPr>
        <w:pStyle w:val="Heading1"/>
      </w:pPr>
      <w:r>
        <w:t>Publishing Rhythm</w:t>
      </w:r>
    </w:p>
    <w:p>
      <w:pPr>
        <w:keepLines/>
      </w:pPr>
      <w:r>
        <w:t>Post once each day during the audience’s strongest historical activity window. Pin Days 1, 4, 8, and 14 sequentially as the campaign evolves. Reply to substantive comments with follow-up videos, but never give individual legal advice or assess someone’s case in comments. For Days 1–7, keep the bio destination on the Payhip Playbook. For Days 8–14, use TikTok’s Series link and Subscription promotion tools where the account makes them available.</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3531B"/>
        <w:sz w:val="15"/>
      </w:rPr>
      <w:t>THE DIGITAL TYCOON PLAYBOOK  •  14-DAY TIKTOK TRAFFIC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6130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Georgia" w:hAnsi="Georgia"/>
      <w:b/>
      <w:bCs/>
      <w:color w:val="16130E"/>
      <w:sz w:val="4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Georgia" w:hAnsi="Georgia"/>
      <w:b/>
      <w:bCs/>
      <w:color w:val="16130E"/>
      <w:sz w:val="34"/>
      <w:szCs w:val="26"/>
    </w:rPr>
  </w:style>
  <w:style w:type="paragraph" w:styleId="Heading3">
    <w:name w:val="heading 3"/>
    <w:basedOn w:val="Normal"/>
    <w:next w:val="Normal"/>
    <w:link w:val="Heading3Char"/>
    <w:uiPriority w:val="9"/>
    <w:unhideWhenUsed/>
    <w:qFormat/>
    <w:rsid w:val="00FC693F"/>
    <w:pPr>
      <w:keepNext/>
      <w:keepLines/>
      <w:spacing w:before="300" w:after="120"/>
      <w:outlineLvl w:val="2"/>
    </w:pPr>
    <w:rPr>
      <w:rFonts w:asciiTheme="majorHAnsi" w:eastAsiaTheme="majorEastAsia" w:hAnsiTheme="majorHAnsi" w:cstheme="majorBidi" w:ascii="Georgia" w:hAnsi="Georgia"/>
      <w:b/>
      <w:bCs/>
      <w:color w:val="16130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80"/>
      <w:ind w:left="360"/>
    </w:pPr>
    <w:rPr>
      <w:rFonts w:ascii="Aptos" w:hAnsi="Aptos"/>
      <w:i/>
      <w:iCs/>
      <w:color w:val="5A4A34"/>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