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r>
        <w:rPr>
          <w:b/>
          <w:bCs/>
        </w:rPr>
        <w:t>BeeSense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Pr="004519C5" w:rsidRDefault="000E4162">
      <w:pPr>
        <w:bidi/>
        <w:spacing w:after="0" w:line="240" w:lineRule="auto"/>
        <w:jc w:val="center"/>
        <w:rPr>
          <w:i/>
          <w:sz w:val="22"/>
          <w:szCs w:val="22"/>
          <w:rtl/>
        </w:rPr>
      </w:pPr>
      <w:r>
        <w:rPr>
          <w:i/>
        </w:rPr>
        <w:t>drorbe@post.bgu.ac.il, dancoop@post.bgu.ac.il</w:t>
      </w:r>
    </w:p>
    <w:p w14:paraId="78FF3C17" w14:textId="77777777" w:rsidR="00205B91" w:rsidRDefault="00000000">
      <w:pPr>
        <w:bidi/>
        <w:spacing w:after="80" w:line="240" w:lineRule="auto"/>
        <w:jc w:val="center"/>
        <w:rPr>
          <w:sz w:val="22"/>
          <w:szCs w:val="22"/>
          <w:rtl/>
        </w:rPr>
      </w:pPr>
      <w:r>
        <w:rPr>
          <w:sz w:val="22"/>
          <w:szCs w:val="22"/>
          <w:rtl/>
        </w:rPr>
        <w:t>שם המנחה: ד"ר דן וילנצ'יק</w:t>
      </w:r>
    </w:p>
    <w:p w14:paraId="72B12F58" w14:textId="77777777" w:rsidR="00205B91" w:rsidRDefault="00000000">
      <w:pPr>
        <w:bidi/>
        <w:spacing w:after="40" w:line="240" w:lineRule="auto"/>
        <w:jc w:val="center"/>
        <w:rPr>
          <w:sz w:val="22"/>
          <w:szCs w:val="22"/>
        </w:rPr>
      </w:pPr>
      <w:r>
        <w:rPr>
          <w:b/>
          <w:bCs/>
          <w:sz w:val="26"/>
          <w:szCs w:val="26"/>
          <w:rtl/>
        </w:rPr>
        <w:t>תקציר</w:t>
      </w:r>
    </w:p>
    <w:p w14:paraId="12723FE1" w14:textId="232FF3B1" w:rsidR="00205B91" w:rsidRDefault="00000000" w:rsidP="00FD681B">
      <w:pPr>
        <w:bidi/>
        <w:spacing w:after="20" w:line="360" w:lineRule="auto"/>
        <w:jc w:val="both"/>
        <w:rPr>
          <w:sz w:val="22"/>
          <w:szCs w:val="22"/>
        </w:rPr>
      </w:pPr>
      <w:r>
        <w:rPr>
          <w:sz w:val="22"/>
          <w:szCs w:val="22"/>
          <w:rtl/>
        </w:rPr>
        <w:t xml:space="preserve">בי-סנס הוא אב-טיפוס אוטונומי לניטור מושבות דבורי דבש במכוורות ללא חשמל וללא </w:t>
      </w:r>
      <w:r>
        <w:rPr>
          <w:sz w:val="22"/>
          <w:szCs w:val="22"/>
        </w:rPr>
        <w:t>Wi-Fi</w:t>
      </w:r>
      <w:r>
        <w:rPr>
          <w:sz w:val="22"/>
          <w:szCs w:val="22"/>
          <w:rtl/>
        </w:rPr>
        <w:t xml:space="preserve">. צמתים סוללתיים בכוורות אוספים מדידות רטט וקול, מתוזמנות ומונעות-אירועים, יחד עם משקל וטמפרטורה. </w:t>
      </w:r>
      <w:r w:rsidR="00FD681B" w:rsidRPr="00FD681B">
        <w:rPr>
          <w:sz w:val="22"/>
          <w:szCs w:val="22"/>
          <w:rtl/>
        </w:rPr>
        <w:t>הבקר בכל צומת מחשב בעצמו אילו תדרים בולטים בזמזום ושולח את התוצאות למרכזייה סולארית עם חיבור סלולרי, והן מוצגות בממשק אינטרנט</w:t>
      </w:r>
      <w:r w:rsidR="00FD681B" w:rsidRPr="00FD681B">
        <w:rPr>
          <w:sz w:val="22"/>
          <w:szCs w:val="22"/>
        </w:rPr>
        <w:t xml:space="preserve"> (Web) </w:t>
      </w:r>
      <w:r w:rsidR="00FD681B" w:rsidRPr="00FD681B">
        <w:rPr>
          <w:sz w:val="22"/>
          <w:szCs w:val="22"/>
          <w:rtl/>
        </w:rPr>
        <w:t>לכל כוורת</w:t>
      </w:r>
      <w:r w:rsidR="00FD681B" w:rsidRPr="00FD681B">
        <w:rPr>
          <w:sz w:val="22"/>
          <w:szCs w:val="22"/>
        </w:rPr>
        <w:t>.</w:t>
      </w:r>
      <w:r>
        <w:rPr>
          <w:sz w:val="22"/>
          <w:szCs w:val="22"/>
          <w:rtl/>
        </w:rPr>
        <w:t xml:space="preserve"> ההערכה ההנדסית תאפיין את איכות האות, ביצועי השקילה, קליטת החבילות ברמת היישום, צריכת האנרגיה ו</w:t>
      </w:r>
      <w:r w:rsidR="009C5498">
        <w:rPr>
          <w:rFonts w:hint="cs"/>
          <w:sz w:val="22"/>
          <w:szCs w:val="22"/>
          <w:rtl/>
        </w:rPr>
        <w:t>אמינות</w:t>
      </w:r>
      <w:r>
        <w:rPr>
          <w:sz w:val="22"/>
          <w:szCs w:val="22"/>
          <w:rtl/>
        </w:rPr>
        <w:t xml:space="preserve"> המערכת בשטח. מחקר פרוספקטיבי על שלוש עד חמש כוורות במכוורת </w:t>
      </w:r>
      <w:r w:rsidR="0090386A">
        <w:rPr>
          <w:rFonts w:hint="cs"/>
          <w:sz w:val="22"/>
          <w:szCs w:val="22"/>
          <w:rtl/>
          <w:lang w:val="en-US"/>
        </w:rPr>
        <w:t>"דבש פרחי ציפורי"</w:t>
      </w:r>
      <w:r>
        <w:rPr>
          <w:sz w:val="22"/>
          <w:szCs w:val="22"/>
          <w:rtl/>
        </w:rPr>
        <w:t xml:space="preserve">, לאורך עונת הנחילה באביב </w:t>
      </w:r>
      <w:r>
        <w:rPr>
          <w:sz w:val="22"/>
          <w:szCs w:val="22"/>
        </w:rPr>
        <w:t>2027</w:t>
      </w:r>
      <w:r>
        <w:rPr>
          <w:sz w:val="22"/>
          <w:szCs w:val="22"/>
          <w:rtl/>
        </w:rPr>
        <w:t>, יבחן אם המאפיינים הנמדדים מספקים התרעה מוקדמת ושימושית על נחילות שאושרו באופן בלתי תלוי. ביצועי החיזוי ידווחו לפי כלל התאמה שנקבע מראש בין התרעות לאירועים: התרעות שווא לכוורת לשבוע, דיוק (</w:t>
      </w:r>
      <w:r>
        <w:rPr>
          <w:sz w:val="22"/>
          <w:szCs w:val="22"/>
        </w:rPr>
        <w:t>Precision</w:t>
      </w:r>
      <w:r>
        <w:rPr>
          <w:sz w:val="22"/>
          <w:szCs w:val="22"/>
          <w:rtl/>
        </w:rPr>
        <w:t>) ורגישות (</w:t>
      </w:r>
      <w:r>
        <w:rPr>
          <w:sz w:val="22"/>
          <w:szCs w:val="22"/>
        </w:rPr>
        <w:t>Recall</w:t>
      </w:r>
      <w:r>
        <w:rPr>
          <w:sz w:val="22"/>
          <w:szCs w:val="22"/>
          <w:rtl/>
        </w:rPr>
        <w:t>) ברמת האירוע וזמן ההתרעה המוקדמת, בכפוף למספר האירועים שייצפו. השוואה לחישה פשוטה יותר ולדגימה מתוזמנת בלבד תבחן את התועלת של שילוב החיישנים ושל הדגימה מונעת-האירועים. חצי שנה של פעולת צומת על סוללה היא יעד ראשוני, שיגובה בפרופילי צריכה מדודים.</w:t>
      </w:r>
    </w:p>
    <w:p w14:paraId="4409466C" w14:textId="77777777" w:rsidR="00205B91" w:rsidRDefault="00000000">
      <w:pPr>
        <w:bidi/>
        <w:spacing w:before="4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חיזוי נחילה, חיישן פיאזואלקטרי, דגימה מונעת-אירועים, עיבוד אותות, תאי עומס, מערכות משובצות בהספק נמוך, </w:t>
      </w:r>
      <w:r>
        <w:rPr>
          <w:sz w:val="22"/>
          <w:szCs w:val="22"/>
        </w:rPr>
        <w:t>ESP-NOW</w:t>
      </w:r>
      <w:r>
        <w:rPr>
          <w:sz w:val="22"/>
          <w:szCs w:val="22"/>
          <w:rtl/>
        </w:rPr>
        <w:t>.</w:t>
      </w:r>
    </w:p>
    <w:p w14:paraId="32DF731A" w14:textId="77777777" w:rsidR="00205B91" w:rsidRDefault="00000000">
      <w:pPr>
        <w:spacing w:after="40" w:line="240" w:lineRule="auto"/>
        <w:jc w:val="center"/>
        <w:rPr>
          <w:sz w:val="22"/>
          <w:szCs w:val="22"/>
        </w:rPr>
      </w:pPr>
      <w:r>
        <w:rPr>
          <w:b/>
          <w:bCs/>
          <w:sz w:val="26"/>
          <w:szCs w:val="26"/>
          <w:u w:val="single"/>
        </w:rPr>
        <w:t>BeeSense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0AEDC990" w:rsidR="00205B91" w:rsidRDefault="004519C5">
      <w:pPr>
        <w:spacing w:after="0" w:line="240" w:lineRule="auto"/>
        <w:jc w:val="center"/>
        <w:rPr>
          <w:i/>
          <w:sz w:val="22"/>
          <w:szCs w:val="22"/>
        </w:rPr>
      </w:pPr>
      <w:r>
        <w:rPr>
          <w:i/>
        </w:rPr>
        <w:t>drorbe@post.bgu.ac.il, dancoop@post.bgu.ac.il</w:t>
      </w:r>
    </w:p>
    <w:p w14:paraId="436DCC3A" w14:textId="31E161D7" w:rsidR="00205B91" w:rsidRDefault="00000000">
      <w:pPr>
        <w:spacing w:after="80" w:line="240" w:lineRule="auto"/>
        <w:jc w:val="center"/>
        <w:rPr>
          <w:sz w:val="22"/>
          <w:szCs w:val="22"/>
        </w:rPr>
      </w:pPr>
      <w:r>
        <w:rPr>
          <w:sz w:val="22"/>
          <w:szCs w:val="22"/>
        </w:rPr>
        <w:t>Adviser Name: Dr. Dan</w:t>
      </w:r>
      <w:r w:rsidR="005B7A73">
        <w:rPr>
          <w:sz w:val="22"/>
          <w:szCs w:val="22"/>
        </w:rPr>
        <w:t xml:space="preserve"> Vilenchik</w:t>
      </w:r>
    </w:p>
    <w:p w14:paraId="664093A7" w14:textId="77777777" w:rsidR="00205B91" w:rsidRDefault="00000000">
      <w:pPr>
        <w:spacing w:after="40" w:line="240" w:lineRule="auto"/>
        <w:jc w:val="center"/>
        <w:rPr>
          <w:sz w:val="22"/>
          <w:szCs w:val="22"/>
        </w:rPr>
      </w:pPr>
      <w:r>
        <w:rPr>
          <w:b/>
          <w:bCs/>
          <w:sz w:val="26"/>
          <w:szCs w:val="26"/>
        </w:rPr>
        <w:t>Abstract</w:t>
      </w:r>
    </w:p>
    <w:p w14:paraId="566D4B8D" w14:textId="2734398B" w:rsidR="00205B91" w:rsidRDefault="00000000">
      <w:pPr>
        <w:spacing w:after="20" w:line="360" w:lineRule="auto"/>
        <w:jc w:val="both"/>
        <w:rPr>
          <w:sz w:val="22"/>
          <w:szCs w:val="22"/>
        </w:rPr>
      </w:pPr>
      <w:r>
        <w:rPr>
          <w:sz w:val="22"/>
          <w:szCs w:val="22"/>
        </w:rPr>
        <w:t xml:space="preserve">BeeSense is an autonomous monitoring prototype for honeybee colonies at apiaries without mains power or Wi-Fi. Battery-powered hive nodes collect scheduled and event-triggered vibration and acoustic measurements together with weight and temperature. Embedded processing extracts spectral features, which are transmitted to a solar-powered cellular gateway and displayed on a per-hive dashboard. The engineering evaluation will characterize signal quality, weighing performance, application-level packet delivery, energy consumption, and field </w:t>
      </w:r>
      <w:r w:rsidR="00F21434">
        <w:rPr>
          <w:sz w:val="22"/>
          <w:szCs w:val="22"/>
        </w:rPr>
        <w:t>real</w:t>
      </w:r>
      <w:r>
        <w:rPr>
          <w:sz w:val="22"/>
          <w:szCs w:val="22"/>
        </w:rPr>
        <w:t>ailability. A prospective study on three to five hives at the Zippory Honey apiary will investigate whether the measured features provide actionable advance warning of independently confirmed swarming events. Prediction performance will be reported using a predefined alert-matching policy, false alerts per hive-week, event-level precision and recall, and warning lead time, subject to the number of observed events. Comparisons with simpler sensing and scheduled-only acquisition will assess the value of sensor fusion and event-driven operation. Six-month node autonomy is an initial target to be supported by measured operating profiles.</w:t>
      </w:r>
    </w:p>
    <w:p w14:paraId="39F850EA" w14:textId="77777777" w:rsidR="00205B91" w:rsidRDefault="00000000">
      <w:pPr>
        <w:spacing w:before="40" w:after="20" w:line="360" w:lineRule="auto"/>
        <w:jc w:val="both"/>
        <w:rPr>
          <w:sz w:val="22"/>
          <w:szCs w:val="22"/>
        </w:rPr>
        <w:sectPr w:rsidR="00205B91">
          <w:headerReference w:type="default" r:id="rId12"/>
          <w:footerReference w:type="default" r:id="rId13"/>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Swarm Prediction, Piezoelectric Sensor, Event-Driven Acquisition, Signal Processing, Load Cells, Low-Power Embedded Systems,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Value</w:t>
      </w:r>
    </w:p>
    <w:p w14:paraId="02F8BD4F" w14:textId="77777777" w:rsidR="00205B91" w:rsidRDefault="00000000">
      <w:pPr>
        <w:spacing w:after="20" w:line="360" w:lineRule="auto"/>
        <w:jc w:val="both"/>
        <w:rPr>
          <w:sz w:val="22"/>
          <w:szCs w:val="22"/>
        </w:rPr>
      </w:pPr>
      <w:r>
        <w:rPr>
          <w:sz w:val="22"/>
          <w:szCs w:val="22"/>
        </w:rPr>
        <w:t xml:space="preserve">Beekeepers check colonies by opening the hives at intervals that depend on season and management, and between visits they cannot see what happens inside. Precision beekeeping proposes sensor-based monitoring to support such decisions [1]. Swarming is a costly blind spot: the colony prepares for one to two weeks, then the swarm leaves with a large part of the workforce, clusters nearby for a few hours and is lost. Hive vibrations change before swarming [2], [3], and continuous weight reveals foraging and swarm departures [4]. </w:t>
      </w:r>
      <w:r>
        <w:rPr>
          <w:i/>
          <w:iCs/>
          <w:sz w:val="22"/>
          <w:szCs w:val="22"/>
        </w:rPr>
        <w:t>Use case:</w:t>
      </w:r>
      <w:r>
        <w:rPr>
          <w:sz w:val="22"/>
          <w:szCs w:val="22"/>
        </w:rPr>
        <w:t xml:space="preserve"> the Zippory Honey apiary, with many hives close together and no mains power or Wi-Fi. </w:t>
      </w:r>
      <w:r>
        <w:rPr>
          <w:i/>
          <w:iCs/>
          <w:sz w:val="22"/>
          <w:szCs w:val="22"/>
        </w:rPr>
        <w:t>Decision supported:</w:t>
      </w:r>
      <w:r>
        <w:rPr>
          <w:sz w:val="22"/>
          <w:szCs w:val="22"/>
        </w:rPr>
        <w:t xml:space="preserve"> which hive to inspect, and when. An alert must come early enough to reach the apiary and act (e.g., split the colony), but not so early or persistently that it causes needless visits. The beekeeper will document actual inspection intervals, response time, connectivity and preventable losses; these local data set the warning window (Section 3.4).</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3AE4FD45" w14:textId="77777777" w:rsidR="00205B91" w:rsidRDefault="00000000">
      <w:pPr>
        <w:spacing w:after="20" w:line="360" w:lineRule="auto"/>
        <w:jc w:val="both"/>
        <w:rPr>
          <w:sz w:val="22"/>
          <w:szCs w:val="22"/>
        </w:rPr>
      </w:pPr>
      <w:r>
        <w:rPr>
          <w:b/>
          <w:bCs/>
          <w:sz w:val="22"/>
          <w:szCs w:val="22"/>
        </w:rPr>
        <w:t>Goal:</w:t>
      </w:r>
      <w:r>
        <w:rPr>
          <w:sz w:val="22"/>
          <w:szCs w:val="22"/>
        </w:rPr>
        <w:t xml:space="preserve"> an autonomous, characterized monitoring system for a small group of hives without mains power or Wi-Fi. </w:t>
      </w:r>
      <w:r>
        <w:rPr>
          <w:b/>
          <w:bCs/>
          <w:sz w:val="22"/>
          <w:szCs w:val="22"/>
        </w:rPr>
        <w:t>Engineering objectives (committed, Table I):</w:t>
      </w:r>
      <w:r>
        <w:rPr>
          <w:sz w:val="22"/>
          <w:szCs w:val="22"/>
        </w:rPr>
        <w:t xml:space="preserve"> (E1) scheduled and event-triggered acquisition of vibration, audio, weight and temperature with validated signal quality; (E2) delivery of features from every hive to a solar-powered cellular gateway and a per-hive dashboard, with measured application-level delivery and availability; (E3) a node energy budget, measured over complete operating cycles, that projects at least six months per battery.</w:t>
      </w:r>
    </w:p>
    <w:p w14:paraId="7DD5091E" w14:textId="77777777" w:rsidR="00205B91" w:rsidRDefault="00000000">
      <w:pPr>
        <w:spacing w:after="20" w:line="360" w:lineRule="auto"/>
        <w:jc w:val="both"/>
        <w:rPr>
          <w:sz w:val="22"/>
          <w:szCs w:val="22"/>
        </w:rPr>
      </w:pPr>
      <w:r>
        <w:rPr>
          <w:b/>
          <w:bCs/>
          <w:sz w:val="22"/>
          <w:szCs w:val="22"/>
        </w:rPr>
        <w:t>Research objective (reported with its evidence):</w:t>
      </w:r>
      <w:r>
        <w:rPr>
          <w:sz w:val="22"/>
          <w:szCs w:val="22"/>
        </w:rPr>
        <w:t xml:space="preserve"> (R1) determine whether the measured signals give actionable advance warning of independently confirmed swarming, and whether sensor fusion and event-triggered acquisition improve detection or energy use over simpler baselines.</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bench characterization of each sensor chain, timing, delivery and power (Nov.–Dec. 2026); (2) real-hive feasibility gate by 31 Dec. 2026: piezo and microphone spectra vs. electronics noise and measured node energy on one hive, and the LoRa decision; (3) fix mounting, features, thresholds and logging, then freeze the system (Jan.–Feb. 2027); (4) prospective field evaluation on 3–5 hives through the swarming season.</w:t>
      </w:r>
    </w:p>
    <w:p w14:paraId="54C184AC" w14:textId="77777777" w:rsidR="00205B91" w:rsidRDefault="00000000">
      <w:pPr>
        <w:keepNext/>
        <w:spacing w:before="40" w:after="0" w:line="360" w:lineRule="auto"/>
        <w:rPr>
          <w:sz w:val="22"/>
          <w:szCs w:val="22"/>
        </w:rPr>
      </w:pPr>
      <w:r>
        <w:rPr>
          <w:b/>
          <w:bCs/>
          <w:sz w:val="22"/>
          <w:szCs w:val="22"/>
        </w:rPr>
        <w:t>1.3 Technology, Interfaces and Cost</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board and one 18650 Li-ion cell with (a) a 27 mm piezo disc on a dedicated brood frame, sealed against wax, propolis and humidity and wired through a connector at the top bar, so the frame can still be lifted for inspection; (b) an I²S MEMS microphone inside the hive behind a mesh; (c) four 50 kg load cells under a hive platform with an HX711 ADC; (d) DS18B20 probes inside and outside. An op-amp front end (bias, protection, gain, ≈800 Hz anti-alias low-pass) is powered only while recording; a separate always-on wake circuit (≈2 µA, datasheet estimate) watches the piezo envelope. </w:t>
      </w:r>
      <w:r>
        <w:rPr>
          <w:i/>
          <w:iCs/>
          <w:sz w:val="22"/>
          <w:szCs w:val="22"/>
        </w:rPr>
        <w:t>Hub:</w:t>
      </w:r>
      <w:r>
        <w:rPr>
          <w:sz w:val="22"/>
          <w:szCs w:val="22"/>
        </w:rPr>
        <w:t xml:space="preserve"> an ESP32-S3 board with a SIMCom A7608E-H LTE modem, an 18 V / 15 W solar panel, an </w:t>
      </w:r>
      <w:r>
        <w:rPr>
          <w:sz w:val="22"/>
          <w:szCs w:val="22"/>
        </w:rPr>
        <w:lastRenderedPageBreak/>
        <w:t xml:space="preserve">MPPT charger and a Li-ion pack; one hub serves a group of nearby hives. </w:t>
      </w:r>
      <w:r>
        <w:rPr>
          <w:i/>
          <w:iCs/>
          <w:sz w:val="22"/>
          <w:szCs w:val="22"/>
        </w:rPr>
        <w:t>Interfaces:</w:t>
      </w:r>
      <w:r>
        <w:rPr>
          <w:sz w:val="22"/>
          <w:szCs w:val="22"/>
        </w:rPr>
        <w:t xml:space="preserve"> ADC, I²S, two-wire serial (HX711), 1-Wire, GPIO wake, ESP-NOW (node–hub), LTE (hub–cloud). </w:t>
      </w:r>
      <w:r>
        <w:rPr>
          <w:i/>
          <w:iCs/>
          <w:sz w:val="22"/>
          <w:szCs w:val="22"/>
        </w:rPr>
        <w:t>Cost (estimate; itemized bill of materials in the preliminary report):</w:t>
      </w:r>
      <w:r>
        <w:rPr>
          <w:sz w:val="22"/>
          <w:szCs w:val="22"/>
        </w:rPr>
        <w:t xml:space="preserve"> ≈$40 per node including platform and enclosure, ≈$100 per hub, plus a data SIM, i.e. ≈$50 per hive at 10 hives per hub.</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Fig. 1.  BeeSense block diagram (blue: BeeSense system, grey: external; red: event wake-up path).</w:t>
      </w:r>
    </w:p>
    <w:p w14:paraId="61461D6A" w14:textId="77777777" w:rsidR="00205B91" w:rsidRDefault="00000000">
      <w:pPr>
        <w:keepNext/>
        <w:spacing w:before="40" w:after="0" w:line="360" w:lineRule="auto"/>
        <w:rPr>
          <w:sz w:val="22"/>
          <w:szCs w:val="22"/>
        </w:rPr>
      </w:pPr>
      <w:r>
        <w:rPr>
          <w:b/>
          <w:bCs/>
          <w:sz w:val="22"/>
          <w:szCs w:val="22"/>
        </w:rPr>
        <w:t>1.4 Performance Specification</w:t>
      </w:r>
    </w:p>
    <w:p w14:paraId="46F7B437" w14:textId="77777777" w:rsidR="00205B91" w:rsidRDefault="00000000">
      <w:pPr>
        <w:keepNext/>
        <w:spacing w:before="40" w:after="20" w:line="240" w:lineRule="auto"/>
        <w:jc w:val="center"/>
        <w:rPr>
          <w:sz w:val="26"/>
          <w:szCs w:val="26"/>
        </w:rPr>
      </w:pPr>
      <w:r>
        <w:rPr>
          <w:sz w:val="20"/>
          <w:szCs w:val="20"/>
        </w:rPr>
        <w:t>TABLE I.  SPECIFICATION: ENGINEERING ACCEPTANCE (E) AND RESEARCH TARGETS (R)</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624"/>
        <w:gridCol w:w="3593"/>
        <w:gridCol w:w="3090"/>
      </w:tblGrid>
      <w:tr w:rsidR="00205B91" w14:paraId="5AFC2684" w14:textId="77777777">
        <w:trPr>
          <w:cantSplit/>
          <w:jc w:val="center"/>
        </w:trPr>
        <w:tc>
          <w:tcPr>
            <w:tcW w:w="1750"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3900"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Specification and test</w:t>
            </w:r>
          </w:p>
        </w:tc>
        <w:tc>
          <w:tcPr>
            <w:tcW w:w="3350"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 / evidence</w:t>
            </w:r>
          </w:p>
        </w:tc>
      </w:tr>
      <w:tr w:rsidR="00205B91" w14:paraId="13BB374E" w14:textId="77777777">
        <w:trPr>
          <w:cantSplit/>
          <w:jc w:val="center"/>
        </w:trPr>
        <w:tc>
          <w:tcPr>
            <w:tcW w:w="1750" w:type="dxa"/>
          </w:tcPr>
          <w:p w14:paraId="165E8932" w14:textId="77777777" w:rsidR="00205B91" w:rsidRPr="005F7A00" w:rsidRDefault="00000000">
            <w:pPr>
              <w:keepNext/>
              <w:spacing w:after="0" w:line="240" w:lineRule="auto"/>
              <w:rPr>
                <w:sz w:val="20"/>
                <w:szCs w:val="20"/>
              </w:rPr>
            </w:pPr>
            <w:r>
              <w:rPr>
                <w:sz w:val="20"/>
                <w:szCs w:val="20"/>
              </w:rPr>
              <w:t>E – Signal quality</w:t>
            </w:r>
          </w:p>
        </w:tc>
        <w:tc>
          <w:tcPr>
            <w:tcW w:w="3900" w:type="dxa"/>
          </w:tcPr>
          <w:p w14:paraId="43C20494" w14:textId="77777777" w:rsidR="00205B91" w:rsidRPr="005F7A00" w:rsidRDefault="00000000">
            <w:pPr>
              <w:keepNext/>
              <w:spacing w:after="0" w:line="240" w:lineRule="auto"/>
              <w:jc w:val="center"/>
              <w:rPr>
                <w:sz w:val="20"/>
                <w:szCs w:val="20"/>
              </w:rPr>
            </w:pPr>
            <w:r>
              <w:rPr>
                <w:sz w:val="20"/>
                <w:szCs w:val="20"/>
              </w:rPr>
              <w:t>Hive spectra vs. electronics noise; remount repeatability; invalid recordings</w:t>
            </w:r>
          </w:p>
        </w:tc>
        <w:tc>
          <w:tcPr>
            <w:tcW w:w="3350" w:type="dxa"/>
          </w:tcPr>
          <w:p w14:paraId="05366B33" w14:textId="77777777" w:rsidR="00205B91" w:rsidRPr="005F7A00" w:rsidRDefault="00000000">
            <w:pPr>
              <w:keepNext/>
              <w:spacing w:after="0" w:line="240" w:lineRule="auto"/>
              <w:jc w:val="center"/>
              <w:rPr>
                <w:sz w:val="20"/>
                <w:szCs w:val="20"/>
              </w:rPr>
            </w:pPr>
            <w:r>
              <w:rPr>
                <w:sz w:val="20"/>
                <w:szCs w:val="20"/>
              </w:rPr>
              <w:t>Signal above noise in 50–800 Hz; invalid rate</w:t>
            </w:r>
          </w:p>
        </w:tc>
      </w:tr>
      <w:tr w:rsidR="00205B91" w14:paraId="2270FAFE" w14:textId="77777777">
        <w:trPr>
          <w:cantSplit/>
          <w:jc w:val="center"/>
        </w:trPr>
        <w:tc>
          <w:tcPr>
            <w:tcW w:w="1750" w:type="dxa"/>
          </w:tcPr>
          <w:p w14:paraId="10457285" w14:textId="77777777" w:rsidR="00205B91" w:rsidRPr="005F7A00" w:rsidRDefault="00000000">
            <w:pPr>
              <w:keepNext/>
              <w:spacing w:after="0" w:line="240" w:lineRule="auto"/>
              <w:rPr>
                <w:sz w:val="20"/>
                <w:szCs w:val="20"/>
              </w:rPr>
            </w:pPr>
            <w:r>
              <w:rPr>
                <w:sz w:val="20"/>
                <w:szCs w:val="20"/>
              </w:rPr>
              <w:t>E – Weighing</w:t>
            </w:r>
          </w:p>
        </w:tc>
        <w:tc>
          <w:tcPr>
            <w:tcW w:w="3900" w:type="dxa"/>
          </w:tcPr>
          <w:p w14:paraId="53472139" w14:textId="77777777" w:rsidR="00205B91" w:rsidRPr="005F7A00" w:rsidRDefault="00000000">
            <w:pPr>
              <w:keepNext/>
              <w:spacing w:after="0" w:line="240" w:lineRule="auto"/>
              <w:jc w:val="center"/>
              <w:rPr>
                <w:sz w:val="20"/>
                <w:szCs w:val="20"/>
              </w:rPr>
            </w:pPr>
            <w:r>
              <w:rPr>
                <w:sz w:val="20"/>
                <w:szCs w:val="20"/>
              </w:rPr>
              <w:t>30-min change at several loads, off-center, −5…40 °C; absolute error and drift reported</w:t>
            </w:r>
          </w:p>
        </w:tc>
        <w:tc>
          <w:tcPr>
            <w:tcW w:w="3350" w:type="dxa"/>
          </w:tcPr>
          <w:p w14:paraId="6AD2576E" w14:textId="77777777" w:rsidR="00205B91" w:rsidRPr="005F7A00" w:rsidRDefault="00000000">
            <w:pPr>
              <w:keepNext/>
              <w:spacing w:after="0" w:line="240" w:lineRule="auto"/>
              <w:jc w:val="center"/>
              <w:rPr>
                <w:sz w:val="20"/>
                <w:szCs w:val="20"/>
              </w:rPr>
            </w:pPr>
            <w:r>
              <w:rPr>
                <w:sz w:val="20"/>
                <w:szCs w:val="20"/>
              </w:rPr>
              <w:t>Change error ≤ ±20 g</w:t>
            </w:r>
          </w:p>
        </w:tc>
      </w:tr>
      <w:tr w:rsidR="00205B91" w14:paraId="704A1B72" w14:textId="77777777">
        <w:trPr>
          <w:cantSplit/>
          <w:jc w:val="center"/>
        </w:trPr>
        <w:tc>
          <w:tcPr>
            <w:tcW w:w="1750" w:type="dxa"/>
          </w:tcPr>
          <w:p w14:paraId="6359A8A1" w14:textId="77777777" w:rsidR="00205B91" w:rsidRPr="005F7A00" w:rsidRDefault="00000000">
            <w:pPr>
              <w:keepNext/>
              <w:spacing w:after="0" w:line="240" w:lineRule="auto"/>
              <w:rPr>
                <w:sz w:val="20"/>
                <w:szCs w:val="20"/>
              </w:rPr>
            </w:pPr>
            <w:r>
              <w:rPr>
                <w:sz w:val="20"/>
                <w:szCs w:val="20"/>
              </w:rPr>
              <w:t>E – Event wake</w:t>
            </w:r>
          </w:p>
        </w:tc>
        <w:tc>
          <w:tcPr>
            <w:tcW w:w="3900" w:type="dxa"/>
          </w:tcPr>
          <w:p w14:paraId="01A717D6" w14:textId="77777777" w:rsidR="00205B91" w:rsidRPr="005F7A00" w:rsidRDefault="00000000">
            <w:pPr>
              <w:keepNext/>
              <w:spacing w:after="0" w:line="240" w:lineRule="auto"/>
              <w:jc w:val="center"/>
              <w:rPr>
                <w:sz w:val="20"/>
                <w:szCs w:val="20"/>
              </w:rPr>
            </w:pPr>
            <w:r>
              <w:rPr>
                <w:sz w:val="20"/>
                <w:szCs w:val="20"/>
              </w:rPr>
              <w:t>Annotated trials (bursts, wind, rain, handling) vs. scheduled reference</w:t>
            </w:r>
          </w:p>
        </w:tc>
        <w:tc>
          <w:tcPr>
            <w:tcW w:w="3350" w:type="dxa"/>
          </w:tcPr>
          <w:p w14:paraId="024A1D13" w14:textId="77777777" w:rsidR="00205B91" w:rsidRPr="005F7A00" w:rsidRDefault="00000000">
            <w:pPr>
              <w:keepNext/>
              <w:spacing w:after="0" w:line="240" w:lineRule="auto"/>
              <w:jc w:val="center"/>
              <w:rPr>
                <w:sz w:val="20"/>
                <w:szCs w:val="20"/>
              </w:rPr>
            </w:pPr>
            <w:r>
              <w:rPr>
                <w:sz w:val="20"/>
                <w:szCs w:val="20"/>
              </w:rPr>
              <w:t>Useful-event capture; ≤ 20 false wakes per hive-day (provisional)</w:t>
            </w:r>
          </w:p>
        </w:tc>
      </w:tr>
      <w:tr w:rsidR="00205B91" w14:paraId="5BE23E90" w14:textId="77777777">
        <w:trPr>
          <w:cantSplit/>
          <w:jc w:val="center"/>
        </w:trPr>
        <w:tc>
          <w:tcPr>
            <w:tcW w:w="1750" w:type="dxa"/>
          </w:tcPr>
          <w:p w14:paraId="660BDCEF" w14:textId="77777777" w:rsidR="00205B91" w:rsidRPr="005F7A00" w:rsidRDefault="00000000">
            <w:pPr>
              <w:keepNext/>
              <w:spacing w:after="0" w:line="240" w:lineRule="auto"/>
              <w:rPr>
                <w:sz w:val="20"/>
                <w:szCs w:val="20"/>
              </w:rPr>
            </w:pPr>
            <w:r>
              <w:rPr>
                <w:sz w:val="20"/>
                <w:szCs w:val="20"/>
              </w:rPr>
              <w:t>E – Delivery</w:t>
            </w:r>
          </w:p>
        </w:tc>
        <w:tc>
          <w:tcPr>
            <w:tcW w:w="3900" w:type="dxa"/>
          </w:tcPr>
          <w:p w14:paraId="7027995C" w14:textId="77777777" w:rsidR="00205B91" w:rsidRPr="005F7A00" w:rsidRDefault="00000000">
            <w:pPr>
              <w:keepNext/>
              <w:spacing w:after="0" w:line="240" w:lineRule="auto"/>
              <w:jc w:val="center"/>
              <w:rPr>
                <w:sz w:val="20"/>
                <w:szCs w:val="20"/>
              </w:rPr>
            </w:pPr>
            <w:r>
              <w:rPr>
                <w:sz w:val="20"/>
                <w:szCs w:val="20"/>
              </w:rPr>
              <w:t>Hub-application receipts / sent (sequence numbers), all nodes on site</w:t>
            </w:r>
          </w:p>
        </w:tc>
        <w:tc>
          <w:tcPr>
            <w:tcW w:w="3350" w:type="dxa"/>
          </w:tcPr>
          <w:p w14:paraId="3A3344C6" w14:textId="77777777" w:rsidR="00205B91" w:rsidRPr="005F7A00" w:rsidRDefault="00000000">
            <w:pPr>
              <w:keepNext/>
              <w:spacing w:after="0" w:line="240" w:lineRule="auto"/>
              <w:jc w:val="center"/>
              <w:rPr>
                <w:sz w:val="20"/>
                <w:szCs w:val="20"/>
              </w:rPr>
            </w:pPr>
            <w:r>
              <w:rPr>
                <w:sz w:val="20"/>
                <w:szCs w:val="20"/>
              </w:rPr>
              <w:t>≥ 95%; alert latency ≤ 30 min</w:t>
            </w:r>
          </w:p>
        </w:tc>
      </w:tr>
      <w:tr w:rsidR="00205B91" w14:paraId="64999325" w14:textId="77777777">
        <w:trPr>
          <w:cantSplit/>
          <w:jc w:val="center"/>
        </w:trPr>
        <w:tc>
          <w:tcPr>
            <w:tcW w:w="1750" w:type="dxa"/>
          </w:tcPr>
          <w:p w14:paraId="118703F7" w14:textId="77777777" w:rsidR="00205B91" w:rsidRPr="005F7A00" w:rsidRDefault="00000000">
            <w:pPr>
              <w:keepNext/>
              <w:spacing w:after="0" w:line="240" w:lineRule="auto"/>
              <w:rPr>
                <w:sz w:val="20"/>
                <w:szCs w:val="20"/>
              </w:rPr>
            </w:pPr>
            <w:r>
              <w:rPr>
                <w:sz w:val="20"/>
                <w:szCs w:val="20"/>
              </w:rPr>
              <w:t>E – Node energy</w:t>
            </w:r>
          </w:p>
        </w:tc>
        <w:tc>
          <w:tcPr>
            <w:tcW w:w="3900" w:type="dxa"/>
          </w:tcPr>
          <w:p w14:paraId="03AFD28E" w14:textId="77777777" w:rsidR="00205B91" w:rsidRPr="005F7A00" w:rsidRDefault="00000000">
            <w:pPr>
              <w:keepNext/>
              <w:spacing w:after="0" w:line="240" w:lineRule="auto"/>
              <w:jc w:val="center"/>
              <w:rPr>
                <w:sz w:val="20"/>
                <w:szCs w:val="20"/>
              </w:rPr>
            </w:pPr>
            <w:r>
              <w:rPr>
                <w:sz w:val="20"/>
                <w:szCs w:val="20"/>
              </w:rPr>
              <w:t>Measured full-cycle profiles; nominal and adverse (events, retries) cases</w:t>
            </w:r>
          </w:p>
        </w:tc>
        <w:tc>
          <w:tcPr>
            <w:tcW w:w="3350" w:type="dxa"/>
          </w:tcPr>
          <w:p w14:paraId="0B2D516E" w14:textId="77777777" w:rsidR="00205B91" w:rsidRPr="005F7A00" w:rsidRDefault="00000000">
            <w:pPr>
              <w:keepNext/>
              <w:spacing w:after="0" w:line="240" w:lineRule="auto"/>
              <w:jc w:val="center"/>
              <w:rPr>
                <w:sz w:val="20"/>
                <w:szCs w:val="20"/>
              </w:rPr>
            </w:pPr>
            <w:r>
              <w:rPr>
                <w:sz w:val="20"/>
                <w:szCs w:val="20"/>
              </w:rPr>
              <w:t>≥ 6 months projected, 20% margin</w:t>
            </w:r>
          </w:p>
        </w:tc>
      </w:tr>
      <w:tr w:rsidR="00205B91" w14:paraId="1FC8A441" w14:textId="77777777">
        <w:trPr>
          <w:cantSplit/>
          <w:jc w:val="center"/>
        </w:trPr>
        <w:tc>
          <w:tcPr>
            <w:tcW w:w="1750" w:type="dxa"/>
          </w:tcPr>
          <w:p w14:paraId="72AED665" w14:textId="77777777" w:rsidR="00205B91" w:rsidRPr="005F7A00" w:rsidRDefault="00000000">
            <w:pPr>
              <w:spacing w:after="0" w:line="240" w:lineRule="auto"/>
              <w:rPr>
                <w:sz w:val="20"/>
                <w:szCs w:val="20"/>
              </w:rPr>
            </w:pPr>
            <w:r>
              <w:rPr>
                <w:sz w:val="20"/>
                <w:szCs w:val="20"/>
              </w:rPr>
              <w:t>E – Availability</w:t>
            </w:r>
          </w:p>
        </w:tc>
        <w:tc>
          <w:tcPr>
            <w:tcW w:w="3900" w:type="dxa"/>
          </w:tcPr>
          <w:p w14:paraId="3863C65F" w14:textId="77777777" w:rsidR="00205B91" w:rsidRPr="005F7A00" w:rsidRDefault="00000000">
            <w:pPr>
              <w:spacing w:after="0" w:line="240" w:lineRule="auto"/>
              <w:jc w:val="center"/>
              <w:rPr>
                <w:sz w:val="20"/>
                <w:szCs w:val="20"/>
              </w:rPr>
            </w:pPr>
            <w:r>
              <w:rPr>
                <w:sz w:val="20"/>
                <w:szCs w:val="20"/>
              </w:rPr>
              <w:t>Log of uptime, resets, data gaps, interventions, solar and battery</w:t>
            </w:r>
          </w:p>
        </w:tc>
        <w:tc>
          <w:tcPr>
            <w:tcW w:w="3350" w:type="dxa"/>
          </w:tcPr>
          <w:p w14:paraId="66BDF0B8" w14:textId="77777777" w:rsidR="00205B91" w:rsidRPr="005F7A00" w:rsidRDefault="00000000">
            <w:pPr>
              <w:spacing w:after="0" w:line="240" w:lineRule="auto"/>
              <w:jc w:val="center"/>
              <w:rPr>
                <w:sz w:val="20"/>
                <w:szCs w:val="20"/>
              </w:rPr>
            </w:pPr>
            <w:r>
              <w:rPr>
                <w:sz w:val="20"/>
                <w:szCs w:val="20"/>
              </w:rPr>
              <w:t>≥ 30 days without maintenance</w:t>
            </w:r>
          </w:p>
        </w:tc>
      </w:tr>
      <w:tr w:rsidR="00205B91" w14:paraId="55B37372" w14:textId="77777777">
        <w:trPr>
          <w:cantSplit/>
          <w:jc w:val="center"/>
        </w:trPr>
        <w:tc>
          <w:tcPr>
            <w:tcW w:w="1750" w:type="dxa"/>
          </w:tcPr>
          <w:p w14:paraId="59E3530F" w14:textId="77777777" w:rsidR="00205B91" w:rsidRPr="005F7A00" w:rsidRDefault="00000000">
            <w:pPr>
              <w:spacing w:after="0" w:line="240" w:lineRule="auto"/>
              <w:rPr>
                <w:sz w:val="20"/>
                <w:szCs w:val="20"/>
              </w:rPr>
            </w:pPr>
            <w:r>
              <w:rPr>
                <w:sz w:val="20"/>
                <w:szCs w:val="20"/>
              </w:rPr>
              <w:t>E – Cost</w:t>
            </w:r>
          </w:p>
        </w:tc>
        <w:tc>
          <w:tcPr>
            <w:tcW w:w="3900" w:type="dxa"/>
          </w:tcPr>
          <w:p w14:paraId="00F64157" w14:textId="77777777" w:rsidR="00205B91" w:rsidRPr="005F7A00" w:rsidRDefault="00000000">
            <w:pPr>
              <w:spacing w:after="0" w:line="240" w:lineRule="auto"/>
              <w:jc w:val="center"/>
              <w:rPr>
                <w:sz w:val="20"/>
                <w:szCs w:val="20"/>
              </w:rPr>
            </w:pPr>
            <w:r>
              <w:rPr>
                <w:sz w:val="20"/>
                <w:szCs w:val="20"/>
              </w:rPr>
              <w:t>Bill of materials per node and hub; recurring SIM fee</w:t>
            </w:r>
          </w:p>
        </w:tc>
        <w:tc>
          <w:tcPr>
            <w:tcW w:w="3350" w:type="dxa"/>
          </w:tcPr>
          <w:p w14:paraId="023566C0" w14:textId="77777777" w:rsidR="00205B91" w:rsidRPr="005F7A00" w:rsidRDefault="00000000">
            <w:pPr>
              <w:spacing w:after="0" w:line="240" w:lineRule="auto"/>
              <w:jc w:val="center"/>
              <w:rPr>
                <w:sz w:val="20"/>
                <w:szCs w:val="20"/>
              </w:rPr>
            </w:pPr>
            <w:r>
              <w:rPr>
                <w:sz w:val="20"/>
                <w:szCs w:val="20"/>
              </w:rPr>
              <w:t>Per hive at 10 hives per hub</w:t>
            </w:r>
          </w:p>
        </w:tc>
      </w:tr>
      <w:tr w:rsidR="00205B91" w14:paraId="14F8503C" w14:textId="77777777">
        <w:trPr>
          <w:cantSplit/>
          <w:jc w:val="center"/>
        </w:trPr>
        <w:tc>
          <w:tcPr>
            <w:tcW w:w="1750" w:type="dxa"/>
          </w:tcPr>
          <w:p w14:paraId="34E5D292" w14:textId="77777777" w:rsidR="00205B91" w:rsidRPr="005F7A00" w:rsidRDefault="00000000">
            <w:pPr>
              <w:spacing w:after="0" w:line="240" w:lineRule="auto"/>
              <w:rPr>
                <w:sz w:val="20"/>
                <w:szCs w:val="20"/>
              </w:rPr>
            </w:pPr>
            <w:r>
              <w:rPr>
                <w:sz w:val="20"/>
                <w:szCs w:val="20"/>
              </w:rPr>
              <w:t>R – Advance warning</w:t>
            </w:r>
          </w:p>
        </w:tc>
        <w:tc>
          <w:tcPr>
            <w:tcW w:w="3900" w:type="dxa"/>
          </w:tcPr>
          <w:p w14:paraId="6FCBE867" w14:textId="77777777" w:rsidR="00205B91" w:rsidRPr="005F7A00" w:rsidRDefault="00000000">
            <w:pPr>
              <w:spacing w:after="0" w:line="240" w:lineRule="auto"/>
              <w:jc w:val="center"/>
              <w:rPr>
                <w:sz w:val="20"/>
                <w:szCs w:val="20"/>
              </w:rPr>
            </w:pPr>
            <w:r>
              <w:rPr>
                <w:sz w:val="20"/>
                <w:szCs w:val="20"/>
              </w:rPr>
              <w:t>Episodes matched to confirmed departures in the frozen window (Section 3.4)</w:t>
            </w:r>
          </w:p>
        </w:tc>
        <w:tc>
          <w:tcPr>
            <w:tcW w:w="3350" w:type="dxa"/>
          </w:tcPr>
          <w:p w14:paraId="7C9FAE8D" w14:textId="77777777" w:rsidR="00205B91" w:rsidRPr="005F7A00" w:rsidRDefault="00000000">
            <w:pPr>
              <w:spacing w:after="0" w:line="240" w:lineRule="auto"/>
              <w:jc w:val="center"/>
              <w:rPr>
                <w:sz w:val="20"/>
                <w:szCs w:val="20"/>
              </w:rPr>
            </w:pPr>
            <w:r>
              <w:rPr>
                <w:sz w:val="20"/>
                <w:szCs w:val="20"/>
              </w:rPr>
              <w:t>P, R (goal &gt; 90%), lead time, ≤ 1 false episode per hive-week; counts and uncertainty</w:t>
            </w:r>
          </w:p>
        </w:tc>
      </w:tr>
      <w:tr w:rsidR="00205B91" w14:paraId="0D5C1678" w14:textId="77777777">
        <w:trPr>
          <w:cantSplit/>
          <w:jc w:val="center"/>
        </w:trPr>
        <w:tc>
          <w:tcPr>
            <w:tcW w:w="1750" w:type="dxa"/>
          </w:tcPr>
          <w:p w14:paraId="152ACEC3" w14:textId="77777777" w:rsidR="00205B91" w:rsidRPr="005F7A00" w:rsidRDefault="00000000">
            <w:pPr>
              <w:spacing w:after="0" w:line="240" w:lineRule="auto"/>
              <w:rPr>
                <w:sz w:val="20"/>
                <w:szCs w:val="20"/>
              </w:rPr>
            </w:pPr>
            <w:r>
              <w:rPr>
                <w:sz w:val="20"/>
                <w:szCs w:val="20"/>
              </w:rPr>
              <w:t>R – Sensor fusion</w:t>
            </w:r>
          </w:p>
        </w:tc>
        <w:tc>
          <w:tcPr>
            <w:tcW w:w="3900" w:type="dxa"/>
          </w:tcPr>
          <w:p w14:paraId="264AD4D3" w14:textId="77777777" w:rsidR="00205B91" w:rsidRPr="005F7A00" w:rsidRDefault="00000000">
            <w:pPr>
              <w:spacing w:after="0" w:line="240" w:lineRule="auto"/>
              <w:jc w:val="center"/>
              <w:rPr>
                <w:sz w:val="20"/>
                <w:szCs w:val="20"/>
              </w:rPr>
            </w:pPr>
            <w:r>
              <w:rPr>
                <w:sz w:val="20"/>
                <w:szCs w:val="20"/>
              </w:rPr>
              <w:t>Weight-only, vibration/audio-only and fused; scheduled-only vs. + event</w:t>
            </w:r>
          </w:p>
        </w:tc>
        <w:tc>
          <w:tcPr>
            <w:tcW w:w="3350" w:type="dxa"/>
          </w:tcPr>
          <w:p w14:paraId="1FD36F28" w14:textId="77777777" w:rsidR="00205B91" w:rsidRPr="005F7A00" w:rsidRDefault="00000000">
            <w:pPr>
              <w:spacing w:after="0" w:line="240" w:lineRule="auto"/>
              <w:jc w:val="center"/>
              <w:rPr>
                <w:sz w:val="20"/>
                <w:szCs w:val="20"/>
              </w:rPr>
            </w:pPr>
            <w:r>
              <w:rPr>
                <w:sz w:val="20"/>
                <w:szCs w:val="20"/>
              </w:rPr>
              <w:t>Same eligible events and hive-days</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r>
        <w:rPr>
          <w:sz w:val="22"/>
          <w:szCs w:val="22"/>
        </w:rPr>
        <w:t xml:space="preserve">Ferrari et al. reported, with in-hive microphones and temperature sensors on three hives, a rise in spectral power near 110 Hz shifting toward 300 Hz before swarming [2]. Ramsey et al. placed accelerometers in the comb and, using learned spectral discrimination and spectral-history analysis, identified colonies preparing to swarm with more than 90% accuracy, up to 30 days ahead [3]. Iqbal et al. compared acoustic classifiers for swarm prediction on public hive recordings [5], a candidate offline baseline. Cecchi et al. built a multi-sensor hive with microphones and four load cells, each hive unit drawing about 4.2 W from </w:t>
      </w:r>
      <w:r>
        <w:rPr>
          <w:sz w:val="22"/>
          <w:szCs w:val="22"/>
        </w:rPr>
        <w:lastRenderedPageBreak/>
        <w:t>mains power [6]. Commercially, BeeHero sensors measure acoustics and climate and report over Bluetooth Low Energy to a cellular gateway in a closed system [7].</w:t>
      </w:r>
    </w:p>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Acquisition and Features</w:t>
      </w:r>
    </w:p>
    <w:p w14:paraId="389C0462" w14:textId="77777777" w:rsidR="00205B91" w:rsidRDefault="00000000">
      <w:pPr>
        <w:spacing w:after="20" w:line="360" w:lineRule="auto"/>
        <w:jc w:val="both"/>
        <w:rPr>
          <w:sz w:val="22"/>
          <w:szCs w:val="22"/>
        </w:rPr>
      </w:pPr>
      <w:r>
        <w:rPr>
          <w:sz w:val="22"/>
          <w:szCs w:val="22"/>
        </w:rPr>
        <w:t>Scheduled acquisitions every 15 min are the baseline; the wake circuit adds acquisitions on vibration bursts, and its 20-min hold-off blocks only further event wakes, never scheduled ones. The wake circuit compares the piezo envelope with a slow running average; it reacts to amplitude, so gradual spectral changes are expected in the scheduled recordings, and the added value of event wakes is evaluated. Each acquisition records 10 s of piezo signal (ADC, fs = 2 kHz) and microphone signal (I²S, decimated to 2 kHz), then the weight after the HX711 settles and the temperatures. Welch's method (1024-point Hann windows, 50% overlap, ≈38 averages, Δf ≈ 2 Hz) gives S(f); the FFT is Q15 fixed-point, validated offline against a floating-point reference. S(f) is summed into K = 24 logarithmically spaced bands Bk in B = 50–800 Hz, ≈6 Hz wide at 50 Hz, ≈13 Hz near 110 Hz and ≈90 Hz near 800 Hz. Absolute band powers are kept together with the normalized energies (1), which remove a common gain but not frequency-dependent coupling; both are compared, and recordings near the noise floor are flagged. During development each node also keeps one raw recording per night (≈80 kB), retrieved by the hub to diagnose aliasing, coupling and noise.</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Σ</w:t>
      </w:r>
      <w:r>
        <w:rPr>
          <w:i/>
          <w:iCs/>
          <w:sz w:val="22"/>
          <w:szCs w:val="22"/>
          <w:vertAlign w:val="subscript"/>
        </w:rPr>
        <w:t>f∈Bk</w:t>
      </w:r>
      <w:r>
        <w:rPr>
          <w:sz w:val="22"/>
          <w:szCs w:val="22"/>
        </w:rPr>
        <w:t xml:space="preserve"> </w:t>
      </w:r>
      <w:r>
        <w:rPr>
          <w:i/>
          <w:iCs/>
          <w:sz w:val="22"/>
          <w:szCs w:val="22"/>
        </w:rPr>
        <w:t>S</w:t>
      </w:r>
      <w:r>
        <w:rPr>
          <w:sz w:val="22"/>
          <w:szCs w:val="22"/>
        </w:rPr>
        <w:t>(</w:t>
      </w:r>
      <w:r>
        <w:rPr>
          <w:i/>
          <w:iCs/>
          <w:sz w:val="22"/>
          <w:szCs w:val="22"/>
        </w:rPr>
        <w:t>f</w:t>
      </w:r>
      <w:r>
        <w:rPr>
          <w:sz w:val="22"/>
          <w:szCs w:val="22"/>
        </w:rPr>
        <w:t>) / Σ</w:t>
      </w:r>
      <w:r>
        <w:rPr>
          <w:i/>
          <w:iCs/>
          <w:sz w:val="22"/>
          <w:szCs w:val="22"/>
          <w:vertAlign w:val="subscript"/>
        </w:rPr>
        <w:t>f∈B</w:t>
      </w:r>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0D6B145" w14:textId="77777777" w:rsidR="00205B91" w:rsidRDefault="00000000">
      <w:pPr>
        <w:keepNext/>
        <w:spacing w:before="40" w:after="0" w:line="360" w:lineRule="auto"/>
        <w:rPr>
          <w:sz w:val="22"/>
          <w:szCs w:val="22"/>
        </w:rPr>
      </w:pPr>
      <w:r>
        <w:rPr>
          <w:b/>
          <w:bCs/>
          <w:sz w:val="22"/>
          <w:szCs w:val="22"/>
        </w:rPr>
        <w:t>3.2 Detection Rule (Hypothesis)</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r>
        <w:rPr>
          <w:i/>
          <w:iCs/>
          <w:sz w:val="22"/>
          <w:szCs w:val="22"/>
        </w:rPr>
        <w:t>μ</w:t>
      </w:r>
      <w:r>
        <w:rPr>
          <w:i/>
          <w:iCs/>
          <w:sz w:val="22"/>
          <w:szCs w:val="22"/>
          <w:vertAlign w:val="subscript"/>
        </w:rPr>
        <w:t>h</w:t>
      </w:r>
      <w:r>
        <w:rPr>
          <w:sz w:val="22"/>
          <w:szCs w:val="22"/>
        </w:rPr>
        <w:t xml:space="preserve">) / </w:t>
      </w:r>
      <w:r>
        <w:rPr>
          <w:i/>
          <w:iCs/>
          <w:sz w:val="22"/>
          <w:szCs w:val="22"/>
        </w:rPr>
        <w:t>σ</w:t>
      </w:r>
      <w:r>
        <w:rPr>
          <w:i/>
          <w:iCs/>
          <w:sz w:val="22"/>
          <w:szCs w:val="22"/>
          <w:vertAlign w:val="subscript"/>
        </w:rPr>
        <w:t>h</w:t>
      </w:r>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The hub compares each feature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deviation </w:t>
      </w:r>
      <w:r>
        <w:rPr>
          <w:i/>
          <w:iCs/>
          <w:sz w:val="22"/>
          <w:szCs w:val="22"/>
        </w:rPr>
        <w:t>σ</w:t>
      </w:r>
      <w:r>
        <w:rPr>
          <w:i/>
          <w:iCs/>
          <w:sz w:val="22"/>
          <w:szCs w:val="22"/>
          <w:vertAlign w:val="subscript"/>
        </w:rPr>
        <w:t>h</w:t>
      </w:r>
      <w:r>
        <w:rPr>
          <w:sz w:val="22"/>
          <w:szCs w:val="22"/>
        </w:rPr>
        <w:t xml:space="preserve"> at the same hour over the previous 7 days, excluding the current sample; </w:t>
      </w:r>
      <w:r>
        <w:rPr>
          <w:i/>
          <w:iCs/>
          <w:sz w:val="22"/>
          <w:szCs w:val="22"/>
        </w:rPr>
        <w:t>σ</w:t>
      </w:r>
      <w:r>
        <w:rPr>
          <w:i/>
          <w:iCs/>
          <w:sz w:val="22"/>
          <w:szCs w:val="22"/>
          <w:vertAlign w:val="subscript"/>
        </w:rPr>
        <w:t>h</w:t>
      </w:r>
      <w:r>
        <w:rPr>
          <w:sz w:val="22"/>
          <w:szCs w:val="22"/>
        </w:rPr>
        <w:t xml:space="preserve"> has a floor set by the noise level, and no alerts are issued in the first week or for hours with fewer than four valid samples. The hypothesis, inspired by [2] and not a validated implementation of [2] or [3], is that a sustained increase of the 100–300 Hz band energy together with in-hive temperature indicates preparation: a </w:t>
      </w:r>
      <w:r>
        <w:rPr>
          <w:i/>
          <w:iCs/>
          <w:sz w:val="22"/>
          <w:szCs w:val="22"/>
        </w:rPr>
        <w:t>pre-swarm alert</w:t>
      </w:r>
      <w:r>
        <w:rPr>
          <w:sz w:val="22"/>
          <w:szCs w:val="22"/>
        </w:rPr>
        <w:t xml:space="preserve"> is raised when </w:t>
      </w:r>
      <w:r>
        <w:rPr>
          <w:i/>
          <w:iCs/>
          <w:sz w:val="22"/>
          <w:szCs w:val="22"/>
        </w:rPr>
        <w:t>z</w:t>
      </w:r>
      <w:r>
        <w:rPr>
          <w:sz w:val="22"/>
          <w:szCs w:val="22"/>
        </w:rPr>
        <w:t xml:space="preserve"> &gt; 3 for both in three consecutive scheduled reports. Outside temperature and logged management are recorded as confounders, and a fixed pre-season baseline is also tested, since an adaptive one may absorb a gradual precursor. Alerts are grouped into episodes that end after 24 h without a new alert. A separate </w:t>
      </w:r>
      <w:r>
        <w:rPr>
          <w:i/>
          <w:iCs/>
          <w:sz w:val="22"/>
          <w:szCs w:val="22"/>
        </w:rPr>
        <w:t>departure detector</w:t>
      </w:r>
      <w:r>
        <w:rPr>
          <w:sz w:val="22"/>
          <w:szCs w:val="22"/>
        </w:rPr>
        <w:t xml:space="preserve"> flags Δ</w:t>
      </w:r>
      <w:r>
        <w:rPr>
          <w:i/>
          <w:iCs/>
          <w:sz w:val="22"/>
          <w:szCs w:val="22"/>
        </w:rPr>
        <w:t>W</w:t>
      </w:r>
      <w:r>
        <w:rPr>
          <w:sz w:val="22"/>
          <w:szCs w:val="22"/>
        </w:rPr>
        <w:t xml:space="preserve"> &lt; −0.8 kg within </w:t>
      </w:r>
      <w:r>
        <w:rPr>
          <w:i/>
          <w:iCs/>
          <w:sz w:val="22"/>
          <w:szCs w:val="22"/>
        </w:rPr>
        <w:t>τ</w:t>
      </w:r>
      <w:r>
        <w:rPr>
          <w:sz w:val="22"/>
          <w:szCs w:val="22"/>
        </w:rPr>
        <w:t xml:space="preserve"> = 30 min together with a vibration burst; it is evaluated on its own and never used as ground truth.</w:t>
      </w:r>
    </w:p>
    <w:p w14:paraId="50251DA0" w14:textId="77777777" w:rsidR="00205B91" w:rsidRDefault="00000000">
      <w:pPr>
        <w:keepNext/>
        <w:spacing w:before="40" w:after="0" w:line="360" w:lineRule="auto"/>
        <w:rPr>
          <w:sz w:val="22"/>
          <w:szCs w:val="22"/>
        </w:rPr>
      </w:pPr>
      <w:r>
        <w:rPr>
          <w:b/>
          <w:bCs/>
          <w:sz w:val="22"/>
          <w:szCs w:val="22"/>
        </w:rPr>
        <w:t>3.3 Feasibility</w:t>
      </w:r>
    </w:p>
    <w:p w14:paraId="3AEE70E5" w14:textId="77777777" w:rsidR="00205B91" w:rsidRDefault="00000000">
      <w:pPr>
        <w:spacing w:after="20" w:line="360" w:lineRule="auto"/>
        <w:jc w:val="both"/>
        <w:rPr>
          <w:sz w:val="22"/>
          <w:szCs w:val="22"/>
        </w:rPr>
      </w:pPr>
      <w:r>
        <w:rPr>
          <w:i/>
          <w:iCs/>
          <w:sz w:val="22"/>
          <w:szCs w:val="22"/>
        </w:rPr>
        <w:t>Sensitivity (not yet established):</w:t>
      </w:r>
      <w:r>
        <w:rPr>
          <w:sz w:val="22"/>
          <w:szCs w:val="22"/>
        </w:rPr>
        <w:t xml:space="preserve"> comb vibration at night is only 1–5 µm/s² per bin with calibrated accelerometers and ten times weaker on the hive wall [8]. A piezo disc responds through its mounting, loading and input impedance, so the chain is characterized on the bench (controlled excitation, noise, saturation, transfer response, remount repeatability) and on a real hive at night in Stage 2, the go/no-go gate; the microphone, as used in [2], is the second channel and an external audio ADC the fallback. </w:t>
      </w:r>
      <w:r>
        <w:rPr>
          <w:i/>
          <w:iCs/>
          <w:sz w:val="22"/>
          <w:szCs w:val="22"/>
        </w:rPr>
        <w:lastRenderedPageBreak/>
        <w:t>Link:</w:t>
      </w:r>
      <w:r>
        <w:rPr>
          <w:sz w:val="22"/>
          <w:szCs w:val="22"/>
        </w:rPr>
        <w:t xml:space="preserve"> each report (hive ID, timestamp, sequence number, firmware version, quality flags, features) is one ESP-NOW frame; the send callback confirms only MAC-level delivery [9], so the hub returns an application acknowledgement and the node retries up to three times. The hub buffers data during cellular outages and marks stale hives on the dashboard. </w:t>
      </w:r>
      <w:r>
        <w:rPr>
          <w:i/>
          <w:iCs/>
          <w:sz w:val="22"/>
          <w:szCs w:val="22"/>
        </w:rPr>
        <w:t>Weighing:</w:t>
      </w:r>
      <w:r>
        <w:rPr>
          <w:sz w:val="22"/>
          <w:szCs w:val="22"/>
        </w:rPr>
        <w:t xml:space="preserve"> HX711 noise (≈3 g [10]) is only one contributor; load-cell tolerance, creep, temperature, corner loading, platform stiffness and settling dominate. Detecting a ≥ 0.8 kg drop needs a stable 30-min change, so the ±20 g target applies to change; absolute accuracy is reported. </w:t>
      </w:r>
      <w:r>
        <w:rPr>
          <w:i/>
          <w:iCs/>
          <w:sz w:val="22"/>
          <w:szCs w:val="22"/>
        </w:rPr>
        <w:t>Node power:</w:t>
      </w:r>
      <w:r>
        <w:rPr>
          <w:sz w:val="22"/>
          <w:szCs w:val="22"/>
        </w:rPr>
        <w:t xml:space="preserve"> with </w:t>
      </w:r>
      <w:r>
        <w:rPr>
          <w:i/>
          <w:iCs/>
          <w:sz w:val="22"/>
          <w:szCs w:val="22"/>
        </w:rPr>
        <w:t>A</w:t>
      </w:r>
      <w:r>
        <w:rPr>
          <w:sz w:val="22"/>
          <w:szCs w:val="22"/>
        </w:rPr>
        <w:t xml:space="preserve"> acquisitions per day,</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 Q</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where </w:t>
      </w:r>
      <w:r>
        <w:rPr>
          <w:i/>
          <w:iCs/>
          <w:sz w:val="22"/>
          <w:szCs w:val="22"/>
        </w:rPr>
        <w:t>Q</w:t>
      </w:r>
      <w:r>
        <w:rPr>
          <w:sz w:val="22"/>
          <w:szCs w:val="22"/>
        </w:rPr>
        <w:t xml:space="preserve"> ≈ 0.3 A·s per acquisition (datasheet estimate, mostly the processor during recording [11]) and </w:t>
      </w:r>
      <w:r>
        <w:rPr>
          <w:i/>
          <w:iCs/>
          <w:sz w:val="22"/>
          <w:szCs w:val="22"/>
        </w:rPr>
        <w:t>I</w:t>
      </w:r>
      <w:r>
        <w:rPr>
          <w:i/>
          <w:iCs/>
          <w:sz w:val="22"/>
          <w:szCs w:val="22"/>
          <w:vertAlign w:val="subscript"/>
        </w:rPr>
        <w:t>0</w:t>
      </w:r>
      <w:r>
        <w:rPr>
          <w:sz w:val="22"/>
          <w:szCs w:val="22"/>
        </w:rPr>
        <w:t xml:space="preserve"> ≈ 22 µA always-on (wake circuit, chip sleep, LDO, leakage). With </w:t>
      </w:r>
      <w:r>
        <w:rPr>
          <w:i/>
          <w:iCs/>
          <w:sz w:val="22"/>
          <w:szCs w:val="22"/>
        </w:rPr>
        <w:t>A</w:t>
      </w:r>
      <w:r>
        <w:rPr>
          <w:sz w:val="22"/>
          <w:szCs w:val="22"/>
        </w:rPr>
        <w:t xml:space="preserve"> = 96, </w:t>
      </w:r>
      <w:r>
        <w:rPr>
          <w:i/>
          <w:iCs/>
          <w:sz w:val="22"/>
          <w:szCs w:val="22"/>
        </w:rPr>
        <w:t>Ī</w:t>
      </w:r>
      <w:r>
        <w:rPr>
          <w:sz w:val="22"/>
          <w:szCs w:val="22"/>
        </w:rPr>
        <w:t xml:space="preserve"> ≈ 0.36 mA, and 2400 mAh usable (</w:t>
      </w:r>
      <w:r>
        <w:rPr>
          <w:i/>
          <w:iCs/>
          <w:sz w:val="22"/>
          <w:szCs w:val="22"/>
        </w:rPr>
        <w:t>η</w:t>
      </w:r>
      <w:r>
        <w:rPr>
          <w:sz w:val="22"/>
          <w:szCs w:val="22"/>
        </w:rPr>
        <w:t xml:space="preserve"> = 0.8 of 3000 mAh) lasts ≈280 days; six months with a 20% margin holds up to ≈30 event wakes per day. </w:t>
      </w:r>
      <w:r>
        <w:rPr>
          <w:i/>
          <w:iCs/>
          <w:sz w:val="22"/>
          <w:szCs w:val="22"/>
        </w:rPr>
        <w:t>Q</w:t>
      </w:r>
      <w:r>
        <w:rPr>
          <w:sz w:val="22"/>
          <w:szCs w:val="22"/>
        </w:rPr>
        <w:t xml:space="preserve"> and </w:t>
      </w:r>
      <w:r>
        <w:rPr>
          <w:i/>
          <w:iCs/>
          <w:sz w:val="22"/>
          <w:szCs w:val="22"/>
        </w:rPr>
        <w:t>I</w:t>
      </w:r>
      <w:r>
        <w:rPr>
          <w:i/>
          <w:iCs/>
          <w:sz w:val="22"/>
          <w:szCs w:val="22"/>
          <w:vertAlign w:val="subscript"/>
        </w:rPr>
        <w:t>0</w:t>
      </w:r>
      <w:r>
        <w:rPr>
          <w:sz w:val="22"/>
          <w:szCs w:val="22"/>
        </w:rPr>
        <w:t xml:space="preserve"> are then measured over complete cycles, including regulator losses, LEDs and retries. </w:t>
      </w:r>
      <w:r>
        <w:rPr>
          <w:i/>
          <w:iCs/>
          <w:sz w:val="22"/>
          <w:szCs w:val="22"/>
        </w:rPr>
        <w:t>Hub:</w:t>
      </w:r>
      <w:r>
        <w:rPr>
          <w:sz w:val="22"/>
          <w:szCs w:val="22"/>
        </w:rPr>
        <w:t xml:space="preserve"> ≈0.5 W (≈12 Wh/day) against ≈45 Wh/day from the panel, assuming 5 peak-sun hours and 60% conversion; three 18650 cells give about two days without sun, checked by logging the hub battery. Per hive (10 per hub) BeeSense draws ≈50 mW vs. ≈4.2 W in [6], mainly due to intermittent rather than continuous acquisition.</w:t>
      </w:r>
    </w:p>
    <w:p w14:paraId="1970EECA" w14:textId="77777777" w:rsidR="00205B91" w:rsidRDefault="00000000">
      <w:pPr>
        <w:keepNext/>
        <w:spacing w:before="40" w:after="0" w:line="360" w:lineRule="auto"/>
        <w:rPr>
          <w:sz w:val="22"/>
          <w:szCs w:val="22"/>
        </w:rPr>
      </w:pPr>
      <w:r>
        <w:rPr>
          <w:b/>
          <w:bCs/>
          <w:sz w:val="22"/>
          <w:szCs w:val="22"/>
        </w:rPr>
        <w:t>3.4 Evaluation Plan</w:t>
      </w:r>
    </w:p>
    <w:p w14:paraId="1C857574" w14:textId="77777777" w:rsidR="00205B91" w:rsidRDefault="00000000">
      <w:pPr>
        <w:spacing w:after="20" w:line="360" w:lineRule="auto"/>
        <w:jc w:val="both"/>
        <w:rPr>
          <w:sz w:val="22"/>
          <w:szCs w:val="22"/>
        </w:rPr>
      </w:pPr>
      <w:r>
        <w:rPr>
          <w:i/>
          <w:iCs/>
          <w:sz w:val="22"/>
          <w:szCs w:val="22"/>
        </w:rPr>
        <w:t>Stages:</w:t>
      </w:r>
      <w:r>
        <w:rPr>
          <w:sz w:val="22"/>
          <w:szCs w:val="22"/>
        </w:rPr>
        <w:t xml:space="preserve"> bench characterization; a short real-hive pilot to fix mounting, features, thresholds and logging; then the system is frozen and prospective data are collected on 3–5 hives at Zippory Honey through spring. </w:t>
      </w:r>
      <w:r>
        <w:rPr>
          <w:i/>
          <w:iCs/>
          <w:sz w:val="22"/>
          <w:szCs w:val="22"/>
        </w:rPr>
        <w:t>Labels:</w:t>
      </w:r>
      <w:r>
        <w:rPr>
          <w:sz w:val="22"/>
          <w:szCs w:val="22"/>
        </w:rPr>
        <w:t xml:space="preserve"> a field log records hive, inspection times, queen cells, observed departures, interventions, feeding and equipment changes, with uncertainty. Preparation (queen cells) and departure are separate labels; a departure is confirmed only by entrance video or documented observation, with an interval when the time is inexact. Colonies where the beekeeper prevents swarming are reported as </w:t>
      </w:r>
      <w:r>
        <w:rPr>
          <w:i/>
          <w:iCs/>
          <w:sz w:val="22"/>
          <w:szCs w:val="22"/>
        </w:rPr>
        <w:t>intervened</w:t>
      </w:r>
      <w:r>
        <w:rPr>
          <w:sz w:val="22"/>
          <w:szCs w:val="22"/>
        </w:rPr>
        <w:t xml:space="preserve">, not as false alarms. Controlled mass removal validates the weight-step response only. </w:t>
      </w:r>
      <w:r>
        <w:rPr>
          <w:i/>
          <w:iCs/>
          <w:sz w:val="22"/>
          <w:szCs w:val="22"/>
        </w:rPr>
        <w:t>Matching:</w:t>
      </w:r>
      <w:r>
        <w:rPr>
          <w:sz w:val="22"/>
          <w:szCs w:val="22"/>
        </w:rPr>
        <w:t xml:space="preserve"> the warning window (minimum actionable lead time to maximum horizon, e.g., 30 min–48 h) is agreed with the beekeeper and frozen before final testing. An episode inside the window of a confirmed departure is a TP, an unmatched eligible episode an FP, and an eligible departure without a valid warning an FN, matched one-to-one; precision </w:t>
      </w:r>
      <w:r>
        <w:rPr>
          <w:i/>
          <w:iCs/>
          <w:sz w:val="22"/>
          <w:szCs w:val="22"/>
        </w:rPr>
        <w:t>P</w:t>
      </w:r>
      <w:r>
        <w:rPr>
          <w:sz w:val="22"/>
          <w:szCs w:val="22"/>
        </w:rPr>
        <w:t xml:space="preserve"> = TP/(TP+FP) and recall </w:t>
      </w:r>
      <w:r>
        <w:rPr>
          <w:i/>
          <w:iCs/>
          <w:sz w:val="22"/>
          <w:szCs w:val="22"/>
        </w:rPr>
        <w:t>R</w:t>
      </w:r>
      <w:r>
        <w:rPr>
          <w:sz w:val="22"/>
          <w:szCs w:val="22"/>
        </w:rPr>
        <w:t xml:space="preserve"> = TP/(TP+FN). Outages and periods without reliable labels are not eligible, and total coverage is reported. </w:t>
      </w:r>
      <w:r>
        <w:rPr>
          <w:i/>
          <w:iCs/>
          <w:sz w:val="22"/>
          <w:szCs w:val="22"/>
        </w:rPr>
        <w:t>Evidence:</w:t>
      </w:r>
      <w:r>
        <w:rPr>
          <w:sz w:val="22"/>
          <w:szCs w:val="22"/>
        </w:rPr>
        <w:t xml:space="preserve"> results list hives, confirmed events, episodes and hive-days. With few events uncertainty is large: detecting 5 of 5 departures gives a one-sided 95% lower bound on recall of ≈55%, so the study may conclude that too few events occurred. </w:t>
      </w:r>
      <w:r>
        <w:rPr>
          <w:i/>
          <w:iCs/>
          <w:sz w:val="22"/>
          <w:szCs w:val="22"/>
        </w:rPr>
        <w:t>Baselines:</w:t>
      </w:r>
      <w:r>
        <w:rPr>
          <w:sz w:val="22"/>
          <w:szCs w:val="22"/>
        </w:rPr>
        <w:t xml:space="preserve"> weight-only, vibration/audio-only and fused rules, and scheduled-only vs. scheduled + event acquisition, on the same events; later periods of the same hives are reported separately from held-out hives.</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Meitalovs, and E. Stalidzans, "Challenges in the development of precision beekeeping," </w:t>
      </w:r>
      <w:r>
        <w:rPr>
          <w:i/>
          <w:iCs/>
          <w:sz w:val="20"/>
          <w:szCs w:val="20"/>
        </w:rPr>
        <w:t>Biosyst. Eng.</w:t>
      </w:r>
      <w:r>
        <w:rPr>
          <w:sz w:val="20"/>
          <w:szCs w:val="20"/>
        </w:rPr>
        <w:t>, vol. 130, pp. 60–71, Feb. 2015, doi: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r>
        <w:rPr>
          <w:i/>
          <w:iCs/>
          <w:sz w:val="20"/>
          <w:szCs w:val="20"/>
        </w:rPr>
        <w:t>Comput. Electron. Agric.</w:t>
      </w:r>
      <w:r>
        <w:rPr>
          <w:sz w:val="20"/>
          <w:szCs w:val="20"/>
        </w:rPr>
        <w:t>, vol. 64, no. 1, pp. 72–77, 2008, doi: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Crauser, N. Simon Delso, and Y. Le Conte, "The prediction of swarming in honeybee colonies using vibrational spectra," </w:t>
      </w:r>
      <w:r>
        <w:rPr>
          <w:i/>
          <w:iCs/>
          <w:sz w:val="20"/>
          <w:szCs w:val="20"/>
        </w:rPr>
        <w:t>Sci. Rep.</w:t>
      </w:r>
      <w:r>
        <w:rPr>
          <w:sz w:val="20"/>
          <w:szCs w:val="20"/>
        </w:rPr>
        <w:t>, vol. 10, Art. no. 9798, Jun. 2020, doi: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r>
        <w:rPr>
          <w:i/>
          <w:iCs/>
          <w:sz w:val="20"/>
          <w:szCs w:val="20"/>
        </w:rPr>
        <w:t>Apidologie</w:t>
      </w:r>
      <w:r>
        <w:rPr>
          <w:sz w:val="20"/>
          <w:szCs w:val="20"/>
        </w:rPr>
        <w:t>, vol. 46, no. 1, pp. 10–22, 2015, doi: 10.1007/s13592-014-0298-x.</w:t>
      </w:r>
    </w:p>
    <w:p w14:paraId="675B55F7"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K. Iqbal, B. Alabdullah, N. Al Mudawi, A. Algarni, A. Jalal, and J. Park, "Empirical analysis of honeybees acoustics as biosensors signals for swarm prediction in beehives," </w:t>
      </w:r>
      <w:r>
        <w:rPr>
          <w:i/>
          <w:iCs/>
          <w:sz w:val="20"/>
          <w:szCs w:val="20"/>
        </w:rPr>
        <w:t>IEEE Access</w:t>
      </w:r>
      <w:r>
        <w:rPr>
          <w:sz w:val="20"/>
          <w:szCs w:val="20"/>
        </w:rPr>
        <w:t>, vol. 12, pp. 148405–148421, 2024, doi: 10.1109/ACCESS.2024.3471895.</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Spinsante, A. Terenzi, and S. Orcioni, "A smart sensor-based measurement system for advanced bee hive monitoring," </w:t>
      </w:r>
      <w:r>
        <w:rPr>
          <w:i/>
          <w:iCs/>
          <w:sz w:val="20"/>
          <w:szCs w:val="20"/>
        </w:rPr>
        <w:t>Sensors</w:t>
      </w:r>
      <w:r>
        <w:rPr>
          <w:sz w:val="20"/>
          <w:szCs w:val="20"/>
        </w:rPr>
        <w:t>, vol. 20, no. 9, Art. no. 2726, May 2020, doi: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BeeHero,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t xml:space="preserve">M. Bencsik, Y. Le Conte, M. Reyes, M. Pioz, D. Whittaker, D. Crauser, N. Simon Delso, and M. I. Newton, "Honeybee colony vibrational measurements to highlight the brood cycle," </w:t>
      </w:r>
      <w:r>
        <w:rPr>
          <w:i/>
          <w:iCs/>
          <w:sz w:val="20"/>
          <w:szCs w:val="20"/>
        </w:rPr>
        <w:t>PLoS ONE</w:t>
      </w:r>
      <w:r>
        <w:rPr>
          <w:sz w:val="20"/>
          <w:szCs w:val="20"/>
        </w:rPr>
        <w:t>, vol. 10, no. 11, Art. no. e0141926, Nov. 2015, doi: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Espressif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Espressif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שם המנחה: ד"ר דן וילנצ'יק</w:t>
      </w:r>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שם המנחה: ד"ר דן וילנצ'יק</w:t>
      </w:r>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4B46" w14:textId="77777777" w:rsidR="00D66CAD" w:rsidRDefault="00D66CAD">
      <w:pPr>
        <w:spacing w:after="0" w:line="240" w:lineRule="auto"/>
      </w:pPr>
      <w:r>
        <w:separator/>
      </w:r>
    </w:p>
  </w:endnote>
  <w:endnote w:type="continuationSeparator" w:id="0">
    <w:p w14:paraId="17032A5D" w14:textId="77777777" w:rsidR="00D66CAD" w:rsidRDefault="00D66C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C5F88" w14:textId="77777777" w:rsidR="00D66CAD" w:rsidRDefault="00D66CAD">
      <w:pPr>
        <w:spacing w:after="0" w:line="240" w:lineRule="auto"/>
      </w:pPr>
      <w:r>
        <w:separator/>
      </w:r>
    </w:p>
  </w:footnote>
  <w:footnote w:type="continuationSeparator" w:id="0">
    <w:p w14:paraId="56D033DE" w14:textId="77777777" w:rsidR="00D66CAD" w:rsidRDefault="00D66C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16ECC"/>
    <w:rsid w:val="00133659"/>
    <w:rsid w:val="00205B91"/>
    <w:rsid w:val="00290C23"/>
    <w:rsid w:val="002A3F32"/>
    <w:rsid w:val="00422D47"/>
    <w:rsid w:val="004519C5"/>
    <w:rsid w:val="00473B67"/>
    <w:rsid w:val="004C7736"/>
    <w:rsid w:val="005B7A73"/>
    <w:rsid w:val="005F7A00"/>
    <w:rsid w:val="0062146F"/>
    <w:rsid w:val="0090386A"/>
    <w:rsid w:val="00916EF0"/>
    <w:rsid w:val="009C5498"/>
    <w:rsid w:val="00A26ABE"/>
    <w:rsid w:val="00A858E1"/>
    <w:rsid w:val="00B22186"/>
    <w:rsid w:val="00BA0943"/>
    <w:rsid w:val="00C12162"/>
    <w:rsid w:val="00D66CAD"/>
    <w:rsid w:val="00D854ED"/>
    <w:rsid w:val="00DF1C35"/>
    <w:rsid w:val="00E40CCB"/>
    <w:rsid w:val="00F06063"/>
    <w:rsid w:val="00F21434"/>
    <w:rsid w:val="00F26F98"/>
    <w:rsid w:val="00F8529F"/>
    <w:rsid w:val="00FC6DC7"/>
    <w:rsid w:val="00FD64AF"/>
    <w:rsid w:val="00FD681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9</Pages>
  <Words>3253</Words>
  <Characters>16265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12</cp:revision>
  <dcterms:created xsi:type="dcterms:W3CDTF">2025-11-14T10:10:00Z</dcterms:created>
  <dcterms:modified xsi:type="dcterms:W3CDTF">2026-10-31T19:23:00Z</dcterms:modified>
</cp:coreProperties>
</file>