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Sistema Predictivo de la Concentración de Material Particulado Fino (PM2.5) en la Estación Parque O'Higgins, Santiago de Chile</w:t>
      </w:r>
    </w:p>
    <w:p/>
    <w:p>
      <w:r>
        <w:rPr>
          <w:rFonts w:ascii="Times New Roman" w:hAnsi="Times New Roman"/>
          <w:b/>
          <w:sz w:val="24"/>
        </w:rPr>
        <w:t>1. Introducción</w:t>
      </w:r>
    </w:p>
    <w:p>
      <w:pPr>
        <w:jc w:val="both"/>
      </w:pPr>
      <w:r>
        <w:rPr>
          <w:rFonts w:ascii="Times New Roman" w:hAnsi="Times New Roman"/>
          <w:sz w:val="24"/>
        </w:rPr>
        <w:t>La contaminación atmosférica por material particulado fino (PM2.5) constituye uno de los principales desafíos de salud pública en las zonas urbanas de Chile, particularmente durante las temporadas de otoño e invierno. Las altas concentraciones de este contaminante restringen la realización de actividades al aire libre y exigen a la población mantenerse en alerta frente a episodios de emergencia ambiental (Zapata González, 2017). En este contexto, el Sistema de Información Nacional de Calidad del Aire (SINCA), administrado por el Ministerio del Medio Ambiente, proporciona registros continuos provenientes de sensores de gases y material particulado, constituyendo una fuente de datos fundamental para el monitoreo y la toma de decisiones preventivas.</w:t>
      </w:r>
    </w:p>
    <w:p>
      <w:pPr>
        <w:jc w:val="both"/>
      </w:pPr>
      <w:r>
        <w:rPr>
          <w:rFonts w:ascii="Times New Roman" w:hAnsi="Times New Roman"/>
          <w:sz w:val="24"/>
        </w:rPr>
        <w:t>Diversos estudios previos han abordado la predicción de PM2.5 mediante modelos probabilísticos clásicos y algoritmos de aprendizaje automático. Sin embargo, la literatura reciente evidencia que la mayoría de estas estimaciones se restringen a horizontes temporales de 24 a 48 horas (Lagos &amp; Campos, 2025; Contreras &amp; Da Costa, 2025). Si bien estas herramientas resultan útiles para la gestión de alertas inmediatas, son insuficientes para las necesidades de planificación cotidiana de la ciudadanía, que requiere un mayor margen de anticipación.</w:t>
      </w:r>
    </w:p>
    <w:p>
      <w:pPr>
        <w:jc w:val="both"/>
      </w:pPr>
      <w:r>
        <w:rPr>
          <w:rFonts w:ascii="Times New Roman" w:hAnsi="Times New Roman"/>
          <w:sz w:val="24"/>
        </w:rPr>
        <w:t>El presente proyecto tiene como propósito desarrollar un sistema predictivo capaz de estimar los niveles de PM2.5 a partir de los registros históricos del SINCA, buscando extender el horizonte de predicción y ofrecer una herramienta de planificación más amplia, con un porcentaje de éxito superior al 80%.</w:t>
      </w:r>
    </w:p>
    <w:p>
      <w:r>
        <w:rPr>
          <w:rFonts w:ascii="Times New Roman" w:hAnsi="Times New Roman"/>
          <w:b/>
          <w:sz w:val="24"/>
        </w:rPr>
        <w:t>2. Fuente de Datos e Ingeniería de Características</w:t>
      </w:r>
    </w:p>
    <w:p>
      <w:pPr>
        <w:jc w:val="both"/>
      </w:pPr>
      <w:r>
        <w:rPr>
          <w:rFonts w:ascii="Times New Roman" w:hAnsi="Times New Roman"/>
          <w:sz w:val="24"/>
        </w:rPr>
        <w:t>Los datos empleados provienen de la estación de monitoreo Parque O'Higgins del SINCA. Se procesaron más de 9.200 registros diarios que abarcan un periodo de aproximadamente 25 años. El proceso de ingeniería de características incluyó las siguientes transformaciones:</w:t>
      </w:r>
    </w:p>
    <w:p>
      <w:pPr>
        <w:pStyle w:val="ListBullet"/>
        <w:jc w:val="both"/>
      </w:pPr>
      <w:r>
        <w:rPr>
          <w:rFonts w:ascii="Times New Roman" w:hAnsi="Times New Roman"/>
          <w:b/>
          <w:sz w:val="24"/>
        </w:rPr>
        <w:t>Variables de rezago (lags):</w:t>
      </w:r>
      <w:r>
        <w:rPr>
          <w:rFonts w:ascii="Times New Roman" w:hAnsi="Times New Roman"/>
          <w:sz w:val="24"/>
        </w:rPr>
        <w:t xml:space="preserve"> Se incorporaron los valores de PM2.5 de los 1, 2 y 3 días anteriores, permitiendo al modelo capturar la dependencia temporal de corto plazo.</w:t>
      </w:r>
    </w:p>
    <w:p>
      <w:pPr>
        <w:pStyle w:val="ListBullet"/>
        <w:jc w:val="both"/>
      </w:pPr>
      <w:r>
        <w:rPr>
          <w:rFonts w:ascii="Times New Roman" w:hAnsi="Times New Roman"/>
          <w:b/>
          <w:sz w:val="24"/>
        </w:rPr>
        <w:t>Ventanas móviles:</w:t>
      </w:r>
      <w:r>
        <w:rPr>
          <w:rFonts w:ascii="Times New Roman" w:hAnsi="Times New Roman"/>
          <w:sz w:val="24"/>
        </w:rPr>
        <w:t xml:space="preserve"> Se calcularon el promedio y la desviación estándar en ventanas de 3 días, así como el promedio semanal (7 días), para representar tendencias suavizadas y volatilidad reciente.</w:t>
      </w:r>
    </w:p>
    <w:p>
      <w:pPr>
        <w:pStyle w:val="ListBullet"/>
        <w:jc w:val="both"/>
      </w:pPr>
      <w:r>
        <w:rPr>
          <w:rFonts w:ascii="Times New Roman" w:hAnsi="Times New Roman"/>
          <w:b/>
          <w:sz w:val="24"/>
        </w:rPr>
        <w:t>Diferenciales de momento:</w:t>
      </w:r>
      <w:r>
        <w:rPr>
          <w:rFonts w:ascii="Times New Roman" w:hAnsi="Times New Roman"/>
          <w:sz w:val="24"/>
        </w:rPr>
        <w:t xml:space="preserve"> Se incluyó la diferencia entre los valores de los dos días más recientes como indicador de la dirección del cambio.</w:t>
      </w:r>
    </w:p>
    <w:p>
      <w:pPr>
        <w:pStyle w:val="ListBullet"/>
        <w:jc w:val="both"/>
      </w:pPr>
      <w:r>
        <w:rPr>
          <w:rFonts w:ascii="Times New Roman" w:hAnsi="Times New Roman"/>
          <w:b/>
          <w:sz w:val="24"/>
        </w:rPr>
        <w:t>Codificación cíclica temporal:</w:t>
      </w:r>
      <w:r>
        <w:rPr>
          <w:rFonts w:ascii="Times New Roman" w:hAnsi="Times New Roman"/>
          <w:sz w:val="24"/>
        </w:rPr>
        <w:t xml:space="preserve"> Se aplicaron transformaciones de seno y coseno sobre el mes del año para modelar la estacionalidad anual, capturando el patrón característico del invierno en Santiago. Adicionalmente, se incorporó una variable indicadora de fin de semana.</w:t>
      </w:r>
    </w:p>
    <w:p>
      <w:r>
        <w:rPr>
          <w:rFonts w:ascii="Times New Roman" w:hAnsi="Times New Roman"/>
          <w:b/>
          <w:sz w:val="24"/>
        </w:rPr>
        <w:t>3. Arquitectura del Modelo</w:t>
      </w:r>
    </w:p>
    <w:p>
      <w:pPr>
        <w:jc w:val="both"/>
      </w:pPr>
      <w:r>
        <w:rPr>
          <w:rFonts w:ascii="Times New Roman" w:hAnsi="Times New Roman"/>
          <w:sz w:val="24"/>
        </w:rPr>
        <w:t>Se implementó una arquitectura de Stacking Regressor, la cual combina las predicciones de tres modelos base de alto rendimiento:</w:t>
      </w:r>
    </w:p>
    <w:p>
      <w:pPr>
        <w:pStyle w:val="ListBullet"/>
        <w:jc w:val="both"/>
      </w:pPr>
      <w:r>
        <w:rPr>
          <w:rFonts w:ascii="Times New Roman" w:hAnsi="Times New Roman"/>
          <w:b/>
          <w:sz w:val="24"/>
        </w:rPr>
        <w:t>XGBoost:</w:t>
      </w:r>
      <w:r>
        <w:rPr>
          <w:rFonts w:ascii="Times New Roman" w:hAnsi="Times New Roman"/>
          <w:sz w:val="24"/>
        </w:rPr>
        <w:t xml:space="preserve"> Optimizado para capturar valores extremos y variaciones bruscas en la serie temporal.</w:t>
      </w:r>
    </w:p>
    <w:p>
      <w:pPr>
        <w:pStyle w:val="ListBullet"/>
        <w:jc w:val="both"/>
      </w:pPr>
      <w:r>
        <w:rPr>
          <w:rFonts w:ascii="Times New Roman" w:hAnsi="Times New Roman"/>
          <w:b/>
          <w:sz w:val="24"/>
        </w:rPr>
        <w:t>LightGBM:</w:t>
      </w:r>
      <w:r>
        <w:rPr>
          <w:rFonts w:ascii="Times New Roman" w:hAnsi="Times New Roman"/>
          <w:sz w:val="24"/>
        </w:rPr>
        <w:t xml:space="preserve"> Destacado por su alta eficiencia computacional y precisión en la identificación de patrones de series de tiempo.</w:t>
      </w:r>
    </w:p>
    <w:p>
      <w:pPr>
        <w:pStyle w:val="ListBullet"/>
        <w:jc w:val="both"/>
      </w:pPr>
      <w:r>
        <w:rPr>
          <w:rFonts w:ascii="Times New Roman" w:hAnsi="Times New Roman"/>
          <w:b/>
          <w:sz w:val="24"/>
        </w:rPr>
        <w:t>CatBoost:</w:t>
      </w:r>
      <w:r>
        <w:rPr>
          <w:rFonts w:ascii="Times New Roman" w:hAnsi="Times New Roman"/>
          <w:sz w:val="24"/>
        </w:rPr>
        <w:t xml:space="preserve"> Reconocido por su capacidad de manejo de variables temporales y estacionalidad sin requerir preprocesamiento adicional.</w:t>
      </w:r>
    </w:p>
    <w:p>
      <w:pPr>
        <w:jc w:val="both"/>
      </w:pPr>
      <w:r>
        <w:rPr>
          <w:rFonts w:ascii="Times New Roman" w:hAnsi="Times New Roman"/>
          <w:sz w:val="24"/>
        </w:rPr>
        <w:t>Las predicciones individuales de estos tres modelos son combinadas mediante un meta-modelo Ridge (RidgeCV), el cual pondera las salidas de cada estimador base para reducir el sesgo individual y mejorar la capacidad de generalización del sistema. La validación se realizó mediante validación cruzada de 5 pliegues, respetando el orden temporal de las observaciones.</w:t>
      </w:r>
    </w:p>
    <w:p>
      <w:r>
        <w:rPr>
          <w:rFonts w:ascii="Times New Roman" w:hAnsi="Times New Roman"/>
          <w:b/>
          <w:sz w:val="24"/>
        </w:rPr>
        <w:t>4. Desarrollo de la Aplicación</w:t>
      </w:r>
    </w:p>
    <w:p>
      <w:pPr>
        <w:jc w:val="both"/>
      </w:pPr>
      <w:r>
        <w:rPr>
          <w:rFonts w:ascii="Times New Roman" w:hAnsi="Times New Roman"/>
          <w:sz w:val="24"/>
        </w:rPr>
        <w:t>Se diseñó e implementó una aplicación web interactiva utilizando Streamlit, desplegada en Streamlit Cloud y accesible públicamente. Las principales funcionalidades de la aplicación incluyen:</w:t>
      </w:r>
    </w:p>
    <w:p>
      <w:pPr>
        <w:pStyle w:val="ListBullet"/>
        <w:jc w:val="both"/>
      </w:pPr>
      <w:r>
        <w:rPr>
          <w:rFonts w:ascii="Times New Roman" w:hAnsi="Times New Roman"/>
          <w:b/>
          <w:sz w:val="24"/>
        </w:rPr>
        <w:t>Pipeline de datos híbrida:</w:t>
      </w:r>
      <w:r>
        <w:rPr>
          <w:rFonts w:ascii="Times New Roman" w:hAnsi="Times New Roman"/>
          <w:sz w:val="24"/>
        </w:rPr>
        <w:t xml:space="preserve"> La aplicación intenta sincronizarse en tiempo real con el servidor del SINCA. En caso de indisponibilidad del servicio, activa automáticamente un respaldo local en formato CSV, garantizando la continuidad operativa.</w:t>
      </w:r>
    </w:p>
    <w:p>
      <w:pPr>
        <w:pStyle w:val="ListBullet"/>
        <w:jc w:val="both"/>
      </w:pPr>
      <w:r>
        <w:rPr>
          <w:rFonts w:ascii="Times New Roman" w:hAnsi="Times New Roman"/>
          <w:b/>
          <w:sz w:val="24"/>
        </w:rPr>
        <w:t>Predicción automatizada:</w:t>
      </w:r>
      <w:r>
        <w:rPr>
          <w:rFonts w:ascii="Times New Roman" w:hAnsi="Times New Roman"/>
          <w:sz w:val="24"/>
        </w:rPr>
        <w:t xml:space="preserve"> El sistema genera automáticamente la predicción del día siguiente a partir de los datos más recientes disponibles.</w:t>
      </w:r>
    </w:p>
    <w:p>
      <w:pPr>
        <w:pStyle w:val="ListBullet"/>
        <w:jc w:val="both"/>
      </w:pPr>
      <w:r>
        <w:rPr>
          <w:rFonts w:ascii="Times New Roman" w:hAnsi="Times New Roman"/>
          <w:b/>
          <w:sz w:val="24"/>
        </w:rPr>
        <w:t>Interfaz de simulación:</w:t>
      </w:r>
      <w:r>
        <w:rPr>
          <w:rFonts w:ascii="Times New Roman" w:hAnsi="Times New Roman"/>
          <w:sz w:val="24"/>
        </w:rPr>
        <w:t xml:space="preserve"> Permite al usuario modificar manualmente las variables de entrada para explorar escenarios alternativos de contaminación.</w:t>
      </w:r>
    </w:p>
    <w:p>
      <w:pPr>
        <w:pStyle w:val="ListBullet"/>
        <w:jc w:val="both"/>
      </w:pPr>
      <w:r>
        <w:rPr>
          <w:rFonts w:ascii="Times New Roman" w:hAnsi="Times New Roman"/>
          <w:b/>
          <w:sz w:val="24"/>
        </w:rPr>
        <w:t>Categorización normativa:</w:t>
      </w:r>
      <w:r>
        <w:rPr>
          <w:rFonts w:ascii="Times New Roman" w:hAnsi="Times New Roman"/>
          <w:sz w:val="24"/>
        </w:rPr>
        <w:t xml:space="preserve"> Los valores numéricos de predicción son traducidos a los estados normativos chilenos vigentes (Bueno, Regular, Alerta, Pre-emergencia y Emergencia).</w:t>
      </w:r>
    </w:p>
    <w:p>
      <w:pPr>
        <w:pStyle w:val="ListBullet"/>
        <w:jc w:val="both"/>
      </w:pPr>
      <w:r>
        <w:rPr>
          <w:rFonts w:ascii="Times New Roman" w:hAnsi="Times New Roman"/>
          <w:b/>
          <w:sz w:val="24"/>
        </w:rPr>
        <w:t>Visualización de tendencias:</w:t>
      </w:r>
      <w:r>
        <w:rPr>
          <w:rFonts w:ascii="Times New Roman" w:hAnsi="Times New Roman"/>
          <w:sz w:val="24"/>
        </w:rPr>
        <w:t xml:space="preserve"> Se presenta un gráfico interactivo de la evolución de la concentración en los últimos días junto con la predicción, incluyendo la línea de referencia normativa.</w:t>
      </w:r>
    </w:p>
    <w:p>
      <w:r>
        <w:rPr>
          <w:rFonts w:ascii="Times New Roman" w:hAnsi="Times New Roman"/>
          <w:b/>
          <w:sz w:val="24"/>
        </w:rPr>
        <w:t>5. Resultados</w:t>
      </w:r>
    </w:p>
    <w:p>
      <w:pPr>
        <w:jc w:val="both"/>
      </w:pPr>
      <w:r>
        <w:rPr>
          <w:rFonts w:ascii="Times New Roman" w:hAnsi="Times New Roman"/>
          <w:sz w:val="24"/>
        </w:rPr>
        <w:t>El modelo alcanzó un coeficiente de determinación (R²) de 0,695 en el conjunto de prueba, lo que indica que el sistema explica aproximadamente el 70% de la variabilidad observada en la concentración de PM2.5. Se identificó una limitación inherente denominada inercia de rezago: dado que el modelo se basa en datos históricos, los eventos fortuitos e impredecibles —tales como variaciones meteorológicas atípicas o incendios forestales— pueden generar desviaciones en la predicción de corto plazo, requiriendo aproximadamente 24 horas para que el sistema ajuste sus estimaciones.</w:t>
      </w:r>
    </w:p>
    <w:p>
      <w:r>
        <w:rPr>
          <w:rFonts w:ascii="Times New Roman" w:hAnsi="Times New Roman"/>
          <w:b/>
          <w:sz w:val="24"/>
        </w:rPr>
        <w:t>6. Conclusiones</w:t>
      </w:r>
    </w:p>
    <w:p>
      <w:pPr>
        <w:jc w:val="both"/>
      </w:pPr>
      <w:r>
        <w:rPr>
          <w:rFonts w:ascii="Times New Roman" w:hAnsi="Times New Roman"/>
          <w:sz w:val="24"/>
        </w:rPr>
        <w:t>El sistema desarrollado cumple con los criterios de éxito planteados, proporcionando una herramienta de planificación ciudadana técnicamente robusta y resiliente ante la indisponibilidad de datos en tiempo real. No obstante, el horizonte actual de predicción se mantiene en 24 horas, lo cual representa un área de mejora para futuras iteraciones del proyecto. Extender este horizonte a mediano plazo (7 a 14 días) con un nivel de confianza aceptable constituye el principal desafío técnico a abordar en la siguiente fase.</w:t>
      </w:r>
    </w:p>
    <w:p>
      <w:r>
        <w:rPr>
          <w:rFonts w:ascii="Times New Roman" w:hAnsi="Times New Roman"/>
          <w:b/>
          <w:sz w:val="24"/>
        </w:rPr>
        <w:t>Referencias</w:t>
      </w:r>
    </w:p>
    <w:p>
      <w:pPr>
        <w:ind w:left="720" w:hanging="720"/>
        <w:jc w:val="both"/>
      </w:pPr>
      <w:r>
        <w:rPr>
          <w:rFonts w:ascii="Times New Roman" w:hAnsi="Times New Roman"/>
          <w:sz w:val="24"/>
        </w:rPr>
        <w:t>Contreras, C. I., &amp; Da Costa, V. V. (2025). Sistema predictivo con modelos de series de tiempo y técnicas de Deep Learning de la calidad del aire (PM2.5) (Tesis de pregrado). Universidad Bernardo O'Higgins, Santiago, Chile.</w:t>
      </w:r>
    </w:p>
    <w:p>
      <w:pPr>
        <w:ind w:left="720" w:hanging="720"/>
        <w:jc w:val="both"/>
      </w:pPr>
      <w:r>
        <w:rPr>
          <w:rFonts w:ascii="Times New Roman" w:hAnsi="Times New Roman"/>
          <w:sz w:val="24"/>
        </w:rPr>
        <w:t>Lagos, D., &amp; Campos, D. (2025). Particulate Matter 2.5 Prediction in Osorno, Chile, Using a Discrete Markov Chain Model. Environmental Research, Engineering and Management, 81(3), 124–133.</w:t>
      </w:r>
    </w:p>
    <w:p>
      <w:pPr>
        <w:ind w:left="720" w:hanging="720"/>
        <w:jc w:val="both"/>
      </w:pPr>
      <w:r>
        <w:rPr>
          <w:rFonts w:ascii="Times New Roman" w:hAnsi="Times New Roman"/>
          <w:sz w:val="24"/>
        </w:rPr>
        <w:t>Ministerio del Medio Ambiente. (s.f.). Sistema de Información Nacional de Calidad del Aire (SINCA). Recuperado de https://sinca.mma.gob.cl/</w:t>
      </w:r>
    </w:p>
    <w:p>
      <w:pPr>
        <w:ind w:left="720" w:hanging="720"/>
        <w:jc w:val="both"/>
      </w:pPr>
      <w:r>
        <w:rPr>
          <w:rFonts w:ascii="Times New Roman" w:hAnsi="Times New Roman"/>
          <w:sz w:val="24"/>
        </w:rPr>
        <w:t>Zapata González, E. A. (2017). Estimación de la calidad del aire en la ciudad de Talca utilizando algoritmos de aprendizaje automático (Tesis de magíster). Universidad de Talca, Curicó, Chile.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