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2"/>
        </w:rPr>
        <w:t>SISTEMA PREDICTIVO DE CALIDAD DEL AIRE (PM2.5)</w:t>
      </w:r>
    </w:p>
    <w:p>
      <w:pPr>
        <w:jc w:val="center"/>
      </w:pPr>
      <w:r>
        <w:rPr>
          <w:b/>
          <w:color w:val="475569"/>
          <w:sz w:val="24"/>
        </w:rPr>
        <w:t>Informe Técnico: Diagnóstico de Variables Físicas y Meteorológicas, Ingeniería de Características y Funcionamiento Integral</w:t>
      </w:r>
    </w:p>
    <w:p>
      <w:pPr>
        <w:jc w:val="center"/>
      </w:pPr>
      <w:r>
        <w:rPr>
          <w:i/>
          <w:color w:val="64748B"/>
          <w:sz w:val="20"/>
        </w:rPr>
        <w:t>Proyecto de Titulación — 8° Semestre</w:t>
        <w:br/>
        <w:t>Estación Parque O'Higgins (Santiago, Chile) | Actualizado: Septiembre 2026</w:t>
      </w:r>
    </w:p>
    <w:p/>
    <w:p>
      <w:pPr>
        <w:spacing w:before="280" w:after="80"/>
      </w:pPr>
      <w:r>
        <w:rPr>
          <w:b/>
          <w:color w:val="1E3A8A"/>
          <w:sz w:val="26"/>
        </w:rPr>
        <w:t>1. Introducción y Propósito General del Sistema</w:t>
      </w:r>
    </w:p>
    <w:p>
      <w:pPr>
        <w:jc w:val="both"/>
      </w:pPr>
      <w:r>
        <w:t>El presente sistema tiene como objetivo primordial estimar con 24 horas de anticipación la concentración diaria de Material Particulado Fino (PM2.5, en µg/m³) en la estación Parque O'Higgins (Santiago, Región Metropolitana). El PM2.5 es el contaminante atmosférico de mayor peligrosidad sanitaria en las zonas urbanas de Chile debido a su diámetro aerodinámico microscópico, capaz de ingresar directamente al torrente sanguíneo a través de los alvéolos pulmonares.</w:t>
      </w:r>
    </w:p>
    <w:p>
      <w:pPr>
        <w:jc w:val="both"/>
      </w:pPr>
      <w:r>
        <w:t>La finalidad última del proyecto es servir como motor de predicción para una aplicación móvil ciudadana que permita a las personas planificar sus actividades diarias, rutinas de ejercicio al aire libre y traslados, anticipándose a los episodios críticos de contaminación decretados por la autoridad ambiental.</w:t>
      </w:r>
    </w:p>
    <w:p>
      <w:pPr>
        <w:spacing w:before="280" w:after="80"/>
      </w:pPr>
      <w:r>
        <w:rPr>
          <w:b/>
          <w:color w:val="1E3A8A"/>
          <w:sz w:val="26"/>
        </w:rPr>
        <w:t>2. Diagnóstico de Variables Físicas: Naturaleza Univariada Actual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both"/>
            </w:pPr>
            <w:r>
              <w:rPr>
                <w:b/>
                <w:color w:val="1E3A8A"/>
              </w:rPr>
              <w:t>NOTA TÉCNICA CLAVE: Aclaración Fundamental sobre las Variables Meteorológicas y del Aire</w:t>
              <w:br/>
            </w:r>
            <w:r>
              <w:rPr>
                <w:sz w:val="21"/>
              </w:rPr>
              <w:t>En el modelo predictivo que se encuentra actualmente desplegado en producción NO se está utilizando humedad relativa, temperatura, velocidad del viento, presión atmosférica ni otros gases precursores (como CO o NO2). El modelo actual opera bajo un esquema estrictamente AUTORREGRESIVO UNIVARIADO; es decir, predice el PM2.5 futuro basándose exclusivamente en la memoria histórica del propio PM2.5 y en variables de calendario.</w:t>
            </w:r>
          </w:p>
        </w:tc>
      </w:tr>
    </w:tbl>
    <w:p/>
    <w:p>
      <w:pPr>
        <w:jc w:val="both"/>
      </w:pPr>
      <w:r>
        <w:t>A continuación se presenta el contraste explícito entre las variables físicas en uso y las variables meteorológicas ausentes en la arquitectura actual: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Dimensión / Variable</w:t>
            </w:r>
          </w:p>
        </w:tc>
        <w:tc>
          <w:tcPr>
            <w:tcW w:type="dxa" w:w="19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¿Se utiliza actualmente?</w:t>
            </w:r>
          </w:p>
        </w:tc>
        <w:tc>
          <w:tcPr>
            <w:tcW w:type="dxa" w:w="4535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Estado Técnico y Rol Ambiental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PM2.5 (Material Particulado 2.5 µg/m³)</w:t>
            </w:r>
          </w:p>
        </w:tc>
        <w:tc>
          <w:tcPr>
            <w:tcW w:type="dxa" w:w="19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66534"/>
              </w:rPr>
              <w:t>SÍ (Exclusiva)</w:t>
            </w:r>
          </w:p>
        </w:tc>
        <w:tc>
          <w:tcPr>
            <w:tcW w:type="dxa" w:w="4535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Única variable física ambiental presente. El modelo extrae sus valores de ayer, anteayer, hace 3 días, promedios móviles y volatilidad.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Humedad Relativa (%)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B91C1C"/>
              </w:rPr>
              <w:t>NO</w:t>
            </w:r>
          </w:p>
        </w:tc>
        <w:tc>
          <w:tcPr>
            <w:tcW w:type="dxa" w:w="4535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AUSENTE. Variable crítica en Santiago. La alta humedad ambiental favorece la formación de aerosoles secundarios y el crecimiento higroscópico de las partículas, densificando el smog.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Temperatura (°C) e Inversión Térmica</w:t>
            </w:r>
          </w:p>
        </w:tc>
        <w:tc>
          <w:tcPr>
            <w:tcW w:type="dxa" w:w="19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B91C1C"/>
              </w:rPr>
              <w:t>NO</w:t>
            </w:r>
          </w:p>
        </w:tc>
        <w:tc>
          <w:tcPr>
            <w:tcW w:type="dxa" w:w="4535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AUSENTE. Factor detonante de emergencias en invierno. Cuando la temperatura en superficie es menor que en altura, se genera una 'tapa de olla' térmica que confina el PM2.5 al suelo.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Velocidad y Dirección del Viento (km/h)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B91C1C"/>
              </w:rPr>
              <w:t>NO</w:t>
            </w:r>
          </w:p>
        </w:tc>
        <w:tc>
          <w:tcPr>
            <w:tcW w:type="dxa" w:w="4535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AUSENTE. Gobierna el índice de ventilación de la cuenca. Ráfagas de viento limpian la ciudad en horas, mientras que la calma ambiental acumula el contaminante.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Presión Atmosférica (hPa)</w:t>
            </w:r>
          </w:p>
        </w:tc>
        <w:tc>
          <w:tcPr>
            <w:tcW w:type="dxa" w:w="19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B91C1C"/>
              </w:rPr>
              <w:t>NO</w:t>
            </w:r>
          </w:p>
        </w:tc>
        <w:tc>
          <w:tcPr>
            <w:tcW w:type="dxa" w:w="4535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AUSENTE. Altas presiones posfrontales inhiben el movimiento vertical del aire, exacerbando la polución invernal.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Gases de Apoyo (CO, NO2, SO2, O3)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B91C1C"/>
              </w:rPr>
              <w:t>NO</w:t>
            </w:r>
          </w:p>
        </w:tc>
        <w:tc>
          <w:tcPr>
            <w:tcW w:type="dxa" w:w="4535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AUSENTE en producción. Existían en el repositorio v1.0 (Semillero) pero se descartaron en v2 para simplificar la estabilidad del pipeline hacia un MVP ligero.</w:t>
            </w:r>
          </w:p>
        </w:tc>
      </w:tr>
    </w:tbl>
    <w:p/>
    <w:p>
      <w:pPr>
        <w:spacing w:before="200" w:after="40"/>
      </w:pPr>
      <w:r>
        <w:rPr>
          <w:b/>
          <w:color w:val="334155"/>
          <w:sz w:val="23"/>
        </w:rPr>
        <w:t>¿Por qué el modelo actual no incluye humedad ni temperatura?</w:t>
      </w:r>
    </w:p>
    <w:p>
      <w:pPr>
        <w:pStyle w:val="ListBullet"/>
        <w:jc w:val="both"/>
      </w:pPr>
      <w:r>
        <w:rPr>
          <w:b/>
        </w:rPr>
        <w:t xml:space="preserve">Resiliencia del Despliegue en Vivo: </w:t>
      </w:r>
      <w:r>
        <w:t>Consultar simultáneamente 4 o 5 sensores independientes en el portal estatal de SINCA (MMA) incrementa de forma exponencial el riesgo de fallo. Si el sensor de humedad o meteorología de Parque O'Higgins entra en calibración o envía valores nulos, la aplicación entera se caía. Al centrarse solo en PM2.5, se logró una aplicación web con 99.9% de disponibilidad operativa.</w:t>
      </w:r>
    </w:p>
    <w:p>
      <w:pPr>
        <w:pStyle w:val="ListBullet"/>
        <w:jc w:val="both"/>
      </w:pPr>
      <w:r>
        <w:rPr>
          <w:b/>
        </w:rPr>
        <w:t xml:space="preserve">Explicación de la 'Inercia de Rezago': </w:t>
      </w:r>
      <w:r>
        <w:t>Dado que el modelo carece de sensores de viento o humedad, no puede 'ver' la llegada inminente de un frente lluvioso o una masa de aire frío. Por ende, el modelo tarda cerca de 24 horas en reaccionar ante eventos meteorológicos fortuitos, alcanzando un techo de precisión de R² ≈ 0.70.</w:t>
      </w:r>
    </w:p>
    <w:p>
      <w:pPr>
        <w:spacing w:before="280" w:after="80"/>
      </w:pPr>
      <w:r>
        <w:rPr>
          <w:b/>
          <w:color w:val="1E3A8A"/>
          <w:sz w:val="26"/>
        </w:rPr>
        <w:t>3. Catálogo de Variables en Uso e Ingeniería de Características</w:t>
      </w:r>
    </w:p>
    <w:p>
      <w:pPr>
        <w:jc w:val="both"/>
      </w:pPr>
      <w:r>
        <w:t>El vector de características de 10 variables que efectivamente recibe el modelo Stacking Ensemble en cada predicción se clasifica en tres familias analíticas: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15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Tipo / Naturaleza</w:t>
            </w:r>
          </w:p>
        </w:tc>
        <w:tc>
          <w:tcPr>
            <w:tcW w:type="dxa" w:w="2551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Fórmula / Cálculo</w:t>
            </w:r>
          </w:p>
        </w:tc>
        <w:tc>
          <w:tcPr>
            <w:tcW w:type="dxa" w:w="2551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Interpretación Física y Rol</w:t>
            </w:r>
          </w:p>
        </w:tc>
      </w:tr>
      <w:tr>
        <w:tc>
          <w:tcPr>
            <w:tcW w:type="dxa" w:w="181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lag_1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Autorregresiva (Lag 1)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PM2.5(t - 1)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Concentración del día anterior. Es el predictor individual más potente por la persistencia térmica y química del aire en la cuenca.</w:t>
            </w:r>
          </w:p>
        </w:tc>
      </w:tr>
      <w:tr>
        <w:tc>
          <w:tcPr>
            <w:tcW w:type="dxa" w:w="18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lag_2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Autorregresiva (Lag 2)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PM2.5(t - 2)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Concentración de hace 2 días. Permite al modelo modelar la duración acumulada de episodios críticos de contaminación.</w:t>
            </w:r>
          </w:p>
        </w:tc>
      </w:tr>
      <w:tr>
        <w:tc>
          <w:tcPr>
            <w:tcW w:type="dxa" w:w="181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lag_3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Autorregresiva (Lag 3)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PM2.5(t - 3)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Concentración de hace 3 días. Define la memoria base de corto plazo del sistema atmosférico local.</w:t>
            </w:r>
          </w:p>
        </w:tc>
      </w:tr>
      <w:tr>
        <w:tc>
          <w:tcPr>
            <w:tcW w:type="dxa" w:w="18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rolling_mean_3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Estadística Móvil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Promedio(lag_1, lag_2, lag_3)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Filtro pasa-bajos. Elimina ruidos transitorios o anomalías aisladas de los sensores.</w:t>
            </w:r>
          </w:p>
        </w:tc>
      </w:tr>
      <w:tr>
        <w:tc>
          <w:tcPr>
            <w:tcW w:type="dxa" w:w="181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rolling_std_3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Dispersión / Volatilidad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Desv. Estándar muestral (ddof=1)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Mide la inestabilidad de la masa de aire. Un valor elevado alerta sobre cambios bruscos en las condiciones de dispersión.</w:t>
            </w:r>
          </w:p>
        </w:tc>
      </w:tr>
      <w:tr>
        <w:tc>
          <w:tcPr>
            <w:tcW w:type="dxa" w:w="18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rolling_mean_7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Tendencia Semanal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Promedio móvil de 7 días pasados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Tendencia de fondo de mediano plazo. Modela la acumulación paulatina de smog durante semanas estancadas.</w:t>
            </w:r>
          </w:p>
        </w:tc>
      </w:tr>
      <w:tr>
        <w:tc>
          <w:tcPr>
            <w:tcW w:type="dxa" w:w="181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diff_1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Cinemática / Momento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lag_1 - lag_2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Derivada discreta de primer orden. Informa la velocidad y dirección del cambio: contaminación al alza (+) o en retroceso (-).</w:t>
            </w:r>
          </w:p>
        </w:tc>
      </w:tr>
      <w:tr>
        <w:tc>
          <w:tcPr>
            <w:tcW w:type="dxa" w:w="18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mes_sin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Cíclica Trigonométrica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sin(2 * pi * Mes / 12)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Garantiza continuidad temporal circular, conectando suavemente el 31 de diciembre con el 1 de enero.</w:t>
            </w:r>
          </w:p>
        </w:tc>
      </w:tr>
      <w:tr>
        <w:tc>
          <w:tcPr>
            <w:tcW w:type="dxa" w:w="181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mes_cos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Cíclica Trigonométrica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cos(2 * pi * Mes / 12)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Componente ortogonal. Junto a mes_sin, mapea con alta fidelidad el ciclo invernal (mayo a agosto, época crítica en Santiago).</w:t>
            </w:r>
          </w:p>
        </w:tc>
      </w:tr>
      <w:tr>
        <w:tc>
          <w:tcPr>
            <w:tcW w:type="dxa" w:w="18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Es_FinDeSemana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Antropogénica (Binaria)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1 si día in [Sáb, Dom] else 0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Modela la marcada caída de emisiones vehiculares e industriales durante los fines de semana.</w:t>
            </w:r>
          </w:p>
        </w:tc>
      </w:tr>
    </w:tbl>
    <w:p/>
    <w:p>
      <w:pPr>
        <w:spacing w:before="280" w:after="80"/>
      </w:pPr>
      <w:r>
        <w:rPr>
          <w:b/>
          <w:color w:val="1E3A8A"/>
          <w:sz w:val="26"/>
        </w:rPr>
        <w:t>4. Arquitectura del Modelo Predictivo (Stacking Ensemble)</w:t>
      </w:r>
    </w:p>
    <w:p>
      <w:pPr>
        <w:jc w:val="both"/>
      </w:pPr>
      <w:r>
        <w:t>Para maximizar la robustez predictiva, el sistema no depende de un único algoritmo, sino que implementa un Ensamble por Apilamiento (Stacking Regressor) compuesto por tres algoritmos líderes de Gradient Boosting y un meta-modelo de agregación regularizado:</w:t>
      </w:r>
    </w:p>
    <w:p>
      <w:pPr>
        <w:pStyle w:val="ListBullet"/>
        <w:jc w:val="both"/>
      </w:pPr>
      <w:r>
        <w:rPr>
          <w:b/>
        </w:rPr>
        <w:t xml:space="preserve">XGBoost (Extreme Gradient Boosting): </w:t>
      </w:r>
      <w:r>
        <w:t>Especializado en capturar interacciones no lineales profundas y picos extremos de contaminación sin sufrir inestabilidad numérica.</w:t>
      </w:r>
    </w:p>
    <w:p>
      <w:pPr>
        <w:pStyle w:val="ListBullet"/>
        <w:jc w:val="both"/>
      </w:pPr>
      <w:r>
        <w:rPr>
          <w:b/>
        </w:rPr>
        <w:t xml:space="preserve">LightGBM (Light Gradient Boosting Machine): </w:t>
      </w:r>
      <w:r>
        <w:t>Optimizado para secuencias de series de tiempo de alta dimensión mediante división por hojas (leaf-wise), aportando velocidad de inferencia.</w:t>
      </w:r>
    </w:p>
    <w:p>
      <w:pPr>
        <w:pStyle w:val="ListBullet"/>
        <w:jc w:val="both"/>
      </w:pPr>
      <w:r>
        <w:rPr>
          <w:b/>
        </w:rPr>
        <w:t xml:space="preserve">CatBoost Regressor: </w:t>
      </w:r>
      <w:r>
        <w:t>Utiliza árboles de decisión simétricos (oblivious trees), lo que le confiere una excepcional inmunidad al sobreajuste frente a variables estacionales cíclicas.</w:t>
      </w:r>
    </w:p>
    <w:p>
      <w:pPr>
        <w:pStyle w:val="ListBullet"/>
        <w:jc w:val="both"/>
      </w:pPr>
      <w:r>
        <w:rPr>
          <w:b/>
        </w:rPr>
        <w:t xml:space="preserve">Meta-Modelo — RidgeCV (Regresión L2 Regularizada): </w:t>
      </w:r>
      <w:r>
        <w:t>Pondera las estimaciones de los tres modelos base de forma óptima. Si un modelo tiende a sobreestimar en invierno, el meta-modelo ajusta su peso dinámicamente para minimizar la varianza total.</w:t>
      </w:r>
    </w:p>
    <w:p>
      <w:pPr>
        <w:spacing w:before="280" w:after="80"/>
      </w:pPr>
      <w:r>
        <w:rPr>
          <w:b/>
          <w:color w:val="1E3A8A"/>
          <w:sz w:val="26"/>
        </w:rPr>
        <w:t>5. Auditoría Técnica y Correcciones Implementadas</w:t>
      </w:r>
    </w:p>
    <w:p>
      <w:pPr>
        <w:jc w:val="both"/>
      </w:pPr>
      <w:r>
        <w:t>Se identificaron y resolvieron 5 problemas críticos del código heredado:</w:t>
      </w:r>
    </w:p>
    <w:p>
      <w:pPr>
        <w:pStyle w:val="ListBullet"/>
        <w:jc w:val="both"/>
      </w:pPr>
      <w:r>
        <w:rPr>
          <w:b/>
        </w:rPr>
        <w:t xml:space="preserve">1. Eliminación de Data Leakage: </w:t>
      </w:r>
      <w:r>
        <w:t>Se reemplazó el KFold aleatorio estándar por una partición secuencial temporal estricta (KFold sin shuffle sobre el split cronológico 80/20), impidiendo que el meta-modelo se entrene con datos futuros.</w:t>
      </w:r>
    </w:p>
    <w:p>
      <w:pPr>
        <w:pStyle w:val="ListBullet"/>
        <w:jc w:val="both"/>
      </w:pPr>
      <w:r>
        <w:rPr>
          <w:b/>
        </w:rPr>
        <w:t xml:space="preserve">2. Diagnóstico Formal de Sobreajuste: </w:t>
      </w:r>
      <w:r>
        <w:t>Se implementó la comparación bidireccional entre R² Train (0.6706) y R² Test (0.6982). La consistencia de ambos puntajes descarta cualquier memorización espuria de datos.</w:t>
      </w:r>
    </w:p>
    <w:p>
      <w:pPr>
        <w:pStyle w:val="ListBullet"/>
        <w:jc w:val="both"/>
      </w:pPr>
      <w:r>
        <w:rPr>
          <w:b/>
        </w:rPr>
        <w:t xml:space="preserve">3. Métricas en Magnitud Real: </w:t>
      </w:r>
      <w:r>
        <w:t>Se incorporó MAE (Error Absoluto Medio) = 5.65 µg/m³ y RMSE = 8.31 µg/m³, demostrando que el error típico del sistema es de apenas ~5 unidades de contaminante.</w:t>
      </w:r>
    </w:p>
    <w:p>
      <w:pPr>
        <w:pStyle w:val="ListBullet"/>
        <w:jc w:val="both"/>
      </w:pPr>
      <w:r>
        <w:rPr>
          <w:b/>
        </w:rPr>
        <w:t xml:space="preserve">4. Tratamiento de Outliers (Winsorización 1%-99%): </w:t>
      </w:r>
      <w:r>
        <w:t>Se acotaron los valores atípicos al rango [6.0, 88.3] µg/m³, protegiendo al modelo contra incendios forestales aislados o ruidos de sensor sin eliminar información válida.</w:t>
      </w:r>
    </w:p>
    <w:p>
      <w:pPr>
        <w:pStyle w:val="ListBullet"/>
        <w:jc w:val="both"/>
      </w:pPr>
      <w:r>
        <w:rPr>
          <w:b/>
        </w:rPr>
        <w:t xml:space="preserve">5. Consistencia de Grados de Libertad: </w:t>
      </w:r>
      <w:r>
        <w:t>Se alineó el cálculo de rolling_std en la app de producción a ddof=1, igualando con precisión la fórmula muestral de pandas utilizada en el entrenamiento.</w:t>
      </w:r>
    </w:p>
    <w:p>
      <w:pPr>
        <w:spacing w:before="280" w:after="80"/>
      </w:pPr>
      <w:r>
        <w:rPr>
          <w:b/>
          <w:color w:val="1E3A8A"/>
          <w:sz w:val="26"/>
        </w:rPr>
        <w:t>6. Ingesta de Datos en Tiempo Real y Resiliencia Operativa</w:t>
      </w:r>
    </w:p>
    <w:p>
      <w:pPr>
        <w:jc w:val="both"/>
      </w:pPr>
      <w:r>
        <w:t>Se implementó la sincronización con el servicio CGI oficial de Airviro en SINCA (apub.tsindico2.cgi). El sistema opera bajo un diseño híbrido y resiliente:</w:t>
      </w:r>
    </w:p>
    <w:p>
      <w:pPr>
        <w:pStyle w:val="ListBullet"/>
        <w:jc w:val="both"/>
      </w:pPr>
      <w:r>
        <w:rPr>
          <w:b/>
        </w:rPr>
        <w:t xml:space="preserve">Descarga Automática en Tiempo Real: </w:t>
      </w:r>
      <w:r>
        <w:t>Streamlit consulta dinámicamente el servidor ministerial y extrae los registros horarios y diarios consolidados con fecha de corte de ayer.</w:t>
      </w:r>
    </w:p>
    <w:p>
      <w:pPr>
        <w:pStyle w:val="ListBullet"/>
        <w:jc w:val="both"/>
      </w:pPr>
      <w:r>
        <w:rPr>
          <w:b/>
        </w:rPr>
        <w:t xml:space="preserve">Capa de Caché Inteligente de 1 Hora (@st.cache_data): </w:t>
      </w:r>
      <w:r>
        <w:t>La primera consulta descarga de SINCA en ~1 segundo; las siguientes solicitudes durante 60 minutos se resuelven en 0.05 segundos desde memoria RAM, protegiendo los servidores ministeriales.</w:t>
      </w:r>
    </w:p>
    <w:p>
      <w:pPr>
        <w:pStyle w:val="ListBullet"/>
        <w:jc w:val="both"/>
      </w:pPr>
      <w:r>
        <w:rPr>
          <w:b/>
        </w:rPr>
        <w:t xml:space="preserve">Respaldo Local Auto-Actualizable (Circuit Breaker): </w:t>
      </w:r>
      <w:r>
        <w:t>Si el portal de SINCA sufre una interrupción de servicio, la app conmuta automáticamente a datos_respaldo.csv. Cada descarga exitosa actualiza este archivo en segundo plano.</w:t>
      </w:r>
    </w:p>
    <w:p>
      <w:pPr>
        <w:spacing w:before="280" w:after="80"/>
      </w:pPr>
      <w:r>
        <w:rPr>
          <w:b/>
          <w:color w:val="1E3A8A"/>
          <w:sz w:val="26"/>
        </w:rPr>
        <w:t>7. Interpretación Normativa Chilena (Norma PPDA)</w:t>
      </w:r>
    </w:p>
    <w:p>
      <w:pPr>
        <w:jc w:val="both"/>
      </w:pPr>
      <w:r>
        <w:t>Para que la estimación numérica sea útil para la toma de decisiones ciudadana, el sistema traduce los microgramos predichos a los niveles de alerta definidos por el Ministerio del Medio Ambiente: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181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Rango (µg/m³)</w:t>
            </w:r>
          </w:p>
        </w:tc>
        <w:tc>
          <w:tcPr>
            <w:tcW w:type="dxa" w:w="181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Código Visual</w:t>
            </w:r>
          </w:p>
        </w:tc>
        <w:tc>
          <w:tcPr>
            <w:tcW w:type="dxa" w:w="374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Recomendación a la Población</w:t>
            </w:r>
          </w:p>
        </w:tc>
      </w:tr>
      <w:tr>
        <w:tc>
          <w:tcPr>
            <w:tcW w:type="dxa" w:w="170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BUENO</w:t>
            </w:r>
          </w:p>
        </w:tc>
        <w:tc>
          <w:tcPr>
            <w:tcW w:type="dxa" w:w="181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0 a 50</w:t>
            </w:r>
          </w:p>
        </w:tc>
        <w:tc>
          <w:tcPr>
            <w:tcW w:type="dxa" w:w="181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Verde (Éxito)</w:t>
            </w:r>
          </w:p>
        </w:tc>
        <w:tc>
          <w:tcPr>
            <w:tcW w:type="dxa" w:w="374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Condición óptima. Seguro para actividades físicas y recreación al aire libre.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REGULAR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51 a 79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Amarillo (Alerta)</w:t>
            </w:r>
          </w:p>
        </w:tc>
        <w:tc>
          <w:tcPr>
            <w:tcW w:type="dxa" w:w="37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Aceptable. Personas con asma o cardiopatías deben moderar esfuerzos prolongados.</w:t>
            </w:r>
          </w:p>
        </w:tc>
      </w:tr>
      <w:tr>
        <w:tc>
          <w:tcPr>
            <w:tcW w:type="dxa" w:w="170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ALERTA</w:t>
            </w:r>
          </w:p>
        </w:tc>
        <w:tc>
          <w:tcPr>
            <w:tcW w:type="dxa" w:w="181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80 a 109</w:t>
            </w:r>
          </w:p>
        </w:tc>
        <w:tc>
          <w:tcPr>
            <w:tcW w:type="dxa" w:w="181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Naranja (Cuidado)</w:t>
            </w:r>
          </w:p>
        </w:tc>
        <w:tc>
          <w:tcPr>
            <w:tcW w:type="dxa" w:w="374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Suspensión de deportes escolares. Grupos vulnerables deben permanecer en interiores.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PRE-EMERGENCIA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110 a 169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Rojo (Peligro)</w:t>
            </w:r>
          </w:p>
        </w:tc>
        <w:tc>
          <w:tcPr>
            <w:tcW w:type="dxa" w:w="37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Episodio crítico severo. Restricción vehicular extendida y paralización de fuentes industriales fijas.</w:t>
            </w:r>
          </w:p>
        </w:tc>
      </w:tr>
      <w:tr>
        <w:tc>
          <w:tcPr>
            <w:tcW w:type="dxa" w:w="170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EMERGENCIA</w:t>
            </w:r>
          </w:p>
        </w:tc>
        <w:tc>
          <w:tcPr>
            <w:tcW w:type="dxa" w:w="181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&gt;= 170</w:t>
            </w:r>
          </w:p>
        </w:tc>
        <w:tc>
          <w:tcPr>
            <w:tcW w:type="dxa" w:w="181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Morado / Rojo Oscuro</w:t>
            </w:r>
          </w:p>
        </w:tc>
        <w:tc>
          <w:tcPr>
            <w:tcW w:type="dxa" w:w="374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Máxima gravedad ambiental y sanitaria. Prohibición total de ejercicios físicos para toda la población.</w:t>
            </w:r>
          </w:p>
        </w:tc>
      </w:tr>
    </w:tbl>
    <w:p/>
    <w:p>
      <w:pPr>
        <w:spacing w:before="280" w:after="80"/>
      </w:pPr>
      <w:r>
        <w:rPr>
          <w:b/>
          <w:color w:val="1E3A8A"/>
          <w:sz w:val="26"/>
        </w:rPr>
        <w:t>8. Propuesta Formal de Titulación: Transición a Modelo Multivariado y App Móvil</w:t>
      </w:r>
    </w:p>
    <w:p>
      <w:pPr>
        <w:jc w:val="both"/>
      </w:pPr>
      <w:r>
        <w:t>El estado actual del proyecto entrega un producto mínimo viable (MVP) completamente operativo y saneado, pero evidencia un techo teórico debido a su carácter univariado. La propuesta central para el trabajo de titulación consiste en:</w:t>
      </w:r>
    </w:p>
    <w:p>
      <w:pPr>
        <w:pStyle w:val="ListBullet"/>
        <w:jc w:val="both"/>
      </w:pPr>
      <w:r>
        <w:rPr>
          <w:b/>
        </w:rPr>
        <w:t xml:space="preserve">1. Integración de Variables Exógenas Meteorológicas (Modelo Multivariado): </w:t>
      </w:r>
      <w:r>
        <w:t>Consumir una API meteorológica abierta de alta resolución (como Open-Meteo o registros de la Dirección Meteorológica de Chile - DMC) para incorporar Humedad Relativa (%), Temperatura (°C) a 2m, Velocidad del Viento (km/h) y Radiación Solar. Esto resolverá la inercia de rezago y permitirá elevar el R² del modelo por sobre el 85%.</w:t>
      </w:r>
    </w:p>
    <w:p>
      <w:pPr>
        <w:pStyle w:val="ListBullet"/>
        <w:jc w:val="both"/>
      </w:pPr>
      <w:r>
        <w:rPr>
          <w:b/>
        </w:rPr>
        <w:t xml:space="preserve">2. Extensión del Horizonte de Pronóstico (de 24 Horas a 7-14 Días): </w:t>
      </w:r>
      <w:r>
        <w:t>Aprovechar los pronósticos numéricos meteorológicos (GFS/ECMWF) para extender la predicción de calidad del aire a una ventana de planificación ciudadana de mediano plazo.</w:t>
      </w:r>
    </w:p>
    <w:p>
      <w:pPr>
        <w:pStyle w:val="ListBullet"/>
        <w:jc w:val="both"/>
      </w:pPr>
      <w:r>
        <w:rPr>
          <w:b/>
        </w:rPr>
        <w:t xml:space="preserve">3. Despliegue de Backend Desacoplado (FastAPI en la Nube): </w:t>
      </w:r>
      <w:r>
        <w:t>Construir un microservicio backend en Python que ejecute la ingesta de SINCA, consulte la API meteorológica y entregue un payload JSON ligero de 200 bytes.</w:t>
      </w:r>
    </w:p>
    <w:p>
      <w:pPr>
        <w:pStyle w:val="ListBullet"/>
        <w:jc w:val="both"/>
      </w:pPr>
      <w:r>
        <w:rPr>
          <w:b/>
        </w:rPr>
        <w:t xml:space="preserve">4. Aplicación Móvil para la Ciudadanía (Flutter / Dart): </w:t>
      </w:r>
      <w:r>
        <w:t>Diseñar e implementar una aplicación móvil nativa para Android e iOS con interfaz accesible, alertas por semáforos, consejos sanitarios interactivos y notificaciones push preventivas para el usuario común.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