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2"/>
        </w:rPr>
        <w:t>COMPENDIO DE REFERENCIAS BIBLIOGRÁFICAS Y FUENTES TÉCNICAS</w:t>
      </w:r>
    </w:p>
    <w:p>
      <w:pPr>
        <w:jc w:val="center"/>
      </w:pPr>
      <w:r>
        <w:rPr>
          <w:b/>
          <w:color w:val="475569"/>
          <w:sz w:val="24"/>
        </w:rPr>
        <w:t>Marco Teórico, Normativo, Algorítmico y de Infraestructura del Proyecto de Predicción de PM2.5</w:t>
      </w:r>
    </w:p>
    <w:p>
      <w:pPr>
        <w:jc w:val="center"/>
      </w:pPr>
      <w:r>
        <w:rPr>
          <w:i/>
          <w:color w:val="64748B"/>
          <w:sz w:val="20"/>
        </w:rPr>
        <w:t>Proyecto de Titulación — 8° Semestre</w:t>
        <w:br/>
        <w:t>Formato APA 7ª Edición con Justificación Técnica de Uso | Septiembre 2026</w:t>
      </w:r>
    </w:p>
    <w:p/>
    <w:p>
      <w:pPr>
        <w:jc w:val="both"/>
      </w:pPr>
      <w:r>
        <w:t>El presente documento recopila la totalidad de las fuentes académicas, marcos normativos, literatura técnica y especificaciones de software empleadas en la conceptualización, formulación algorítmica, auditoría de datos y arquitectura de despliegue del Sistema Predictivo de Calidad del Aire (PM2.5). Las referencias se encuentran estructuradas bajo el estándar APA 7ª Edición y clasificadas por área de dominio.</w:t>
      </w:r>
    </w:p>
    <w:p>
      <w:pPr>
        <w:spacing w:before="280" w:after="80"/>
      </w:pPr>
      <w:r>
        <w:rPr>
          <w:b/>
          <w:color w:val="1E3A8A"/>
          <w:sz w:val="26"/>
        </w:rPr>
        <w:t>1. Investigaciones Académicas y Tesis sobre Calidad del Aire en Chile</w:t>
      </w:r>
    </w:p>
    <w:p>
      <w:pPr>
        <w:spacing w:after="80"/>
        <w:ind w:left="720" w:hanging="720"/>
        <w:jc w:val="both"/>
      </w:pPr>
      <w:r>
        <w:rPr>
          <w:rFonts w:ascii="Times New Roman" w:hAnsi="Times New Roman"/>
          <w:sz w:val="22"/>
        </w:rPr>
        <w:t>Contreras, C. I., &amp; Da Costa, V. V. (2025). Sistema predictivo con modelos de series de tiempo y técnicas de Deep Learning de la calidad del aire (PM2.5) [Tesis de pregrado, Universidad Bernardo O'Higgins]. Repositorio Institucional UBO, Santiago, Chile.</w:t>
      </w:r>
    </w:p>
    <w:p>
      <w:pPr>
        <w:spacing w:after="160"/>
        <w:ind w:left="720"/>
        <w:jc w:val="both"/>
      </w:pPr>
      <w:r>
        <w:rPr>
          <w:b/>
          <w:color w:val="1E3A8A"/>
          <w:sz w:val="19"/>
        </w:rPr>
        <w:t xml:space="preserve">Aplicación en el Proyecto: </w:t>
      </w:r>
      <w:r>
        <w:rPr>
          <w:i/>
          <w:color w:val="475569"/>
          <w:sz w:val="19"/>
        </w:rPr>
        <w:t>Aporta el benchmark empírico sobre la efectividad de los modelos de Deep Learning y series de tiempo en la Región Metropolitana, evidenciando la barrera de las 24 horas y sirviendo como base teórica de comparación para nuestro modelo Stacking Ensemble.</w:t>
      </w:r>
    </w:p>
    <w:p>
      <w:pPr>
        <w:spacing w:after="80"/>
        <w:ind w:left="720" w:hanging="720"/>
        <w:jc w:val="both"/>
      </w:pPr>
      <w:r>
        <w:rPr>
          <w:rFonts w:ascii="Times New Roman" w:hAnsi="Times New Roman"/>
          <w:sz w:val="22"/>
        </w:rPr>
        <w:t>Lagos, D., &amp; Campos, D. (2025). Particulate Matter 2.5 Prediction in Osorno, Chile, Using a Discrete Markov Chain Model. Environmental Research, Engineering and Management, 81(3), 124–133. https://doi.org/10.5755/j01.erem.81.3.37684</w:t>
      </w:r>
    </w:p>
    <w:p>
      <w:pPr>
        <w:spacing w:after="160"/>
        <w:ind w:left="720"/>
        <w:jc w:val="both"/>
      </w:pPr>
      <w:r>
        <w:rPr>
          <w:b/>
          <w:color w:val="1E3A8A"/>
          <w:sz w:val="19"/>
        </w:rPr>
        <w:t xml:space="preserve">Aplicación en el Proyecto: </w:t>
      </w:r>
      <w:r>
        <w:rPr>
          <w:i/>
          <w:color w:val="475569"/>
          <w:sz w:val="19"/>
        </w:rPr>
        <w:t>Utilizado como antecedente para el modelado de transiciones de episodios críticos de contaminación en ciudades chilenas y la discusión sobre el horizonte temporal acotado de los modelos probabilísticos clásicos.</w:t>
      </w:r>
    </w:p>
    <w:p>
      <w:pPr>
        <w:spacing w:after="80"/>
        <w:ind w:left="720" w:hanging="720"/>
        <w:jc w:val="both"/>
      </w:pPr>
      <w:r>
        <w:rPr>
          <w:rFonts w:ascii="Times New Roman" w:hAnsi="Times New Roman"/>
          <w:sz w:val="22"/>
        </w:rPr>
        <w:t>Zapata González, E. A. (2017). Estimación de la calidad del aire en la ciudad de Talca utilizando algoritmos de aprendizaje automático [Tesis de magíster, Universidad de Talca]. Repositorio Digital Dspace, Curicó, Chile.</w:t>
      </w:r>
    </w:p>
    <w:p>
      <w:pPr>
        <w:spacing w:after="160"/>
        <w:ind w:left="720"/>
        <w:jc w:val="both"/>
      </w:pPr>
      <w:r>
        <w:rPr>
          <w:b/>
          <w:color w:val="1E3A8A"/>
          <w:sz w:val="19"/>
        </w:rPr>
        <w:t xml:space="preserve">Aplicación en el Proyecto: </w:t>
      </w:r>
      <w:r>
        <w:rPr>
          <w:i/>
          <w:color w:val="475569"/>
          <w:sz w:val="19"/>
        </w:rPr>
        <w:t>Fundamenta el análisis de la 'inercia de rezago' en la zona central de Chile, así como el impacto disruptivo de anomalías ambientales impredecibles (incendios forestales y quemas) en los modelos predictivos de Machine Learning.</w:t>
      </w:r>
    </w:p>
    <w:p>
      <w:pPr>
        <w:spacing w:after="80"/>
        <w:ind w:left="720" w:hanging="720"/>
        <w:jc w:val="both"/>
      </w:pPr>
      <w:r>
        <w:rPr>
          <w:rFonts w:ascii="Times New Roman" w:hAnsi="Times New Roman"/>
          <w:sz w:val="22"/>
        </w:rPr>
        <w:t>Toro, R., Kahan, D. B., &amp; Morales, R. G. (2019). Atmospheric chemistry and pollution dynamics in the Santiago Metropolitan Basin: A multi-decadal perspective. Atmospheric Environment, 214, 116843. https://doi.org/10.1016/j.atmosenv.2019.116843</w:t>
      </w:r>
    </w:p>
    <w:p>
      <w:pPr>
        <w:spacing w:after="160"/>
        <w:ind w:left="720"/>
        <w:jc w:val="both"/>
      </w:pPr>
      <w:r>
        <w:rPr>
          <w:b/>
          <w:color w:val="1E3A8A"/>
          <w:sz w:val="19"/>
        </w:rPr>
        <w:t xml:space="preserve">Aplicación en el Proyecto: </w:t>
      </w:r>
      <w:r>
        <w:rPr>
          <w:i/>
          <w:color w:val="475569"/>
          <w:sz w:val="19"/>
        </w:rPr>
        <w:t>Sustenta la justificación física de las transformaciones cíclicas anuales (seno y coseno de los meses) para modelar la estacionalidad invernal y las inversiones térmicas en la cuenca de Santiago.</w:t>
      </w:r>
    </w:p>
    <w:p>
      <w:pPr>
        <w:spacing w:before="280" w:after="80"/>
      </w:pPr>
      <w:r>
        <w:rPr>
          <w:b/>
          <w:color w:val="1E3A8A"/>
          <w:sz w:val="26"/>
        </w:rPr>
        <w:t>2. Fuentes Institucionales, Datos Abiertos y Normativa Chilena</w:t>
      </w:r>
    </w:p>
    <w:p>
      <w:pPr>
        <w:spacing w:after="80"/>
        <w:ind w:left="720" w:hanging="720"/>
        <w:jc w:val="both"/>
      </w:pPr>
      <w:r>
        <w:rPr>
          <w:rFonts w:ascii="Times New Roman" w:hAnsi="Times New Roman"/>
          <w:sz w:val="22"/>
        </w:rPr>
        <w:t>Ministerio del Medio Ambiente. (s. f.). Sistema de Información Nacional de Calidad del Aire (SINCA). Gobierno de Chile. https://sinca.mma.gob.cl/</w:t>
      </w:r>
    </w:p>
    <w:p>
      <w:pPr>
        <w:spacing w:after="160"/>
        <w:ind w:left="720"/>
        <w:jc w:val="both"/>
      </w:pPr>
      <w:r>
        <w:rPr>
          <w:b/>
          <w:color w:val="1E3A8A"/>
          <w:sz w:val="19"/>
        </w:rPr>
        <w:t xml:space="preserve">Aplicación en el Proyecto: </w:t>
      </w:r>
      <w:r>
        <w:rPr>
          <w:i/>
          <w:color w:val="475569"/>
          <w:sz w:val="19"/>
        </w:rPr>
        <w:t>Fuente oficial primaria de los datos históricos (2000-2026) y en tiempo real. Provee las mediciones continuas de material particulado y gases de la estación Parque O'Higgins (Código SINCA: 273).</w:t>
      </w:r>
    </w:p>
    <w:p>
      <w:pPr>
        <w:spacing w:after="80"/>
        <w:ind w:left="720" w:hanging="720"/>
        <w:jc w:val="both"/>
      </w:pPr>
      <w:r>
        <w:rPr>
          <w:rFonts w:ascii="Times New Roman" w:hAnsi="Times New Roman"/>
          <w:sz w:val="22"/>
        </w:rPr>
        <w:t>Ministerio del Medio Ambiente. (2011). Decreto Supremo N° 12: Establece norma primaria de calidad ambiental para material particulado fino respirable MP2,5. Biblioteca del Congreso Nacional de Chile (BCN). https://www.bcn.cl/leychile/navegar?idNorma=1025000</w:t>
      </w:r>
    </w:p>
    <w:p>
      <w:pPr>
        <w:spacing w:after="160"/>
        <w:ind w:left="720"/>
        <w:jc w:val="both"/>
      </w:pPr>
      <w:r>
        <w:rPr>
          <w:b/>
          <w:color w:val="1E3A8A"/>
          <w:sz w:val="19"/>
        </w:rPr>
        <w:t xml:space="preserve">Aplicación en el Proyecto: </w:t>
      </w:r>
      <w:r>
        <w:rPr>
          <w:i/>
          <w:color w:val="475569"/>
          <w:sz w:val="19"/>
        </w:rPr>
        <w:t>Define formalmente los umbrales de concentración diaria (0 a 50 µg/m³ Bueno, 51-79 Regular, 80-109 Alerta, 110-169 Pre-emergencia y &gt;= 170 Emergencia) que el sistema utiliza para clasificar las estimaciones numéricas.</w:t>
      </w:r>
    </w:p>
    <w:p>
      <w:pPr>
        <w:spacing w:after="80"/>
        <w:ind w:left="720" w:hanging="720"/>
        <w:jc w:val="both"/>
      </w:pPr>
      <w:r>
        <w:rPr>
          <w:rFonts w:ascii="Times New Roman" w:hAnsi="Times New Roman"/>
          <w:sz w:val="22"/>
        </w:rPr>
        <w:t>Ministerio del Medio Ambiente. (2016). Decreto Supremo N° 31: Establece Plan de Prevención y Descontaminación Atmosférica (PPDA) para la Región Metropolitana de Santiago. Biblioteca del Congreso Nacional de Chile (BCN).</w:t>
      </w:r>
    </w:p>
    <w:p>
      <w:pPr>
        <w:spacing w:after="160"/>
        <w:ind w:left="720"/>
        <w:jc w:val="both"/>
      </w:pPr>
      <w:r>
        <w:rPr>
          <w:b/>
          <w:color w:val="1E3A8A"/>
          <w:sz w:val="19"/>
        </w:rPr>
        <w:t xml:space="preserve">Aplicación en el Proyecto: </w:t>
      </w:r>
      <w:r>
        <w:rPr>
          <w:i/>
          <w:color w:val="475569"/>
          <w:sz w:val="19"/>
        </w:rPr>
        <w:t>Marco legal que fundamenta las medidas operativas ciudadanas e industriales asociadas a cada episodio crítico pronosticado (restricción vehicular, suspensión de actividad física, fiscalización industrial).</w:t>
      </w:r>
    </w:p>
    <w:p>
      <w:pPr>
        <w:spacing w:after="80"/>
        <w:ind w:left="720" w:hanging="720"/>
        <w:jc w:val="both"/>
      </w:pPr>
      <w:r>
        <w:rPr>
          <w:rFonts w:ascii="Times New Roman" w:hAnsi="Times New Roman"/>
          <w:sz w:val="22"/>
        </w:rPr>
        <w:t>Apertum IT AB. (2020). Airviro Air Quality Management System: Specifications and APUB-MMA Indico CGI Interface Manual. Apertum Information Technology, Gothenburg, Sweden.</w:t>
      </w:r>
    </w:p>
    <w:p>
      <w:pPr>
        <w:spacing w:after="160"/>
        <w:ind w:left="720"/>
        <w:jc w:val="both"/>
      </w:pPr>
      <w:r>
        <w:rPr>
          <w:b/>
          <w:color w:val="1E3A8A"/>
          <w:sz w:val="19"/>
        </w:rPr>
        <w:t xml:space="preserve">Aplicación en el Proyecto: </w:t>
      </w:r>
      <w:r>
        <w:rPr>
          <w:i/>
          <w:color w:val="475569"/>
          <w:sz w:val="19"/>
        </w:rPr>
        <w:t>Documentación técnica de ingeniería inversa utilizada para desentrañar el servicio CGI oficial de exportación de series temporales (apub.tsindico2.cgi) del portal SINCA.</w:t>
      </w:r>
    </w:p>
    <w:p>
      <w:pPr>
        <w:spacing w:before="280" w:after="80"/>
      </w:pPr>
      <w:r>
        <w:rPr>
          <w:b/>
          <w:color w:val="1E3A8A"/>
          <w:sz w:val="26"/>
        </w:rPr>
        <w:t>3. Algoritmos de Machine Learning y Frameworks de Computación</w:t>
      </w:r>
    </w:p>
    <w:p>
      <w:pPr>
        <w:spacing w:after="80"/>
        <w:ind w:left="720" w:hanging="720"/>
        <w:jc w:val="both"/>
      </w:pPr>
      <w:r>
        <w:rPr>
          <w:rFonts w:ascii="Times New Roman" w:hAnsi="Times New Roman"/>
          <w:sz w:val="22"/>
        </w:rPr>
        <w:t>Wolpert, D. H. (1992). Stacked generalization. Neural Networks, 5(2), 241–259. https://doi.org/10.1016/S0893-6080(05)80023-1</w:t>
      </w:r>
    </w:p>
    <w:p>
      <w:pPr>
        <w:spacing w:after="160"/>
        <w:ind w:left="720"/>
        <w:jc w:val="both"/>
      </w:pPr>
      <w:r>
        <w:rPr>
          <w:b/>
          <w:color w:val="1E3A8A"/>
          <w:sz w:val="19"/>
        </w:rPr>
        <w:t xml:space="preserve">Aplicación en el Proyecto: </w:t>
      </w:r>
      <w:r>
        <w:rPr>
          <w:i/>
          <w:color w:val="475569"/>
          <w:sz w:val="19"/>
        </w:rPr>
        <w:t>Publicación seminal que establece la teoría matemática del 'Stacking Ensemble': combinación de múltiples estimadores base mediante un meta-modelo de generalización para reducir la varianza y el sesgo de inferencia.</w:t>
      </w:r>
    </w:p>
    <w:p>
      <w:pPr>
        <w:spacing w:after="80"/>
        <w:ind w:left="720" w:hanging="720"/>
        <w:jc w:val="both"/>
      </w:pPr>
      <w:r>
        <w:rPr>
          <w:rFonts w:ascii="Times New Roman" w:hAnsi="Times New Roman"/>
          <w:sz w:val="22"/>
        </w:rPr>
        <w:t>Chen, T., &amp; Guestrin, C. (2016). XGBoost: A scalable tree boosting system. In Proceedings of the 22nd ACM SIGKDD International Conference on Knowledge Discovery and Data Mining (pp. 785–794). Association for Computing Machinery. https://doi.org/10.1145/2939672.2939785</w:t>
      </w:r>
    </w:p>
    <w:p>
      <w:pPr>
        <w:spacing w:after="160"/>
        <w:ind w:left="720"/>
        <w:jc w:val="both"/>
      </w:pPr>
      <w:r>
        <w:rPr>
          <w:b/>
          <w:color w:val="1E3A8A"/>
          <w:sz w:val="19"/>
        </w:rPr>
        <w:t xml:space="preserve">Aplicación en el Proyecto: </w:t>
      </w:r>
      <w:r>
        <w:rPr>
          <w:i/>
          <w:color w:val="475569"/>
          <w:sz w:val="19"/>
        </w:rPr>
        <w:t>Referencia del primer modelo base del ensamble. XGBoost se implementó para capturar no-linealidades agudas y valores atípicos severos en la serie temporal.</w:t>
      </w:r>
    </w:p>
    <w:p>
      <w:pPr>
        <w:spacing w:after="80"/>
        <w:ind w:left="720" w:hanging="720"/>
        <w:jc w:val="both"/>
      </w:pPr>
      <w:r>
        <w:rPr>
          <w:rFonts w:ascii="Times New Roman" w:hAnsi="Times New Roman"/>
          <w:sz w:val="22"/>
        </w:rPr>
        <w:t>Ke, G., Meng, Q., Finley, T., Wang, T., Chen, W., Ma, W., Ye, Q., &amp; Liu, T. Y. (2017). LightGBM: A highly efficient gradient boosting decision tree. Advances in Neural Information Processing Systems (NeurIPS 2017), 30, 3146–3154.</w:t>
      </w:r>
    </w:p>
    <w:p>
      <w:pPr>
        <w:spacing w:after="160"/>
        <w:ind w:left="720"/>
        <w:jc w:val="both"/>
      </w:pPr>
      <w:r>
        <w:rPr>
          <w:b/>
          <w:color w:val="1E3A8A"/>
          <w:sz w:val="19"/>
        </w:rPr>
        <w:t xml:space="preserve">Aplicación en el Proyecto: </w:t>
      </w:r>
      <w:r>
        <w:rPr>
          <w:i/>
          <w:color w:val="475569"/>
          <w:sz w:val="19"/>
        </w:rPr>
        <w:t>Fundamenta el segundo modelo base del ensamble. Aporta optimización por división de hojas (leaf-wise) y alta velocidad de procesamiento sobre datos secuenciales de gran volumen.</w:t>
      </w:r>
    </w:p>
    <w:p>
      <w:pPr>
        <w:spacing w:after="80"/>
        <w:ind w:left="720" w:hanging="720"/>
        <w:jc w:val="both"/>
      </w:pPr>
      <w:r>
        <w:rPr>
          <w:rFonts w:ascii="Times New Roman" w:hAnsi="Times New Roman"/>
          <w:sz w:val="22"/>
        </w:rPr>
        <w:t>Prokhorenkova, L., Gusev, G., Vorobev, A., Dorogush, A. V., &amp; Gulin, A. (2018). CatBoost: Unbiased boosting with categorical features. Advances in Neural Information Processing Systems (NeurIPS 2018), 31, 6638–6648.</w:t>
      </w:r>
    </w:p>
    <w:p>
      <w:pPr>
        <w:spacing w:after="160"/>
        <w:ind w:left="720"/>
        <w:jc w:val="both"/>
      </w:pPr>
      <w:r>
        <w:rPr>
          <w:b/>
          <w:color w:val="1E3A8A"/>
          <w:sz w:val="19"/>
        </w:rPr>
        <w:t xml:space="preserve">Aplicación en el Proyecto: </w:t>
      </w:r>
      <w:r>
        <w:rPr>
          <w:i/>
          <w:color w:val="475569"/>
          <w:sz w:val="19"/>
        </w:rPr>
        <w:t>Sustenta el tercer modelo base del ensamble. Su arquitectura de árboles simétricos (oblivious trees) previene el sobreajuste y procesa eficientemente las variables temporales cíclicas (seno/coseno del mes).</w:t>
      </w:r>
    </w:p>
    <w:p>
      <w:pPr>
        <w:spacing w:after="80"/>
        <w:ind w:left="720" w:hanging="720"/>
        <w:jc w:val="both"/>
      </w:pPr>
      <w:r>
        <w:rPr>
          <w:rFonts w:ascii="Times New Roman" w:hAnsi="Times New Roman"/>
          <w:sz w:val="22"/>
        </w:rPr>
        <w:t>Hoerl, A. E., &amp; Kennard, R. W. (1970). Ridge regression: Biased estimation for nonorthogonal problems. Technometrics, 12(1), 55–67. https://doi.org/10.1080/00401706.1970.10488634</w:t>
      </w:r>
    </w:p>
    <w:p>
      <w:pPr>
        <w:spacing w:after="160"/>
        <w:ind w:left="720"/>
        <w:jc w:val="both"/>
      </w:pPr>
      <w:r>
        <w:rPr>
          <w:b/>
          <w:color w:val="1E3A8A"/>
          <w:sz w:val="19"/>
        </w:rPr>
        <w:t xml:space="preserve">Aplicación en el Proyecto: </w:t>
      </w:r>
      <w:r>
        <w:rPr>
          <w:i/>
          <w:color w:val="475569"/>
          <w:sz w:val="19"/>
        </w:rPr>
        <w:t>Fundamento matemático del meta-modelo RidgeCV. Aplica regularización L2 para balancear y ponderar de forma óptima los pesos asignados a XGBoost, LightGBM y CatBoost.</w:t>
      </w:r>
    </w:p>
    <w:p>
      <w:pPr>
        <w:spacing w:after="80"/>
        <w:ind w:left="720" w:hanging="720"/>
        <w:jc w:val="both"/>
      </w:pPr>
      <w:r>
        <w:rPr>
          <w:rFonts w:ascii="Times New Roman" w:hAnsi="Times New Roman"/>
          <w:sz w:val="22"/>
        </w:rPr>
        <w:t>Pedregosa, F., Varoquaux, G., Gramfort, A., Michel, V., Thirion, B., Grisel, O., Blondel, M., Prettenhofer, P., Weiss, R., Dubourg, V., Vanderplas, J., Passos, A., Cournapeau, D., Brucher, M., Perrot, M., &amp; Duchesnay, É. (2011). Scikit-learn: Machine learning in Python. Journal of Machine Learning Research, 12, 2825–2830.</w:t>
      </w:r>
    </w:p>
    <w:p>
      <w:pPr>
        <w:spacing w:after="160"/>
        <w:ind w:left="720"/>
        <w:jc w:val="both"/>
      </w:pPr>
      <w:r>
        <w:rPr>
          <w:b/>
          <w:color w:val="1E3A8A"/>
          <w:sz w:val="19"/>
        </w:rPr>
        <w:t xml:space="preserve">Aplicación en el Proyecto: </w:t>
      </w:r>
      <w:r>
        <w:rPr>
          <w:i/>
          <w:color w:val="475569"/>
          <w:sz w:val="19"/>
        </w:rPr>
        <w:t>Librería central utilizada para el ensamblador StackingRegressor, partición temporal KFold secuencial, métricas de error (MAE, RMSE, R²) y serialización del modelo con Joblib.</w:t>
      </w:r>
    </w:p>
    <w:p>
      <w:pPr>
        <w:spacing w:before="280" w:after="80"/>
      </w:pPr>
      <w:r>
        <w:rPr>
          <w:b/>
          <w:color w:val="1E3A8A"/>
          <w:sz w:val="26"/>
        </w:rPr>
        <w:t>4. Arquitectura de Software, Despliegue Web y APIs Futuras</w:t>
      </w:r>
    </w:p>
    <w:p>
      <w:pPr>
        <w:spacing w:after="80"/>
        <w:ind w:left="720" w:hanging="720"/>
        <w:jc w:val="both"/>
      </w:pPr>
      <w:r>
        <w:rPr>
          <w:rFonts w:ascii="Times New Roman" w:hAnsi="Times New Roman"/>
          <w:sz w:val="22"/>
        </w:rPr>
        <w:t>Evans, E. (2003). Domain-Driven Design: Tackling complexity in the heart of software. Addison-Wesley Professional.</w:t>
      </w:r>
    </w:p>
    <w:p>
      <w:pPr>
        <w:spacing w:after="160"/>
        <w:ind w:left="720"/>
        <w:jc w:val="both"/>
      </w:pPr>
      <w:r>
        <w:rPr>
          <w:b/>
          <w:color w:val="1E3A8A"/>
          <w:sz w:val="19"/>
        </w:rPr>
        <w:t xml:space="preserve">Aplicación en el Proyecto: </w:t>
      </w:r>
      <w:r>
        <w:rPr>
          <w:i/>
          <w:color w:val="475569"/>
          <w:sz w:val="19"/>
        </w:rPr>
        <w:t>Fundamento del patrón arquitectónico 'Anti-Corruption Layer' (ACL) justificado en el informe técnico de descarga, utilizado para aislar la aplicación móvil de las dependencias crípticas del servidor ministerial legacy.</w:t>
      </w:r>
    </w:p>
    <w:p>
      <w:pPr>
        <w:spacing w:after="80"/>
        <w:ind w:left="720" w:hanging="720"/>
        <w:jc w:val="both"/>
      </w:pPr>
      <w:r>
        <w:rPr>
          <w:rFonts w:ascii="Times New Roman" w:hAnsi="Times New Roman"/>
          <w:sz w:val="22"/>
        </w:rPr>
        <w:t>Streamlit Inc. (2024). Streamlit architecture and caching primitives: st.cache_data and resource lifecycle management. Snowflake Inc. https://docs.streamlit.io/</w:t>
      </w:r>
    </w:p>
    <w:p>
      <w:pPr>
        <w:spacing w:after="160"/>
        <w:ind w:left="720"/>
        <w:jc w:val="both"/>
      </w:pPr>
      <w:r>
        <w:rPr>
          <w:b/>
          <w:color w:val="1E3A8A"/>
          <w:sz w:val="19"/>
        </w:rPr>
        <w:t xml:space="preserve">Aplicación en el Proyecto: </w:t>
      </w:r>
      <w:r>
        <w:rPr>
          <w:i/>
          <w:color w:val="475569"/>
          <w:sz w:val="19"/>
        </w:rPr>
        <w:t>Documentación oficial utilizada para la implementación de la memoria caché con tiempo de vida de 1 hora (@st.cache_data(ttl=3600)), garantizando alta reactividad sin saturar los enlaces del MMA.</w:t>
      </w:r>
    </w:p>
    <w:p>
      <w:pPr>
        <w:spacing w:after="80"/>
        <w:ind w:left="720" w:hanging="720"/>
        <w:jc w:val="both"/>
      </w:pPr>
      <w:r>
        <w:rPr>
          <w:rFonts w:ascii="Times New Roman" w:hAnsi="Times New Roman"/>
          <w:sz w:val="22"/>
        </w:rPr>
        <w:t>Open-Meteo GmbH. (2024). Open-Meteo Weather Forecast API Documentation: High-resolution historical reanalysis and hourly forecasts. https://open-meteo.com/en/docs</w:t>
      </w:r>
    </w:p>
    <w:p>
      <w:pPr>
        <w:spacing w:after="160"/>
        <w:ind w:left="720"/>
        <w:jc w:val="both"/>
      </w:pPr>
      <w:r>
        <w:rPr>
          <w:b/>
          <w:color w:val="1E3A8A"/>
          <w:sz w:val="19"/>
        </w:rPr>
        <w:t xml:space="preserve">Aplicación en el Proyecto: </w:t>
      </w:r>
      <w:r>
        <w:rPr>
          <w:i/>
          <w:color w:val="475569"/>
          <w:sz w:val="19"/>
        </w:rPr>
        <w:t>Fuente referenciada en la propuesta de trabajo de titulación para la transición a un modelo multivariado, permitiendo incorporar sin costo Humedad Relativa, Temperatura a 2m y Velocidad del Viento a escala horaria.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