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sdt>
        <w:sdtPr>
          <w:id w:val="43941862"/>
          <w:tag w:val="goog_rdk_0"/>
        </w:sdtPr>
        <w:sdtContent/>
      </w:sdt>
      <w:r w:rsidDel="00000000" w:rsidR="00000000" w:rsidRPr="00000000">
        <w:rPr>
          <w:b w:val="1"/>
          <w:bCs w:val="1"/>
          <w:i w:val="0"/>
          <w:iCs w:val="0"/>
          <w:sz w:val="44"/>
          <w:szCs w:val="44"/>
          <w:rtl w:val="0"/>
        </w:rPr>
        <w:t xml:space="preserve">OrientaSede (Punto Único de Información)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30"/>
          <w:szCs w:val="30"/>
          <w:rtl w:val="0"/>
        </w:rPr>
        <w:t xml:space="preserve">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ind w:left="4818.897637795276" w:firstLine="0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Integrantes: Patricia Cavieres Navarro, Christofer Fuentes Ocaranza y Pablo Méndez Contreras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ind w:left="4818.897637795276" w:firstLine="0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Sección CAPSTONE_704D_OLS · Docente: Julio Tapia Acevedo · Metodología: Scrumban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Rule="auto"/>
        <w:ind w:left="4818.897637795276" w:firstLine="0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Versión 1.0 · 16 de octubre de 2026</w:t>
      </w:r>
      <w:r w:rsidDel="00000000" w:rsidR="00000000" w:rsidRPr="00000000">
        <w:rPr>
          <w:rtl w:val="0"/>
        </w:rPr>
      </w:r>
    </w:p>
    <w:p/>
    <w:p/>
    <w:p/>
    <w:p/>
    <w:p/>
    <w:p/>
    <w:sdt>
      <w:sdtPr>
        <w:id w:val="1263458022"/>
        <w:docPartObj>
          <w:docPartGallery w:val="Table of Contents"/>
          <w:docPartUnique w:val="1"/>
        </w:docPartObj>
      </w:sdtPr>
      <w:sdtContent>
        <w:p>
          <w:pPr>
            <w:pageBreakBefore/>
            <w:widowControl w:val="0"/>
            <w:tabs>
              <w:tab w:val="right" w:leader="none" w:pos="9350"/>
            </w:tabs>
            <w:spacing w:after="0" w:before="60" w:line="240" w:lineRule="auto"/>
            <w:ind w:left="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fldChar w:fldCharType="begin"/>
          </w: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instrText xml:space="preserve"> TOC \h \u \z \t "Heading 1,1,Heading 2,2," </w:instrText>
          </w: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fldChar w:fldCharType="separate"/>
          </w: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1. Introducción</w:t>
            <w:tab/>
            <w:t xml:space="preserve">3</w:t>
          </w:r>
        </w:p>
        <w:p>
          <w:pPr>
            <w:widowControl w:val="0"/>
            <w:tabs>
              <w:tab w:val="right" w:leader="none" w:pos="9350"/>
            </w:tabs>
            <w:spacing w:after="0" w:before="60" w:line="240" w:lineRule="auto"/>
            <w:ind w:left="36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1.1 Propósito</w:t>
            <w:tab/>
            <w:t xml:space="preserve">3</w:t>
          </w:r>
        </w:p>
        <w:p>
          <w:pPr>
            <w:widowControl w:val="0"/>
            <w:tabs>
              <w:tab w:val="right" w:leader="none" w:pos="9350"/>
            </w:tabs>
            <w:spacing w:after="0" w:before="60" w:line="240" w:lineRule="auto"/>
            <w:ind w:left="36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1.2 Organización de los requisitos</w:t>
            <w:tab/>
            <w:t xml:space="preserve">3</w:t>
          </w:r>
        </w:p>
        <w:p>
          <w:pPr>
            <w:widowControl w:val="0"/>
            <w:tabs>
              <w:tab w:val="right" w:leader="none" w:pos="9350"/>
            </w:tabs>
            <w:spacing w:after="0" w:before="60" w:line="240" w:lineRule="auto"/>
            <w:ind w:left="36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1.3 Condiciones que determinan las metas</w:t>
            <w:tab/>
            <w:t xml:space="preserve">3</w:t>
          </w:r>
        </w:p>
        <w:p>
          <w:pPr>
            <w:widowControl w:val="0"/>
            <w:tabs>
              <w:tab w:val="right" w:leader="none" w:pos="9350"/>
            </w:tabs>
            <w:spacing w:after="0" w:before="60" w:line="240" w:lineRule="auto"/>
            <w:ind w:left="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2. Seguridad</w:t>
            <w:tab/>
            <w:t xml:space="preserve">4</w:t>
          </w:r>
        </w:p>
        <w:p>
          <w:pPr>
            <w:widowControl w:val="0"/>
            <w:tabs>
              <w:tab w:val="right" w:leader="none" w:pos="9350"/>
            </w:tabs>
            <w:spacing w:after="0" w:before="60" w:line="240" w:lineRule="auto"/>
            <w:ind w:left="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3. Rendimiento</w:t>
            <w:tab/>
            <w:t xml:space="preserve">5</w:t>
          </w:r>
        </w:p>
        <w:p>
          <w:pPr>
            <w:widowControl w:val="0"/>
            <w:tabs>
              <w:tab w:val="right" w:leader="none" w:pos="9350"/>
            </w:tabs>
            <w:spacing w:after="0" w:before="60" w:line="240" w:lineRule="auto"/>
            <w:ind w:left="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4. Escalabilidad</w:t>
            <w:tab/>
            <w:t xml:space="preserve">5</w:t>
          </w:r>
        </w:p>
        <w:p>
          <w:pPr>
            <w:widowControl w:val="0"/>
            <w:tabs>
              <w:tab w:val="right" w:leader="none" w:pos="9350"/>
            </w:tabs>
            <w:spacing w:after="0" w:before="60" w:line="240" w:lineRule="auto"/>
            <w:ind w:left="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5. Disponibilidad</w:t>
            <w:tab/>
            <w:t xml:space="preserve">6</w:t>
          </w:r>
        </w:p>
        <w:p>
          <w:pPr>
            <w:widowControl w:val="0"/>
            <w:tabs>
              <w:tab w:val="right" w:leader="none" w:pos="9350"/>
            </w:tabs>
            <w:spacing w:after="0" w:before="60" w:line="240" w:lineRule="auto"/>
            <w:ind w:left="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6. Portabilidad</w:t>
            <w:tab/>
            <w:t xml:space="preserve">6</w:t>
          </w:r>
        </w:p>
        <w:p>
          <w:pPr>
            <w:widowControl w:val="0"/>
            <w:tabs>
              <w:tab w:val="right" w:leader="none" w:pos="9350"/>
            </w:tabs>
            <w:spacing w:after="0" w:before="60" w:line="240" w:lineRule="auto"/>
            <w:ind w:left="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7. Usabilidad</w:t>
            <w:tab/>
            <w:t xml:space="preserve">7</w:t>
          </w:r>
        </w:p>
        <w:p>
          <w:pPr>
            <w:widowControl w:val="0"/>
            <w:tabs>
              <w:tab w:val="right" w:leader="none" w:pos="9350"/>
            </w:tabs>
            <w:spacing w:after="0" w:before="60" w:line="240" w:lineRule="auto"/>
            <w:ind w:left="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8. Adaptabilidad</w:t>
            <w:tab/>
            <w:t xml:space="preserve">7</w:t>
          </w:r>
        </w:p>
        <w:p>
          <w:pPr>
            <w:widowControl w:val="0"/>
            <w:tabs>
              <w:tab w:val="right" w:leader="none" w:pos="9350"/>
            </w:tabs>
            <w:spacing w:after="0" w:before="60" w:line="240" w:lineRule="auto"/>
            <w:ind w:left="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9. Cobertura y alcance</w:t>
            <w:tab/>
            <w:t xml:space="preserve">8</w:t>
          </w:r>
        </w:p>
        <w:p>
          <w:pPr>
            <w:widowControl w:val="0"/>
            <w:tabs>
              <w:tab w:val="right" w:leader="none" w:pos="9350"/>
            </w:tabs>
            <w:spacing w:after="0" w:before="60" w:line="240" w:lineRule="auto"/>
            <w:ind w:left="36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9.1 Trazabilidad con el Plan de pruebas</w:t>
            <w:tab/>
            <w:t xml:space="preserve">8</w:t>
          </w:r>
        </w:p>
        <w:p>
          <w:pPr>
            <w:widowControl w:val="0"/>
            <w:tabs>
              <w:tab w:val="right" w:leader="none" w:pos="9350"/>
            </w:tabs>
            <w:spacing w:after="0" w:before="60" w:line="240" w:lineRule="auto"/>
            <w:ind w:left="360" w:firstLine="0"/>
          </w:pP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t xml:space="preserve">9.2 Lo que no se exige en esta etapa</w:t>
            <w:tab/>
            <w:t xml:space="preserve">8</w:t>
          </w:r>
          <w:r>
            <w:rPr>
              <w:rFonts w:ascii="Calibri" w:hAnsi="Calibri" w:cs="Calibri" w:eastAsia="Calibri"/>
              <w:b w:val="1"/>
              <w:bCs w:val="1"/>
              <w:color w:val="000000"/>
              <w:sz w:val="22"/>
              <w:szCs w:val="22"/>
            </w:rPr>
            <w:fldChar w:fldCharType="end"/>
          </w:r>
        </w:p>
      </w:sdtContent>
    </w:sdt>
    <w:p>
      <w:pPr>
        <w:pStyle w:val="Heading1"/>
        <w:pageBreakBefore/>
      </w:pPr>
      <w:r>
        <w:t>1. Introducción</w:t>
      </w:r>
    </w:p>
    <w:p>
      <w:pPr>
        <w:pStyle w:val="Heading2"/>
      </w:pPr>
      <w:r>
        <w:t>1.1 Propósito</w:t>
      </w:r>
    </w:p>
    <w:p>
      <w:pPr>
        <w:jc w:val="both"/>
      </w:pPr>
      <w:r>
        <w:rPr/>
        <w:t>Este documento reúne los requisitos no funcionales de OrientaSede (Punto Único de Información): las cualidades que el sistema debe tener además de las funciones que ofrece, cada una con una meta medible y los casos de prueba que la verifican. Desarrolla el apartado de requisitos no funcionales del Documento de Diseño y Arquitectura y sirve de referencia para el Plan de pruebas, para los criterios de aceptación del Product Backlog y para la Definition of Done.</w:t>
      </w:r>
    </w:p>
    <w:p>
      <w:pPr>
        <w:pStyle w:val="Heading2"/>
      </w:pPr>
      <w:r>
        <w:t>1.2 Organización de los requisitos</w:t>
      </w:r>
    </w:p>
    <w:p>
      <w:pPr>
        <w:jc w:val="both"/>
      </w:pPr>
      <w:r>
        <w:rPr/>
        <w:t>Los requisitos se agrupan en siete categorías. Cinco son las que exige la asignatura, que son seguridad, rendimiento, escalabilidad, disponibilidad y portabilidad con Docker, y dos las agrega el proyecto por su naturaleza: la usabilidad, porque el tótem se usa con el dedo en un espacio público, y la adaptabilidad, porque el sistema se concibe como una plataforma reutilizable. Cada requisito tiene un identificador formado por las tres letras de su categoría y un número, una meta que permite decidir si se cumple y la referencia a los casos del Plan de pruebas que lo verifican, de modo que ninguno quede sin comprobación.</w:t>
      </w:r>
    </w:p>
    <w:p>
      <w:pPr>
        <w:jc w:val="both"/>
      </w:pPr>
      <w:r>
        <w:rPr/>
        <w:t>Los valores de tiempo, de intentos y de retención son los valores iniciales propuestos para la sede piloto. Los que dependen de la operación de la institución, como la vigencia del código, el bloqueo del inicio de sesión o la inactividad del tótem, se guardan en la configuración del sistema y pueden ajustarse sin modificar el código.</w:t>
      </w:r>
    </w:p>
    <w:p>
      <w:pPr>
        <w:pStyle w:val="Heading2"/>
      </w:pPr>
      <w:r>
        <w:t>1.3 Condiciones que determinan las metas</w:t>
      </w:r>
    </w:p>
    <w:p>
      <w:pPr>
        <w:jc w:val="both"/>
      </w:pPr>
      <w:r>
        <w:rPr/>
        <w:t>Las metas se fijaron considerando que el sistema se ejecuta en un único equipo, un Dell OptiPlex 3000 Micro con 16 GB de memoria y Windows de 64 bits, que la sede no dispone de un servidor y que la solución depende de tres servicios externos que el equipo no controla: el envío de correo, Google Vision AI y la plataforma de enrolamiento. Por esa razón varios requisitos se refieren al comportamiento ante fallas y no a una disponibilidad porcentual.</w:t>
      </w:r>
    </w:p>
    <w:p>
      <w:pPr>
        <w:pStyle w:val="Heading1"/>
      </w:pPr>
      <w:r>
        <w:t>2. Seguridad</w:t>
      </w:r>
    </w:p>
    <w:p>
      <w:pPr>
        <w:keepNext/>
        <w:jc w:val="both"/>
      </w:pPr>
      <w:r>
        <w:rPr/>
        <w:t>La seguridad se plantea por capas, desde el equipo físico del tótem hasta los datos almacenados, como se detalla en el Documento de Diseño y Arquitectura. Dos condiciones del proyecto hacen que estos requisitos pesen más que en un sistema alojado en un servidor institucional: el tótem está en un espacio público y el backend y la base de datos se ejecutan en ese mismo equipo. Además, la fotografía de enrolamiento es un dato biométrico y recibe un tratamiento especial.</w:t>
      </w:r>
    </w:p>
    <w:tbl>
      <w:tblPr>
        <w:tblStyle w:val="Table1"/>
        <w:tblW w:w="936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3900"/>
        <w:gridCol w:w="3000"/>
        <w:gridCol w:w="1660"/>
      </w:tblGrid>
      <w:tr>
        <w:trPr>
          <w:cantSplit w:val="1"/>
          <w:tblHeader w:val="1"/>
        </w:trPr>
        <w:tc>
          <w:tcPr>
            <w:tcW w:w="8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9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Requisito</w:t>
            </w:r>
          </w:p>
        </w:tc>
        <w:tc>
          <w:tcPr>
            <w:tcW w:w="30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Meta</w:t>
            </w:r>
          </w:p>
        </w:tc>
        <w:tc>
          <w:tcPr>
            <w:tcW w:w="166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Verificación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SEG-01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Almacenamiento de contraseñas.</w:t>
            </w:r>
            <w:r>
              <w:rPr>
                <w:sz w:val="17"/>
              </w:rPr>
              <w:t xml:space="preserve"> Las contraseñas de los administradores se guardan solo como hash bcrypt, y el sistema no almacena contraseñas de los usuarios institucionales.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Ningún campo de la base de datos contiene una contraseña en texto legible.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PU-18, PS-09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SEG-02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Código de verificación.</w:t>
            </w:r>
            <w:r>
              <w:rPr>
                <w:sz w:val="17"/>
              </w:rPr>
              <w:t xml:space="preserve"> El código de un solo uso tiene seis dígitos, se guarda como hash, caduca y admite un número limitado de intentos.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Vigencia de 5 minutos y máximo de 3 intentos; un código usado o vencido se rechaza.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PU-09, PU-10, PU-11, PU-12, PS-07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SEG-03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Control de acceso administrativo.</w:t>
            </w:r>
            <w:r>
              <w:rPr>
                <w:sz w:val="17"/>
              </w:rPr>
              <w:t xml:space="preserve"> Toda ruta administrativa exige una sesión vigente de administrador y el permiso correspondiente a su rol, y el tótem no puede invocarlas.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Respuesta 401 sin sesión o con token inválido, y 403 sin permiso.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PU-20, PS-01, PS-02, PS-03, PS-04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SEG-04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Protección del inicio de sesión.</w:t>
            </w:r>
            <w:r>
              <w:rPr>
                <w:sz w:val="17"/>
              </w:rPr>
              <w:t xml:space="preserve"> El inicio de sesión se bloquea tras varios intentos fallidos y no revela cuál de los datos ingresados es incorrecto.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Bloqueo de 15 minutos tras 5 intentos fallidos; mismo mensaje ante un correo inexistente y una contraseña errónea.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PU-19, PS-08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SEG-05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Validación de los datos de entrada.</w:t>
            </w:r>
            <w:r>
              <w:rPr>
                <w:sz w:val="17"/>
              </w:rPr>
              <w:t xml:space="preserve"> El backend valida lo que recibe y accede a la base de datos mediante consultas parametrizadas.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Las cadenas de inyección de SQL y de scripts no alteran los resultados ni se ejecutan.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PS-10, PS-11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SEG-06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Gestión de secretos.</w:t>
            </w:r>
            <w:r>
              <w:rPr>
                <w:sz w:val="17"/>
              </w:rPr>
              <w:t xml:space="preserve"> Las credenciales y claves se entregan como variables de entorno o secretos de Docker y no se versionan.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Ninguna credencial ni archivo de entorno en el historial del repositorio.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PS-12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SEG-07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Protección de la fotografía.</w:t>
            </w:r>
            <w:r>
              <w:rPr>
                <w:sz w:val="17"/>
              </w:rPr>
              <w:t xml:space="preserve"> La fotografía de enrolamiento, que es un dato biométrico, se elimina al confirmarse su envío o al ser rechazada, y ninguna ruta del sistema la entrega.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Eliminación inmediata; si el envío falla por una causa técnica, conservación de 24 horas como máximo.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PU-17, PS-13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SEG-08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Exposición en la red.</w:t>
            </w:r>
            <w:r>
              <w:rPr>
                <w:sz w:val="17"/>
              </w:rPr>
              <w:t xml:space="preserve"> La base de datos no se publica fuera del equipo, y el puerto del backend acepta conexiones solo desde el computador del administrador.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La conexión al puerto de la base de datos desde otro equipo falla; el backend responde solo al administrador y a orígenes autorizados.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PS-05, PS-06, PS-18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SEG-09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Protección del equipo del tótem.</w:t>
            </w:r>
            <w:r>
              <w:rPr>
                <w:sz w:val="17"/>
              </w:rPr>
              <w:t xml:space="preserve"> El navegador opera en modo kiosco y la cuenta de Windows tiene permisos restringidos.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No es posible acceder al sistema operativo desde la interfaz del tótem.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PS-15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SEG-10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Aplicación de escritorio y dependencias.</w:t>
            </w:r>
            <w:r>
              <w:rPr>
                <w:sz w:val="17"/>
              </w:rPr>
              <w:t xml:space="preserve"> La aplicación de escritorio usa aislamiento de contexto y no integra Node.js en su interfaz, y las dependencias no tienen vulnerabilidades críticas.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Configuración de Electron verificada; sin vulnerabilidades críticas ni altas sin tratamiento.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PS-14, PS-16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SEG-11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Cifrado de las comunicaciones.</w:t>
            </w:r>
            <w:r>
              <w:rPr>
                <w:sz w:val="17"/>
              </w:rPr>
              <w:t xml:space="preserve"> Las conexiones hacia los servicios externos y entre la aplicación de escritorio y el backend usan HTTPS.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Todas las conexiones usan HTTPS; si la del escritorio no lo usa, queda documentado como limitación aceptada.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PS-17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SEG-12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Privacidad de los registros.</w:t>
            </w:r>
            <w:r>
              <w:rPr>
                <w:sz w:val="17"/>
              </w:rPr>
              <w:t xml:space="preserve"> El registro de consultas del tótem no guarda datos de las personas.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Se registran solo el tipo de consulta, el término y si hubo resultado.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PU-22</w:t>
            </w:r>
          </w:p>
        </w:tc>
      </w:tr>
    </w:tbl>
    <w:p>
      <w:pPr>
        <w:spacing w:after="0"/>
      </w:pPr>
    </w:p>
    <w:p>
      <w:pPr>
        <w:pStyle w:val="Heading1"/>
      </w:pPr>
      <w:r>
        <w:t>3. Rendimiento</w:t>
      </w:r>
    </w:p>
    <w:p>
      <w:pPr>
        <w:keepNext/>
        <w:jc w:val="both"/>
      </w:pPr>
      <w:r>
        <w:rPr/>
        <w:t>Las metas de rendimiento se fijan desde la perspectiva de quien usa el tótem, que espera una respuesta inmediata, y se miden sobre el equipo real y no sobre un entorno de desarrollo.</w:t>
      </w:r>
    </w:p>
    <w:tbl>
      <w:tblPr>
        <w:tblStyle w:val="Table1"/>
        <w:tblW w:w="936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3900"/>
        <w:gridCol w:w="3000"/>
        <w:gridCol w:w="1660"/>
      </w:tblGrid>
      <w:tr>
        <w:trPr>
          <w:cantSplit w:val="1"/>
          <w:tblHeader w:val="1"/>
        </w:trPr>
        <w:tc>
          <w:tcPr>
            <w:tcW w:w="8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9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Requisito</w:t>
            </w:r>
          </w:p>
        </w:tc>
        <w:tc>
          <w:tcPr>
            <w:tcW w:w="30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Meta</w:t>
            </w:r>
          </w:p>
        </w:tc>
        <w:tc>
          <w:tcPr>
            <w:tcW w:w="166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Verificación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REN-01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Búsqueda en la API.</w:t>
            </w:r>
            <w:r>
              <w:rPr>
                <w:sz w:val="17"/>
              </w:rPr>
              <w:t xml:space="preserve"> La API de Infraestructura y Salas responde con rapidez a la búsqueda de salas.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Percentil 95 menor que 500 milisegundos en 50 búsquedas sobre los datos del piso 3.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PR-01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REN-02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Búsqueda en la interfaz.</w:t>
            </w:r>
            <w:r>
              <w:rPr>
                <w:sz w:val="17"/>
              </w:rPr>
              <w:t xml:space="preserve"> Desde que la persona selecciona una coincidencia, la sala queda resaltada en el plano.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Menos de 2 segundos.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PR-02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REN-03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Carga del plano.</w:t>
            </w:r>
            <w:r>
              <w:rPr>
                <w:sz w:val="17"/>
              </w:rPr>
              <w:t xml:space="preserve"> El plano de cada piso se muestra en el navegador del tótem.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Menos de 2 segundos.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PR-04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REN-04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Duración del enrolamiento.</w:t>
            </w:r>
            <w:r>
              <w:rPr>
                <w:sz w:val="17"/>
              </w:rPr>
              <w:t xml:space="preserve"> El enrolamiento completo, desde que la persona ingresa su correo hasta que ve la confirmación, no se alarga si el código se ingresa sin demora.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Menos de 2 minutos en cada una de cinco pruebas con los servicios reales.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PR-05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REN-05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Consumo de recursos.</w:t>
            </w:r>
            <w:r>
              <w:rPr>
                <w:sz w:val="17"/>
              </w:rPr>
              <w:t xml:space="preserve"> El equipo del tótem ejecuta los contenedores y el navegador en modo kiosco sin degradar la interfaz.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Uso de memoria por debajo del 75 % de la disponible.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PR-07</w:t>
            </w:r>
          </w:p>
        </w:tc>
      </w:tr>
    </w:tbl>
    <w:p>
      <w:pPr>
        <w:spacing w:after="0"/>
      </w:pPr>
    </w:p>
    <w:p>
      <w:pPr>
        <w:pStyle w:val="Heading1"/>
      </w:pPr>
      <w:r>
        <w:t>4. Escalabilidad</w:t>
      </w:r>
    </w:p>
    <w:p>
      <w:pPr>
        <w:keepNext/>
        <w:jc w:val="both"/>
      </w:pPr>
      <w:r>
        <w:rPr/>
        <w:t>Esta etapa atiende a un único tótem, por lo que los requisitos de escalabilidad buscan dos cosas: que el sistema tenga holgura frente a la carga esperada y que la arquitectura permita crecer, sin rehacerla, si el piloto tiene buena acogida.</w:t>
      </w:r>
    </w:p>
    <w:tbl>
      <w:tblPr>
        <w:tblStyle w:val="Table1"/>
        <w:tblW w:w="936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3900"/>
        <w:gridCol w:w="3000"/>
        <w:gridCol w:w="1660"/>
      </w:tblGrid>
      <w:tr>
        <w:trPr>
          <w:cantSplit w:val="1"/>
          <w:tblHeader w:val="1"/>
        </w:trPr>
        <w:tc>
          <w:tcPr>
            <w:tcW w:w="8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9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Requisito</w:t>
            </w:r>
          </w:p>
        </w:tc>
        <w:tc>
          <w:tcPr>
            <w:tcW w:w="30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Meta</w:t>
            </w:r>
          </w:p>
        </w:tc>
        <w:tc>
          <w:tcPr>
            <w:tcW w:w="166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Verificación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ESC-01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Carga concurrente.</w:t>
            </w:r>
            <w:r>
              <w:rPr>
                <w:sz w:val="17"/>
              </w:rPr>
              <w:t xml:space="preserve"> Las rutas públicas de salas, áreas y preguntas frecuentes soportan más usuarios simultáneos que los de un único tótem.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Con 20 conexiones simultáneas durante 30 segundos, sin respuestas 5xx y con percentil 95 menor que 2 segundos.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PR-03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ESC-02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Mayor volumen de datos.</w:t>
            </w:r>
            <w:r>
              <w:rPr>
                <w:sz w:val="17"/>
              </w:rPr>
              <w:t xml:space="preserve"> Las búsquedas mantienen su tiempo cuando la institución carga más contenido que el piloto.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Con 500 espacios, 100 áreas y 200 preguntas frecuentes, percentil 95 menor que 2 segundos.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PR-09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ESC-03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Traslado del backend.</w:t>
            </w:r>
            <w:r>
              <w:rPr>
                <w:sz w:val="17"/>
              </w:rPr>
              <w:t xml:space="preserve"> El diseño desacoplado y contenerizado permite trasladar el backend a un servidor y conectar más tótems sin cambiar la arquitectura.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Se verifica por revisión del diseño; no requiere un caso de prueba en esta etapa.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Revisión del Documento de Diseño y Arquitectura</w:t>
            </w:r>
          </w:p>
        </w:tc>
      </w:tr>
    </w:tbl>
    <w:p>
      <w:pPr>
        <w:spacing w:after="0"/>
      </w:pPr>
    </w:p>
    <w:p>
      <w:pPr>
        <w:pStyle w:val="Heading1"/>
      </w:pPr>
      <w:r>
        <w:t>5. Disponibilidad</w:t>
      </w:r>
    </w:p>
    <w:p>
      <w:pPr>
        <w:keepNext/>
        <w:jc w:val="both"/>
      </w:pPr>
      <w:r>
        <w:rPr/>
        <w:t>El tótem es un equipo único y no cuenta con redundancia, por lo que la disponibilidad se define como el comportamiento ante las fallas: el sistema debe seguir entregando sus funciones principales cuando falla un servicio externo y recuperarse con rapidez cuando falla el equipo. No se fija un porcentaje de disponibilidad.</w:t>
      </w:r>
    </w:p>
    <w:tbl>
      <w:tblPr>
        <w:tblStyle w:val="Table1"/>
        <w:tblW w:w="936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3900"/>
        <w:gridCol w:w="3000"/>
        <w:gridCol w:w="1660"/>
      </w:tblGrid>
      <w:tr>
        <w:trPr>
          <w:cantSplit w:val="1"/>
          <w:tblHeader w:val="1"/>
        </w:trPr>
        <w:tc>
          <w:tcPr>
            <w:tcW w:w="8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9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Requisito</w:t>
            </w:r>
          </w:p>
        </w:tc>
        <w:tc>
          <w:tcPr>
            <w:tcW w:w="30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Meta</w:t>
            </w:r>
          </w:p>
        </w:tc>
        <w:tc>
          <w:tcPr>
            <w:tcW w:w="166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Verificación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DIS-01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Aislamiento de las fallas externas.</w:t>
            </w:r>
            <w:r>
              <w:rPr>
                <w:sz w:val="17"/>
              </w:rPr>
              <w:t xml:space="preserve"> La caída de Google Vision AI, del servicio de correo o del sistema de enrolamiento no bloquea el mapa, el directorio ni las preguntas frecuentes.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Las rutas de salas, áreas y preguntas frecuentes responden 200 y el enrolamiento responde con un error controlado.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PI-13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DIS-02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Funcionamiento sin internet.</w:t>
            </w:r>
            <w:r>
              <w:rPr>
                <w:sz w:val="17"/>
              </w:rPr>
              <w:t xml:space="preserve"> Sin conexión externa, las funciones de consulta siguen disponibles y el enrolamiento informa que no puede completarse.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El mapa, el directorio y las preguntas frecuentes funcionan con el equipo desconectado.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PA-09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DIS-03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Registro de las fallas.</w:t>
            </w:r>
            <w:r>
              <w:rPr>
                <w:sz w:val="17"/>
              </w:rPr>
              <w:t xml:space="preserve"> Cada falla de un servicio externo queda registrada para poder revisarla.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El registro indica el servicio, la operación y el mensaje de cada falla.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PU-23, PI-12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DIS-04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Recuperación ante fallas.</w:t>
            </w:r>
            <w:r>
              <w:rPr>
                <w:sz w:val="17"/>
              </w:rPr>
              <w:t xml:space="preserve"> El sistema se recupera de la detención de un contenedor o del reinicio del equipo sin perder datos, porque los contenedores se reinician automáticamente.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Recuperación con el comando de despliegue y sin pérdida de datos.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PA-07</w:t>
            </w:r>
          </w:p>
        </w:tc>
      </w:tr>
    </w:tbl>
    <w:p>
      <w:pPr>
        <w:spacing w:after="0"/>
      </w:pPr>
    </w:p>
    <w:p>
      <w:pPr>
        <w:pStyle w:val="Heading1"/>
      </w:pPr>
      <w:r>
        <w:t>6. Portabilidad</w:t>
      </w:r>
    </w:p>
    <w:p>
      <w:pPr>
        <w:keepNext/>
        <w:jc w:val="both"/>
      </w:pPr>
      <w:r>
        <w:rPr/>
        <w:t>La contenerización con Docker permite reinstalar el sistema en el equipo del tótem, o en otro equipo, sin configuración manual, y es lo que sostiene la mitigación del riesgo de concentrar todos los servicios en un solo computador.</w:t>
      </w:r>
    </w:p>
    <w:tbl>
      <w:tblPr>
        <w:tblStyle w:val="Table1"/>
        <w:tblW w:w="936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3900"/>
        <w:gridCol w:w="3000"/>
        <w:gridCol w:w="1660"/>
      </w:tblGrid>
      <w:tr>
        <w:trPr>
          <w:cantSplit w:val="1"/>
          <w:tblHeader w:val="1"/>
        </w:trPr>
        <w:tc>
          <w:tcPr>
            <w:tcW w:w="8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9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Requisito</w:t>
            </w:r>
          </w:p>
        </w:tc>
        <w:tc>
          <w:tcPr>
            <w:tcW w:w="30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Meta</w:t>
            </w:r>
          </w:p>
        </w:tc>
        <w:tc>
          <w:tcPr>
            <w:tcW w:w="166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Verificación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POR-01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Instalación desde cero.</w:t>
            </w:r>
            <w:r>
              <w:rPr>
                <w:sz w:val="17"/>
              </w:rPr>
              <w:t xml:space="preserve"> El sistema completo se instala con Docker en un equipo sin configuración previa siguiendo solo el README.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El sistema queda operativo, y se registran el tiempo y los pasos manuales necesarios.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PA-06, PI-20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POR-02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Arranque reproducible.</w:t>
            </w:r>
            <w:r>
              <w:rPr>
                <w:sz w:val="17"/>
              </w:rPr>
              <w:t xml:space="preserve"> El comando de despliegue deja el sistema funcionando sobre el equipo del tótem apagado y encendido.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Primera respuesta correcta de la API en menos de 2 minutos.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PR-08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POR-03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Configuración externa al código.</w:t>
            </w:r>
            <w:r>
              <w:rPr>
                <w:sz w:val="17"/>
              </w:rPr>
              <w:t xml:space="preserve"> Los parámetros de despliegue se definen en variables de entorno y la imagen del backend no contiene credenciales.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Todas las variables que usa el backend figuran en el archivo de ejemplo del repositorio.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PA-06, PS-12</w:t>
            </w:r>
          </w:p>
        </w:tc>
      </w:tr>
    </w:tbl>
    <w:p>
      <w:pPr>
        <w:spacing w:after="0"/>
      </w:pPr>
    </w:p>
    <w:p>
      <w:pPr>
        <w:pStyle w:val="Heading1"/>
      </w:pPr>
      <w:r>
        <w:t>7. Usabilidad</w:t>
      </w:r>
    </w:p>
    <w:p>
      <w:pPr>
        <w:keepNext/>
        <w:jc w:val="both"/>
      </w:pPr>
      <w:r>
        <w:rPr/>
        <w:t>El tótem lo usan personas de todo tipo, de pie, con el dedo y sin ayuda, de modo que la interfaz debe resolver cada tarea con rapidez y sin conocimientos previos.</w:t>
      </w:r>
    </w:p>
    <w:tbl>
      <w:tblPr>
        <w:tblStyle w:val="Table1"/>
        <w:tblW w:w="936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3900"/>
        <w:gridCol w:w="3000"/>
        <w:gridCol w:w="1660"/>
      </w:tblGrid>
      <w:tr>
        <w:trPr>
          <w:cantSplit w:val="1"/>
          <w:tblHeader w:val="1"/>
        </w:trPr>
        <w:tc>
          <w:tcPr>
            <w:tcW w:w="8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9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Requisito</w:t>
            </w:r>
          </w:p>
        </w:tc>
        <w:tc>
          <w:tcPr>
            <w:tcW w:w="30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Meta</w:t>
            </w:r>
          </w:p>
        </w:tc>
        <w:tc>
          <w:tcPr>
            <w:tcW w:w="166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Verificación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USA-01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Tamaño de los controles.</w:t>
            </w:r>
            <w:r>
              <w:rPr>
                <w:sz w:val="17"/>
              </w:rPr>
              <w:t xml:space="preserve"> Los botones de la aplicación web del tótem se pueden pulsar con el dedo.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Todos miden al menos 48 píxeles de alto.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PA-01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USA-02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Uso sin teclado físico.</w:t>
            </w:r>
            <w:r>
              <w:rPr>
                <w:sz w:val="17"/>
              </w:rPr>
              <w:t xml:space="preserve"> La persona ingresa su correo y el código con el teclado en pantalla.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El flujo de enrolamiento se completa sin teclado físico.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PA-02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USA-03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Inactividad.</w:t>
            </w:r>
            <w:r>
              <w:rPr>
                <w:sz w:val="17"/>
              </w:rPr>
              <w:t xml:space="preserve"> El tótem vuelve a la pantalla de inicio cuando nadie lo usa y no deja datos de la persona anterior.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A los 60 segundos sin uso vuelve al inicio, cancela la solicitud en curso y elimina la imagen pendiente.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PA-03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USA-04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Navegación del plano.</w:t>
            </w:r>
            <w:r>
              <w:rPr>
                <w:sz w:val="17"/>
              </w:rPr>
              <w:t xml:space="preserve"> El plano se desplaza y se amplía con el dedo.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Respuesta fluida y espacio seleccionado siempre resaltado.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PA-04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USA-05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Búsqueda tolerante.</w:t>
            </w:r>
            <w:r>
              <w:rPr>
                <w:sz w:val="17"/>
              </w:rPr>
              <w:t xml:space="preserve"> La búsqueda no distingue tildes ni mayúsculas y reconoce nombres alternativos de los espacios.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«Pañol», «PAÑOL» y «panol» devuelven el mismo espacio.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PU-01, PU-02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USA-06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Verificación del correo.</w:t>
            </w:r>
            <w:r>
              <w:rPr>
                <w:sz w:val="17"/>
              </w:rPr>
              <w:t xml:space="preserve"> La verificación del correo con el código es breve.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Menos de 1 minuto en cada una de cinco pruebas con el servicio real.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PR-06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USA-07</w:t>
            </w:r>
          </w:p>
        </w:tc>
        <w:tc>
          <w:tcPr>
            <w:tcW w:w="3900" w:type="dxa"/>
          </w:tcPr>
          <w:p>
            <w:pPr>
              <w:spacing w:after="40" w:before="40" w:line="240" w:lineRule="auto"/>
            </w:pPr>
            <w:r>
              <w:rPr>
                <w:b/>
                <w:sz w:val="17"/>
              </w:rPr>
              <w:t>Facilidad de uso.</w:t>
            </w:r>
            <w:r>
              <w:rPr>
                <w:sz w:val="17"/>
              </w:rPr>
              <w:t xml:space="preserve"> Una persona ajena al equipo ubica una sala y consulta una pregunta sin instrucciones previas.</w:t>
            </w:r>
          </w:p>
        </w:tc>
        <w:tc>
          <w:tcPr>
            <w:tcW w:w="300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Al menos 4 de 5 personas completan cada tarea en menos de 1 minuto.</w:t>
            </w:r>
          </w:p>
        </w:tc>
        <w:tc>
          <w:tcPr>
            <w:tcW w:w="1660" w:type="dxa"/>
          </w:tcPr>
          <w:p>
            <w:pPr>
              <w:spacing w:after="40" w:before="40" w:line="240" w:lineRule="auto"/>
            </w:pPr>
            <w:r>
              <w:rPr>
                <w:sz w:val="17"/>
              </w:rPr>
              <w:t>PA-05</w:t>
            </w:r>
          </w:p>
        </w:tc>
      </w:tr>
    </w:tbl>
    <w:p>
      <w:pPr>
        <w:spacing w:after="0"/>
      </w:pPr>
    </w:p>
    <w:p>
      <w:pPr>
        <w:pStyle w:val="Heading1"/>
      </w:pPr>
      <w:r>
        <w:t>8. Adaptabilidad</w:t>
      </w:r>
    </w:p>
    <w:p>
      <w:pPr>
        <w:keepNext/>
        <w:jc w:val="both"/>
      </w:pPr>
      <w:r>
        <w:rPr/>
        <w:t>Como el sistema es una plataforma que se instala una vez por institución, adaptarlo a otra debe consistir en cargar su información y no en modificar el código. Este requisito es propio del proyecto y no figura entre los ejemplos del instructivo de la asignatura.</w:t>
      </w:r>
    </w:p>
    <w:tbl>
      <w:tblPr>
        <w:tblStyle w:val="Table1"/>
        <w:tblW w:w="936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3900"/>
        <w:gridCol w:w="3000"/>
        <w:gridCol w:w="1660"/>
      </w:tblGrid>
      <w:tr>
        <w:trPr>
          <w:cantSplit w:val="1"/>
          <w:tblHeader w:val="1"/>
        </w:trPr>
        <w:tc>
          <w:tcPr>
            <w:tcW w:w="8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9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Requisito</w:t>
            </w:r>
          </w:p>
        </w:tc>
        <w:tc>
          <w:tcPr>
            <w:tcW w:w="30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Meta</w:t>
            </w:r>
          </w:p>
        </w:tc>
        <w:tc>
          <w:tcPr>
            <w:tcW w:w="166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Verificación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ADA-01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Cambio de institución.</w:t>
            </w:r>
            <w:r>
              <w:rPr>
                <w:sz w:val="17"/>
              </w:rPr>
              <w:t xml:space="preserve"> Incorporar otra institución exige solo cambiar la configuración, los planos y los contenidos y, si corresponde, el conector de enrolamiento.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El tótem muestra una institución de prueba, con otro nombre, logotipo, colores, dominios y plano, sin modificar el código.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PA-08, PU-21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ADA-02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Módulo de enrolamiento opcional.</w:t>
            </w:r>
            <w:r>
              <w:rPr>
                <w:sz w:val="17"/>
              </w:rPr>
              <w:t xml:space="preserve"> El módulo de enrolamiento se activa o desactiva por configuración sin afectar al resto del sistema.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Con el módulo inactivo, el tótem no ofrece el flujo y las demás funciones operan con normalidad.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PI-19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ADA-03</w:t>
            </w:r>
          </w:p>
        </w:tc>
        <w:tc>
          <w:tcPr>
            <w:tcW w:w="3900" w:type="dxa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7"/>
              </w:rPr>
              <w:t>Dominios de correo configurables.</w:t>
            </w:r>
            <w:r>
              <w:rPr>
                <w:sz w:val="17"/>
              </w:rPr>
              <w:t xml:space="preserve"> Los dominios de correo aceptados para el enrolamiento son un dato de cada institución.</w:t>
            </w:r>
          </w:p>
        </w:tc>
        <w:tc>
          <w:tcPr>
            <w:tcW w:w="300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Se aceptan los dominios configurados y se rechazan los demás.</w:t>
            </w:r>
          </w:p>
        </w:tc>
        <w:tc>
          <w:tcPr>
            <w:tcW w:w="1660" w:type="dxa"/>
          </w:tcPr>
          <w:p>
            <w:pPr>
              <w:keepNext/>
              <w:spacing w:after="40" w:before="40" w:line="240" w:lineRule="auto"/>
            </w:pPr>
            <w:r>
              <w:rPr>
                <w:sz w:val="17"/>
              </w:rPr>
              <w:t>PU-13</w:t>
            </w:r>
          </w:p>
        </w:tc>
      </w:tr>
    </w:tbl>
    <w:p>
      <w:pPr>
        <w:spacing w:after="0"/>
      </w:pPr>
    </w:p>
    <w:p>
      <w:pPr>
        <w:pStyle w:val="Heading1"/>
      </w:pPr>
      <w:r>
        <w:t>9. Cobertura y alcance</w:t>
      </w:r>
    </w:p>
    <w:p>
      <w:pPr>
        <w:pStyle w:val="Heading2"/>
      </w:pPr>
      <w:r>
        <w:t>9.1 Trazabilidad con el Plan de pruebas</w:t>
      </w:r>
    </w:p>
    <w:p>
      <w:pPr>
        <w:keepNext/>
        <w:jc w:val="both"/>
      </w:pPr>
      <w:r>
        <w:rPr/>
        <w:t>Todos los requisitos, salvo el traslado del backend, que se comprueba por revisión del diseño, cuentan con al menos un caso del Plan de pruebas, y todos los casos del plan que verifican un requisito no funcional están citados en este documento. La tabla siguiente resume la cobertura por categoría.</w:t>
      </w:r>
    </w:p>
    <w:tbl>
      <w:tblPr>
        <w:tblStyle w:val="Table1"/>
        <w:tblW w:w="936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1500"/>
        <w:gridCol w:w="3300"/>
        <w:gridCol w:w="2160"/>
      </w:tblGrid>
      <w:tr>
        <w:trPr>
          <w:cantSplit w:val="1"/>
          <w:tblHeader w:val="1"/>
        </w:trPr>
        <w:tc>
          <w:tcPr>
            <w:tcW w:w="24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8"/>
              </w:rPr>
              <w:t>Categoría</w:t>
            </w:r>
          </w:p>
        </w:tc>
        <w:tc>
          <w:tcPr>
            <w:tcW w:w="15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8"/>
              </w:rPr>
              <w:t>Requisitos</w:t>
            </w:r>
          </w:p>
        </w:tc>
        <w:tc>
          <w:tcPr>
            <w:tcW w:w="330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8"/>
              </w:rPr>
              <w:t>Casos del plan que los verifican</w:t>
            </w:r>
          </w:p>
        </w:tc>
        <w:tc>
          <w:tcPr>
            <w:tcW w:w="2160" w:type="dxa"/>
            <w:shd w:fill="d9d9d9" w:val="clear"/>
          </w:tcPr>
          <w:p>
            <w:pPr>
              <w:keepNext/>
              <w:spacing w:after="40" w:before="40" w:line="240" w:lineRule="auto"/>
            </w:pPr>
            <w:r>
              <w:rPr>
                <w:b/>
                <w:sz w:val="18"/>
              </w:rPr>
              <w:t>Identificadores</w:t>
            </w:r>
          </w:p>
        </w:tc>
      </w:tr>
      <w:tr>
        <w:trPr>
          <w:cantSplit w:val="1"/>
        </w:trPr>
        <w:tc>
          <w:tcPr>
            <w:tcW w:w="24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Seguridad</w:t>
            </w:r>
          </w:p>
        </w:tc>
        <w:tc>
          <w:tcPr>
            <w:tcW w:w="15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33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27</w:t>
            </w:r>
          </w:p>
        </w:tc>
        <w:tc>
          <w:tcPr>
            <w:tcW w:w="216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SEG-01 a SEG-12</w:t>
            </w:r>
          </w:p>
        </w:tc>
      </w:tr>
      <w:tr>
        <w:trPr>
          <w:cantSplit w:val="1"/>
        </w:trPr>
        <w:tc>
          <w:tcPr>
            <w:tcW w:w="24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Rendimiento</w:t>
            </w:r>
          </w:p>
        </w:tc>
        <w:tc>
          <w:tcPr>
            <w:tcW w:w="15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33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REN-01 a REN-05</w:t>
            </w:r>
          </w:p>
        </w:tc>
      </w:tr>
      <w:tr>
        <w:trPr>
          <w:cantSplit w:val="1"/>
        </w:trPr>
        <w:tc>
          <w:tcPr>
            <w:tcW w:w="24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Escalabilidad</w:t>
            </w:r>
          </w:p>
        </w:tc>
        <w:tc>
          <w:tcPr>
            <w:tcW w:w="15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3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ESC-01 a ESC-03</w:t>
            </w:r>
          </w:p>
        </w:tc>
      </w:tr>
      <w:tr>
        <w:trPr>
          <w:cantSplit w:val="1"/>
        </w:trPr>
        <w:tc>
          <w:tcPr>
            <w:tcW w:w="24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Disponibilidad</w:t>
            </w:r>
          </w:p>
        </w:tc>
        <w:tc>
          <w:tcPr>
            <w:tcW w:w="15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33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DIS-01 a DIS-04</w:t>
            </w:r>
          </w:p>
        </w:tc>
      </w:tr>
      <w:tr>
        <w:trPr>
          <w:cantSplit w:val="1"/>
        </w:trPr>
        <w:tc>
          <w:tcPr>
            <w:tcW w:w="24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Portabilidad</w:t>
            </w:r>
          </w:p>
        </w:tc>
        <w:tc>
          <w:tcPr>
            <w:tcW w:w="15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3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POR-01 a POR-03</w:t>
            </w:r>
          </w:p>
        </w:tc>
      </w:tr>
      <w:tr>
        <w:trPr>
          <w:cantSplit w:val="1"/>
        </w:trPr>
        <w:tc>
          <w:tcPr>
            <w:tcW w:w="24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Usabilidad</w:t>
            </w:r>
          </w:p>
        </w:tc>
        <w:tc>
          <w:tcPr>
            <w:tcW w:w="15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33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USA-01 a USA-07</w:t>
            </w:r>
          </w:p>
        </w:tc>
      </w:tr>
      <w:tr>
        <w:trPr>
          <w:cantSplit w:val="1"/>
        </w:trPr>
        <w:tc>
          <w:tcPr>
            <w:tcW w:w="24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Adaptabilidad</w:t>
            </w:r>
          </w:p>
        </w:tc>
        <w:tc>
          <w:tcPr>
            <w:tcW w:w="15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30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>
            <w:pPr>
              <w:keepNext/>
              <w:spacing w:after="40" w:before="40" w:line="240" w:lineRule="auto"/>
            </w:pPr>
            <w:r>
              <w:rPr>
                <w:sz w:val="18"/>
              </w:rPr>
              <w:t>ADA-01 a ADA-03</w:t>
            </w:r>
          </w:p>
        </w:tc>
      </w:tr>
      <w:tr>
        <w:trPr>
          <w:cantSplit w:val="1"/>
        </w:trPr>
        <w:tc>
          <w:tcPr>
            <w:tcW w:w="2400" w:type="dxa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Total</w:t>
            </w:r>
          </w:p>
        </w:tc>
        <w:tc>
          <w:tcPr>
            <w:tcW w:w="1500" w:type="dxa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37</w:t>
            </w:r>
          </w:p>
        </w:tc>
        <w:tc>
          <w:tcPr>
            <w:tcW w:w="3300" w:type="dxa"/>
          </w:tcPr>
          <w:p>
            <w:pPr>
              <w:spacing w:after="40" w:before="40" w:line="240" w:lineRule="auto"/>
            </w:pPr>
            <w:r>
              <w:rPr>
                <w:sz w:val="18"/>
              </w:rPr>
              <w:t>54</w:t>
            </w:r>
          </w:p>
        </w:tc>
        <w:tc>
          <w:tcPr>
            <w:tcW w:w="2160" w:type="dxa"/>
          </w:tcPr>
          <w:p>
            <w:pPr>
              <w:spacing w:after="40" w:before="4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t>9.2 Lo que no se exige en esta etapa</w:t>
      </w:r>
    </w:p>
    <w:p>
      <w:pPr>
        <w:jc w:val="both"/>
      </w:pPr>
      <w:r>
        <w:rPr/>
        <w:t>Algunas cualidades habituales en sistemas en producción quedan fuera de esta etapa porque dependen de infraestructura que la sede no tiene disponible para el proyecto: la segmentación de red con un cortafuegos institucional, el monitoreo centralizado de eventos, las copias de respaldo en un servidor externo, el cifrado del disco del tótem y una meta de disponibilidad porcentual. El Documento de Diseño y Arquitectura las registra como mejoras si el piloto continúa, y el diseño con contenedores y servicios desacoplados no impide incorporarlas.</w:t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OrientaSede (Punto Único de Información) · Requisitos No Funcionales · 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214563" cy="555492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4563" cy="5554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20" w:lineRule="auto"/>
    </w:pPr>
    <w:rPr>
      <w:rFonts w:ascii="Calibri" w:cs="Calibri" w:eastAsia="Calibri" w:hAnsi="Calibri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3SsREV6ZUTjV+Biyk5WaPXr85Q==">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iuAIKCnRleHQvcGxhaW4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qSgoRUGF0cmljaWEgQ2F2aWVyZXMaNS8vc3NsLmdzdGF0aWMuY29tL2RvY3MvY29tbW9uL2JsdWVfc2lsaG91ZXR0ZTk2LTAucG5nMNje+P2TNDjY3vj9kzRyTAoRUGF0cmljaWEgQ2F2aWVyZXMaNwo1Ly9zc2wuZ3N0YXRpYy5jb20vZG9jcy9jb21tb24vYmx1ZV9zaWxob3VldHRlOTYtMC5wbmd4AIgBAZoBBggAEAAYAKoBrAI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L5AQoKdGV4dC9wbGFpbh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pKChFQYXRyaWNpYSBDYXZpZXJlcxo1Ly9zc2wuZ3N0YXRpYy5jb20vZG9jcy9jb21tb24vYmx1ZV9zaWxob3VldHRlOTYtMC5wbmcw2N74/ZM0ONje+P2TNHJMChFQYXRyaWNpYSBDYXZpZXJlcxo3CjUvL3NzbC5nc3RhdGljLmNvbS9kb2NzL2NvbW1vbi9ibHVlX3NpbGhvdWV0dGU5Ni0wLnBuZ3gAiAEBmgEGCAAQABgAqgHtAR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rABALgBAcgBABjY3vj9kzQg2N74/ZM0MABCCWtpeC5jbXQxOSK4CgoLQUFBQ0lJV0ozb0ESjQoKC0FBQUNJSVdKM29BEgtBQUFDSUlXSjNvQRr6AQoJdGV4dC9odG1s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6wAQC4AQHIAQAY2N74/ZM0IOyWm4CUNDAAQglraXguY210MTUilQ4KC0FBQUNJSVdKM25nEusNCgtBQUFDSUlXSjNuZxILQUFBQ0lJV0ozbmcahgQKCXRleHQvaHRtbB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KHBAoKdGV4dC9wbGFpbh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pKChFQYXRyaWNpYSBDYXZpZXJlcxo1Ly9zc2wuZ3N0YXRpYy5jb20vZG9jcy9jb21tb24vYmx1ZV9zaWxob3VldHRlOTYtMC5wbmcw2N74/ZM0ONje+P2TNHJMChFQYXRyaWNpYSBDYXZpZXJlcxo3CjUvL3NzbC5nc3RhdGljLmNvbS9kb2NzL2NvbW1vbi9ibHVlX3NpbGhvdWV0dGU5Ni0wLnBuZ3gAiAEBmgEGCAAQABgAqgH7Ax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Patricia Cavieres Navarro, Christofer Fuentes Ocaranza y Pablo Méndez Contreras</dc:creator>
  <dc:title>Requisitos No Funcionales · OrientaSede</dc:title>
  <dc:description/>
  <cp:lastModifiedBy/>
  <dc:subject>OrientaSede (Punto Único de Información)</dc:subject>
</cp:coreProperties>
</file>