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spacing w:after="0" w:before="400"/>
        <w:jc w:val="center"/>
      </w:pPr>
      <w:r>
        <w:rPr>
          <w:b/>
          <w:sz w:val="40"/>
        </w:rPr>
        <w:t>Resumen de la</w:t>
      </w:r>
    </w:p>
    <w:p>
      <w:pPr>
        <w:spacing w:after="80" w:before="0"/>
        <w:jc w:val="center"/>
      </w:pPr>
      <w:r>
        <w:rPr>
          <w:b/>
          <w:sz w:val="40"/>
        </w:rPr>
        <w:t>Reunión Retrospectiva</w:t>
      </w:r>
    </w:p>
    <w:p>
      <w:pPr>
        <w:spacing w:after="280" w:before="0"/>
        <w:jc w:val="center"/>
      </w:pPr>
      <w:r>
        <w:rPr>
          <w:b w:val="0"/>
          <w:sz w:val="24"/>
        </w:rPr>
        <w:t>Sprint 2: 6 al 19 de octubre de 2026</w:t>
      </w:r>
    </w:p>
    <w:p>
      <w:pPr>
        <w:keepNext/>
        <w:spacing w:after="80" w:before="0"/>
      </w:pPr>
      <w:r>
        <w:rPr>
          <w:b/>
          <w:sz w:val="24"/>
        </w:rPr>
        <w:t>Información de la empresa y proyecto:</w:t>
      </w:r>
    </w:p>
    <w:tbl>
      <w:tblPr>
        <w:tblStyle w:val="Tablaconcuadrcula"/>
        <w:tblW w:w="8838" w:type="dxa"/>
        <w:tblLayout w:type="fixed"/>
        <w:tblLook w:firstColumn="1" w:firstRow="1" w:lastColumn="0" w:lastRow="0" w:noHBand="0" w:noVBand="1" w:val="04A0"/>
      </w:tblPr>
      <w:tblGrid>
        <w:gridCol w:w="3000"/>
        <w:gridCol w:w="5838"/>
      </w:tblGrid>
      <w:tr>
        <w:tc>
          <w:tcPr>
            <w:tcW w:type="dxa" w:w="3000"/>
            <w:shd w:val="clear" w:color="auto" w:fill="C6D9F1"/>
          </w:tcPr>
          <w:p>
            <w:pPr>
              <w:spacing w:after="20" w:before="20"/>
            </w:pPr>
            <w:r>
              <w:rPr>
                <w:b/>
                <w:sz w:val="22"/>
              </w:rPr>
              <w:t>Empresa / Organización</w:t>
            </w:r>
          </w:p>
        </w:tc>
        <w:tc>
          <w:tcPr>
            <w:tcW w:type="dxa" w:w="5838"/>
          </w:tcPr>
          <w:p>
            <w:pPr>
              <w:spacing w:after="20" w:before="20"/>
            </w:pPr>
            <w:r>
              <w:rPr>
                <w:b w:val="0"/>
                <w:sz w:val="22"/>
              </w:rPr>
              <w:t>Duoc UC, sede Puente Alto. Escuela de Informática y Telecomunicaciones</w:t>
            </w:r>
          </w:p>
        </w:tc>
      </w:tr>
      <w:tr>
        <w:tc>
          <w:tcPr>
            <w:tcW w:type="dxa" w:w="3000"/>
            <w:shd w:val="clear" w:color="auto" w:fill="C6D9F1"/>
          </w:tcPr>
          <w:p>
            <w:pPr>
              <w:spacing w:after="20" w:before="20"/>
            </w:pPr>
            <w:r>
              <w:rPr>
                <w:b/>
                <w:sz w:val="22"/>
              </w:rPr>
              <w:t>Proyecto</w:t>
            </w:r>
          </w:p>
        </w:tc>
        <w:tc>
          <w:tcPr>
            <w:tcW w:type="dxa" w:w="5838"/>
          </w:tcPr>
          <w:p>
            <w:pPr>
              <w:spacing w:after="20" w:before="20"/>
            </w:pPr>
            <w:r>
              <w:rPr>
                <w:b w:val="0"/>
                <w:sz w:val="22"/>
              </w:rPr>
              <w:t>OrientaSede (Punto Único de Información)</w:t>
            </w:r>
          </w:p>
        </w:tc>
      </w:tr>
    </w:tbl>
    <w:p>
      <w:pPr>
        <w:spacing w:after="160" w:before="0"/>
      </w:pPr>
    </w:p>
    <w:p>
      <w:pPr>
        <w:keepNext/>
        <w:spacing w:after="80" w:before="0"/>
      </w:pPr>
      <w:r>
        <w:rPr>
          <w:b/>
          <w:sz w:val="24"/>
        </w:rPr>
        <w:t>Información de la reunión:</w:t>
      </w:r>
    </w:p>
    <w:tbl>
      <w:tblPr>
        <w:tblStyle w:val="Tablaconcuadrcula"/>
        <w:tblW w:w="8838" w:type="dxa"/>
        <w:tblLayout w:type="fixed"/>
        <w:tblLook w:firstColumn="1" w:firstRow="1" w:lastColumn="0" w:lastRow="0" w:noHBand="0" w:noVBand="1" w:val="04A0"/>
      </w:tblPr>
      <w:tblGrid>
        <w:gridCol w:w="3000"/>
        <w:gridCol w:w="5838"/>
      </w:tblGrid>
      <w:tr>
        <w:trPr>
          <w:trHeight w:val="400"/>
        </w:trPr>
        <w:tc>
          <w:tcPr>
            <w:tcW w:type="dxa" w:w="3000"/>
            <w:shd w:val="clear" w:color="auto" w:fill="C6D9F1"/>
          </w:tcPr>
          <w:p>
            <w:pPr>
              <w:spacing w:after="20" w:before="20"/>
            </w:pPr>
            <w:r>
              <w:rPr>
                <w:b/>
                <w:sz w:val="22"/>
              </w:rPr>
              <w:t>Lugar</w:t>
            </w:r>
          </w:p>
        </w:tc>
        <w:tc>
          <w:tcPr>
            <w:tcW w:type="dxa" w:w="5838"/>
          </w:tcPr>
          <w:p>
            <w:pPr>
              <w:spacing w:after="20" w:before="20"/>
            </w:pPr>
            <w:r>
              <w:rPr>
                <w:b w:val="0"/>
                <w:sz w:val="22"/>
              </w:rPr>
            </w:r>
          </w:p>
        </w:tc>
      </w:tr>
      <w:tr>
        <w:trPr>
          <w:trHeight w:val="400"/>
        </w:trPr>
        <w:tc>
          <w:tcPr>
            <w:tcW w:type="dxa" w:w="3000"/>
            <w:shd w:val="clear" w:color="auto" w:fill="C6D9F1"/>
          </w:tcPr>
          <w:p>
            <w:pPr>
              <w:spacing w:after="20" w:before="20"/>
            </w:pPr>
            <w:r>
              <w:rPr>
                <w:b/>
                <w:sz w:val="22"/>
              </w:rPr>
              <w:t>Fecha</w:t>
            </w:r>
          </w:p>
        </w:tc>
        <w:tc>
          <w:tcPr>
            <w:tcW w:type="dxa" w:w="5838"/>
          </w:tcPr>
          <w:p>
            <w:pPr>
              <w:spacing w:after="20" w:before="20"/>
            </w:pPr>
            <w:r>
              <w:rPr>
                <w:b w:val="0"/>
                <w:sz w:val="22"/>
              </w:rPr>
            </w:r>
          </w:p>
        </w:tc>
      </w:tr>
      <w:tr>
        <w:tc>
          <w:tcPr>
            <w:tcW w:type="dxa" w:w="3000"/>
            <w:shd w:val="clear" w:color="auto" w:fill="C6D9F1"/>
          </w:tcPr>
          <w:p>
            <w:pPr>
              <w:spacing w:after="20" w:before="20"/>
            </w:pPr>
            <w:r>
              <w:rPr>
                <w:b/>
                <w:sz w:val="22"/>
              </w:rPr>
              <w:t>Número de iteración / sprint</w:t>
            </w:r>
          </w:p>
        </w:tc>
        <w:tc>
          <w:tcPr>
            <w:tcW w:type="dxa" w:w="5838"/>
          </w:tcPr>
          <w:p>
            <w:pPr>
              <w:spacing w:after="20" w:before="20"/>
            </w:pPr>
            <w:r>
              <w:rPr>
                <w:b w:val="0"/>
                <w:sz w:val="22"/>
              </w:rPr>
              <w:t>Sprint 2 (6 al 19 de octubre de 2026)</w:t>
            </w:r>
          </w:p>
        </w:tc>
      </w:tr>
      <w:tr>
        <w:tc>
          <w:tcPr>
            <w:tcW w:type="dxa" w:w="3000"/>
            <w:shd w:val="clear" w:color="auto" w:fill="C6D9F1"/>
          </w:tcPr>
          <w:p>
            <w:pPr>
              <w:spacing w:after="20" w:before="20"/>
            </w:pPr>
            <w:r>
              <w:rPr>
                <w:b/>
                <w:sz w:val="22"/>
              </w:rPr>
              <w:t>Personas convocadas a la reunión</w:t>
            </w:r>
          </w:p>
        </w:tc>
        <w:tc>
          <w:tcPr>
            <w:tcW w:type="dxa" w:w="5838"/>
          </w:tcPr>
          <w:p>
            <w:pPr>
              <w:spacing w:after="20" w:before="20"/>
            </w:pPr>
            <w:r>
              <w:rPr>
                <w:b w:val="0"/>
                <w:sz w:val="22"/>
              </w:rPr>
              <w:t>Patricia Cavieres Navarro</w:t>
            </w:r>
          </w:p>
          <w:p>
            <w:pPr>
              <w:spacing w:after="20" w:before="20"/>
            </w:pPr>
            <w:r>
              <w:rPr>
                <w:sz w:val="22"/>
              </w:rPr>
              <w:t>Christofer Fuentes Ocaranza</w:t>
            </w:r>
          </w:p>
          <w:p>
            <w:pPr>
              <w:spacing w:after="20" w:before="20"/>
            </w:pPr>
            <w:r>
              <w:rPr>
                <w:sz w:val="22"/>
              </w:rPr>
              <w:t>Pablo Méndez Contreras</w:t>
            </w:r>
          </w:p>
        </w:tc>
      </w:tr>
      <w:tr>
        <w:trPr>
          <w:trHeight w:val="1100"/>
        </w:trPr>
        <w:tc>
          <w:tcPr>
            <w:tcW w:type="dxa" w:w="3000"/>
            <w:shd w:val="clear" w:color="auto" w:fill="C6D9F1"/>
          </w:tcPr>
          <w:p>
            <w:pPr>
              <w:spacing w:after="20" w:before="20"/>
            </w:pPr>
            <w:r>
              <w:rPr>
                <w:b/>
                <w:sz w:val="22"/>
              </w:rPr>
              <w:t>Personas que asistieron a la reunión</w:t>
            </w:r>
          </w:p>
        </w:tc>
        <w:tc>
          <w:tcPr>
            <w:tcW w:type="dxa" w:w="5838"/>
          </w:tcPr>
          <w:p>
            <w:pPr>
              <w:spacing w:after="20" w:before="20"/>
            </w:pPr>
            <w:r>
              <w:rPr>
                <w:b w:val="0"/>
                <w:sz w:val="22"/>
              </w:rPr>
            </w:r>
          </w:p>
        </w:tc>
      </w:tr>
    </w:tbl>
    <w:p>
      <w:pPr>
        <w:spacing w:after="80" w:before="0"/>
      </w:pPr>
    </w:p>
    <w:p>
      <w:pPr>
        <w:sectPr>
          <w:headerReference w:type="default" r:id="rId9"/>
          <w:footerReference w:type="default" r:id="rId10"/>
          <w:pgSz w:w="12240" w:h="15840"/>
          <w:pgMar w:top="1418" w:right="1701" w:bottom="1418" w:left="1701" w:header="709" w:footer="709" w:gutter="0"/>
          <w:cols w:space="708"/>
          <w:docGrid w:linePitch="360"/>
        </w:sectPr>
      </w:pPr>
    </w:p>
    <w:p>
      <w:pPr>
        <w:spacing w:after="160" w:before="0"/>
        <w:jc w:val="center"/>
      </w:pPr>
      <w:r>
        <w:rPr>
          <w:b/>
          <w:sz w:val="28"/>
        </w:rPr>
        <w:t>Formulario de reunión retrospectiva</w:t>
      </w:r>
    </w:p>
    <w:tbl>
      <w:tblPr>
        <w:tblStyle w:val="Tablaconcuadrcula"/>
        <w:tblW w:w="12438" w:type="dxa"/>
        <w:tblLayout w:type="fixed"/>
        <w:tblLook w:firstColumn="1" w:firstRow="1" w:lastColumn="0" w:lastRow="0" w:noHBand="0" w:noVBand="1" w:val="04A0"/>
      </w:tblPr>
      <w:tblGrid>
        <w:gridCol w:w="4146"/>
        <w:gridCol w:w="4146"/>
        <w:gridCol w:w="4146"/>
      </w:tblGrid>
      <w:tr>
        <w:tc>
          <w:tcPr>
            <w:tcW w:type="dxa" w:w="4146"/>
            <w:shd w:val="clear" w:color="auto" w:fill="C6D9F1"/>
          </w:tcPr>
          <w:p>
            <w:pPr>
              <w:spacing w:after="20" w:before="20"/>
              <w:jc w:val="center"/>
            </w:pPr>
            <w:r>
              <w:rPr>
                <w:b/>
                <w:sz w:val="22"/>
              </w:rPr>
              <w:t>¿Qué salió bien en la iteración? (aciertos)</w:t>
            </w:r>
          </w:p>
        </w:tc>
        <w:tc>
          <w:tcPr>
            <w:tcW w:type="dxa" w:w="4146"/>
            <w:shd w:val="clear" w:color="auto" w:fill="C6D9F1"/>
          </w:tcPr>
          <w:p>
            <w:pPr>
              <w:spacing w:after="20" w:before="20"/>
              <w:jc w:val="center"/>
            </w:pPr>
            <w:r>
              <w:rPr>
                <w:b/>
                <w:sz w:val="22"/>
              </w:rPr>
              <w:t>¿Qué no salió bien en la iteración? (errores)</w:t>
            </w:r>
          </w:p>
        </w:tc>
        <w:tc>
          <w:tcPr>
            <w:tcW w:type="dxa" w:w="4146"/>
            <w:shd w:val="clear" w:color="auto" w:fill="C6D9F1"/>
          </w:tcPr>
          <w:p>
            <w:pPr>
              <w:spacing w:after="20" w:before="20"/>
              <w:jc w:val="center"/>
            </w:pPr>
            <w:r>
              <w:rPr>
                <w:b/>
                <w:sz w:val="22"/>
              </w:rPr>
              <w:t>¿Qué mejoras vamos a implementar en la próxima iteración? (recomendaciones de mejora continua)</w:t>
            </w:r>
          </w:p>
        </w:tc>
      </w:tr>
      <w:tr>
        <w:tc>
          <w:tcPr>
            <w:tcW w:type="dxa" w:w="4146"/>
          </w:tcPr>
          <w:p>
            <w:pPr>
              <w:numPr>
                <w:ilvl w:val="0"/>
                <w:numId w:val="7"/>
              </w:numPr>
              <w:spacing w:after="100"/>
              <w:ind w:left="300" w:hanging="240"/>
            </w:pPr>
            <w:r>
              <w:rPr>
                <w:sz w:val="21"/>
              </w:rPr>
              <w:t>Se completó el diseño del modelo de datos, de 32 tablas normalizadas, con su diccionario de datos y sus diagramas entidad-relación.</w:t>
            </w:r>
          </w:p>
          <w:p>
            <w:pPr>
              <w:numPr>
                <w:ilvl w:val="0"/>
                <w:numId w:val="7"/>
              </w:numPr>
              <w:spacing w:after="100"/>
              <w:ind w:left="300" w:hanging="240"/>
            </w:pPr>
            <w:r>
              <w:rPr>
                <w:sz w:val="21"/>
              </w:rPr>
              <w:t>Se consolidó la documentación técnica del proyecto: Product Vision, Product Backlog versión 2.0, Definition of Done, Plan de pruebas, Especificación de casos de uso, diagramas UML y mockup de la aplicación de escritorio.</w:t>
            </w:r>
          </w:p>
          <w:p>
            <w:pPr>
              <w:numPr>
                <w:ilvl w:val="0"/>
                <w:numId w:val="7"/>
              </w:numPr>
              <w:spacing w:after="100"/>
              <w:ind w:left="300" w:hanging="240"/>
            </w:pPr>
            <w:r>
              <w:rPr>
                <w:sz w:val="21"/>
              </w:rPr>
              <w:t>Las decisiones de alcance (mapa solo bidimensional, directorio por áreas y verificación del correo con un código de un solo uso) quedaron documentadas y reflejadas en los documentos del proyecto.</w:t>
            </w:r>
          </w:p>
          <w:p>
            <w:pPr>
              <w:numPr>
                <w:ilvl w:val="0"/>
                <w:numId w:val="7"/>
              </w:numPr>
              <w:spacing w:after="100"/>
              <w:ind w:left="300" w:hanging="240"/>
            </w:pPr>
            <w:r>
              <w:rPr>
                <w:sz w:val="21"/>
              </w:rPr>
              <w:t>Se definió la estructura del repositorio con su README, el esquema Prisma y la nomenclatura de archivos que exige la asignatura.</w:t>
            </w:r>
          </w:p>
        </w:tc>
        <w:tc>
          <w:tcPr>
            <w:tcW w:type="dxa" w:w="4146"/>
          </w:tcPr>
          <w:p>
            <w:pPr>
              <w:numPr>
                <w:ilvl w:val="0"/>
                <w:numId w:val="7"/>
              </w:numPr>
              <w:spacing w:after="100"/>
              <w:ind w:left="300" w:hanging="240"/>
            </w:pPr>
            <w:r>
              <w:rPr>
                <w:sz w:val="21"/>
              </w:rPr>
              <w:t>El Acta de Constitución y la Carta Gantt no se actualizaron cuando cambió el alcance, por lo que todavía mencionan el mapa tridimensional, Microsoft Entra ID, treinta tablas y una distribución de responsabilidades distinta de la del informe.</w:t>
            </w:r>
          </w:p>
          <w:p>
            <w:pPr>
              <w:numPr>
                <w:ilvl w:val="0"/>
                <w:numId w:val="7"/>
              </w:numPr>
              <w:spacing w:after="100"/>
              <w:ind w:left="300" w:hanging="240"/>
            </w:pPr>
            <w:r>
              <w:rPr>
                <w:sz w:val="21"/>
              </w:rPr>
              <w:t>Los sprints no contaron con un Sprint Backlog con tareas y horas estimadas, de modo que el avance no pudo medirse con un gráfico de burndown ni revisarse en una reunión diaria.</w:t>
            </w:r>
          </w:p>
          <w:p>
            <w:pPr>
              <w:numPr>
                <w:ilvl w:val="0"/>
                <w:numId w:val="7"/>
              </w:numPr>
              <w:spacing w:after="100"/>
              <w:ind w:left="300" w:hanging="240"/>
            </w:pPr>
            <w:r>
              <w:rPr>
                <w:sz w:val="21"/>
              </w:rPr>
              <w:t>La aprobación institucional de Microsoft Entra ID no pudo completarse a tiempo, lo que obligó a rediseñar la verificación de identidad y a corregir los documentos que ya la describían.</w:t>
            </w:r>
          </w:p>
        </w:tc>
        <w:tc>
          <w:tcPr>
            <w:tcW w:type="dxa" w:w="4146"/>
          </w:tcPr>
          <w:p>
            <w:pPr>
              <w:numPr>
                <w:ilvl w:val="0"/>
                <w:numId w:val="7"/>
              </w:numPr>
              <w:spacing w:after="100"/>
              <w:ind w:left="300" w:hanging="240"/>
            </w:pPr>
            <w:r>
              <w:rPr>
                <w:sz w:val="21"/>
              </w:rPr>
              <w:t>Realizar una reunión de Sprint Planning al inicio de cada sprint y registrar el Sprint Backlog con las tareas y las horas estimadas.</w:t>
            </w:r>
          </w:p>
          <w:p>
            <w:pPr>
              <w:numPr>
                <w:ilvl w:val="0"/>
                <w:numId w:val="7"/>
              </w:numPr>
              <w:spacing w:after="100"/>
              <w:ind w:left="300" w:hanging="240"/>
            </w:pPr>
            <w:r>
              <w:rPr>
                <w:sz w:val="21"/>
              </w:rPr>
              <w:t>Registrar la reunión diaria y actualizar el gráfico de burndown todos los días del sprint.</w:t>
            </w:r>
          </w:p>
          <w:p>
            <w:pPr>
              <w:numPr>
                <w:ilvl w:val="0"/>
                <w:numId w:val="7"/>
              </w:numPr>
              <w:spacing w:after="100"/>
              <w:ind w:left="300" w:hanging="240"/>
            </w:pPr>
            <w:r>
              <w:rPr>
                <w:sz w:val="21"/>
              </w:rPr>
              <w:t>Actualizar el Acta de Constitución y la Carta Gantt, y mantener consistentes todos los documentos cuando cambie una decisión, dentro del mismo sprint.</w:t>
            </w:r>
          </w:p>
          <w:p>
            <w:pPr>
              <w:numPr>
                <w:ilvl w:val="0"/>
                <w:numId w:val="7"/>
              </w:numPr>
              <w:spacing w:after="100"/>
              <w:ind w:left="300" w:hanging="240"/>
            </w:pPr>
            <w:r>
              <w:rPr>
                <w:sz w:val="21"/>
              </w:rPr>
              <w:t>Revisar la Definition of Done antes de mover cada historia a Hecho y registrar los resultados en el Plan de pruebas.</w:t>
            </w:r>
          </w:p>
        </w:tc>
      </w:tr>
    </w:tbl>
    <w:sectPr w:rsidR="00282FAA" w:rsidRPr="00282FAA" w:rsidSect="00AC4A6B">
      <w:headerReference w:type="default" r:id="rId9"/>
      <w:footerReference w:type="default" r:id="rId10"/>
      <w:pgSz w:w="15840" w:h="12240" w:orient="landscape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F019E" w:rsidRDefault="002F019E" w:rsidP="001A7D2F">
      <w:pPr>
        <w:spacing w:after="0" w:line="240" w:lineRule="auto"/>
      </w:pPr>
      <w:r>
        <w:separator/>
      </w:r>
    </w:p>
  </w:endnote>
  <w:endnote w:type="continuationSeparator" w:id="0">
    <w:p w:rsidR="002F019E" w:rsidRDefault="002F019E" w:rsidP="001A7D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72B0" w:rsidRDefault="000257A2" w:rsidP="005F72B0">
    <w:pPr>
      <w:pStyle w:val="Piedepgina"/>
      <w:jc w:val="center"/>
      <w:rPr>
        <w:sz w:val="20"/>
        <w:szCs w:val="20"/>
      </w:rPr>
    </w:pPr>
    <w:r>
      <w:rPr>
        <w:sz w:val="18"/>
      </w:rPr>
      <w:t xml:space="preserve">OrientaSede (Punto Único de Información) · Resumen de la Reunión Retrospectiva · 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 xml:space="preserve">1</w:t>
    </w:r>
    <w:r>
      <w:rPr>
        <w:sz w:val="18"/>
      </w:rPr>
      <w:fldChar w:fldCharType="end"/>
    </w:r>
  </w:p>
  <w:p w:rsidR="005F72B0" w:rsidRDefault="005F72B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F019E" w:rsidRDefault="002F019E" w:rsidP="001A7D2F">
      <w:pPr>
        <w:spacing w:after="0" w:line="240" w:lineRule="auto"/>
      </w:pPr>
      <w:r>
        <w:separator/>
      </w:r>
    </w:p>
  </w:footnote>
  <w:footnote w:type="continuationSeparator" w:id="0">
    <w:p w:rsidR="002F019E" w:rsidRDefault="002F019E" w:rsidP="001A7D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71E67" w:rsidRPr="00E71E67" w:rsidRDefault="000257A2" w:rsidP="00E71E67">
    <w:pP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  <w:lang w:val="es-AR"/>
      </w:rPr>
    </w:pPr>
    <w:r w:rsidRPr="000257A2">
      <w:rPr>
        <w:rFonts w:ascii="Calibri" w:eastAsia="Calibri" w:hAnsi="Calibri" w:cs="Times New Roman"/>
        <w:lang w:val="es-AR"/>
      </w:rPr>
      <w:t>Resumen de la Reunión Retrospectiva</w:t>
    </w:r>
  </w:p>
  <w:p w:rsidR="00E71E67" w:rsidRPr="00E71E67" w:rsidRDefault="00E71E67" w:rsidP="00E71E67">
    <w:pPr>
      <w:pBdr>
        <w:bottom w:val="single" w:sz="4" w:space="1" w:color="auto"/>
      </w:pBd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  <w:lang w:val="es-AR"/>
      </w:rPr>
    </w:pPr>
    <w:r w:rsidRPr="00E71E67">
      <w:rPr>
        <w:rFonts w:ascii="Calibri" w:eastAsia="Calibri" w:hAnsi="Calibri" w:cs="Times New Roman"/>
        <w:noProof/>
        <w:lang w:eastAsia="es-CL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B4738"/>
    <w:multiLevelType w:val="hybridMultilevel"/>
    <w:tmpl w:val="09CC1D5C"/>
    <w:lvl w:ilvl="0" w:tplc="BC3614C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2C0058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C087A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A2CD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86845F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D74E2D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4C3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E8C100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37AF9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C54F6"/>
    <w:multiLevelType w:val="hybridMultilevel"/>
    <w:tmpl w:val="62FCD072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2F652F"/>
    <w:multiLevelType w:val="hybridMultilevel"/>
    <w:tmpl w:val="2D741FDA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725540"/>
    <w:multiLevelType w:val="hybridMultilevel"/>
    <w:tmpl w:val="907A3E22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802D13"/>
    <w:multiLevelType w:val="hybridMultilevel"/>
    <w:tmpl w:val="42229CF6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FF6AB1"/>
    <w:multiLevelType w:val="hybridMultilevel"/>
    <w:tmpl w:val="B0183888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0711FB"/>
    <w:multiLevelType w:val="hybridMultilevel"/>
    <w:tmpl w:val="EA427A3A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4B7EB6"/>
    <w:multiLevelType w:val="hybridMultilevel"/>
    <w:tmpl w:val="C6AEB640"/>
    <w:lvl w:ilvl="0" w:tplc="4D38C8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E86D12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618ED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80A9D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B746A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82EB4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54FC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60D2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A474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0B27C4"/>
    <w:multiLevelType w:val="hybridMultilevel"/>
    <w:tmpl w:val="A4BC37E8"/>
    <w:lvl w:ilvl="0" w:tplc="6AE8C00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8"/>
  </w:num>
  <w:num w:numId="4">
    <w:abstractNumId w:val="3"/>
  </w:num>
  <w:num w:numId="5">
    <w:abstractNumId w:val="2"/>
  </w:num>
  <w:num w:numId="6">
    <w:abstractNumId w:val="5"/>
  </w:num>
  <w:num w:numId="7">
    <w:abstractNumId w:val="0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F02"/>
    <w:rsid w:val="00005FA5"/>
    <w:rsid w:val="000257A2"/>
    <w:rsid w:val="000A25DE"/>
    <w:rsid w:val="000A2611"/>
    <w:rsid w:val="000E4F9E"/>
    <w:rsid w:val="00104AF9"/>
    <w:rsid w:val="001A65E9"/>
    <w:rsid w:val="001A7D2F"/>
    <w:rsid w:val="00225F02"/>
    <w:rsid w:val="00252DE3"/>
    <w:rsid w:val="00255429"/>
    <w:rsid w:val="00282FAA"/>
    <w:rsid w:val="002B3193"/>
    <w:rsid w:val="002C589F"/>
    <w:rsid w:val="002D10DA"/>
    <w:rsid w:val="002D197B"/>
    <w:rsid w:val="002D4AD6"/>
    <w:rsid w:val="002F019E"/>
    <w:rsid w:val="002F0238"/>
    <w:rsid w:val="00366EB5"/>
    <w:rsid w:val="00380438"/>
    <w:rsid w:val="003A4967"/>
    <w:rsid w:val="003F7B52"/>
    <w:rsid w:val="00403D57"/>
    <w:rsid w:val="005F3456"/>
    <w:rsid w:val="005F6738"/>
    <w:rsid w:val="005F72B0"/>
    <w:rsid w:val="00616CDB"/>
    <w:rsid w:val="00637A91"/>
    <w:rsid w:val="00663FDD"/>
    <w:rsid w:val="006828A5"/>
    <w:rsid w:val="00686725"/>
    <w:rsid w:val="007B13BB"/>
    <w:rsid w:val="007B22B6"/>
    <w:rsid w:val="007E558D"/>
    <w:rsid w:val="00803D30"/>
    <w:rsid w:val="008053DC"/>
    <w:rsid w:val="008B0358"/>
    <w:rsid w:val="009141F7"/>
    <w:rsid w:val="0092145B"/>
    <w:rsid w:val="009268A6"/>
    <w:rsid w:val="009E382B"/>
    <w:rsid w:val="00A136F9"/>
    <w:rsid w:val="00A217B4"/>
    <w:rsid w:val="00AC4A6B"/>
    <w:rsid w:val="00AF3E50"/>
    <w:rsid w:val="00B1795B"/>
    <w:rsid w:val="00B83719"/>
    <w:rsid w:val="00BE686E"/>
    <w:rsid w:val="00C46046"/>
    <w:rsid w:val="00C47D88"/>
    <w:rsid w:val="00CA628E"/>
    <w:rsid w:val="00CC60AD"/>
    <w:rsid w:val="00D316DF"/>
    <w:rsid w:val="00D651C4"/>
    <w:rsid w:val="00D96333"/>
    <w:rsid w:val="00DA18AF"/>
    <w:rsid w:val="00E71E67"/>
    <w:rsid w:val="00E92C5B"/>
    <w:rsid w:val="00F330E9"/>
    <w:rsid w:val="00F42764"/>
    <w:rsid w:val="00F943EA"/>
    <w:rsid w:val="00FE0A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72989A26"/>
  <w15:docId w15:val="{5EB49113-11FB-4D97-B671-A1028AFB1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2C589F"/>
  </w:style>
  <w:style w:type="paragraph" w:styleId="Ttulo1">
    <w:name w:val="heading 1"/>
    <w:basedOn w:val="Normal"/>
    <w:next w:val="Normal"/>
    <w:link w:val="Ttulo1Car"/>
    <w:qFormat/>
    <w:rsid w:val="00616C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616C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eastAsia="Times New Roman" w:hAnsi="Arial" w:cs="Times New Roman"/>
      <w:b w:val="0"/>
      <w:bCs w:val="0"/>
      <w:i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eastAsia="Times New Roman" w:hAnsi="Arial" w:cs="Times New Roman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eastAsia="Times New Roman" w:hAnsi="Verdana" w:cs="Times New Roman"/>
      <w:szCs w:val="20"/>
      <w:lang w:val="en-US"/>
    </w:rPr>
  </w:style>
  <w:style w:type="paragraph" w:styleId="Ttulo6">
    <w:name w:val="heading 6"/>
    <w:basedOn w:val="Normal"/>
    <w:next w:val="Normal"/>
    <w:link w:val="Ttulo6Car"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eastAsia="Times New Roman" w:hAnsi="Verdana" w:cs="Times New Roman"/>
      <w:i/>
      <w:szCs w:val="20"/>
      <w:lang w:val="en-US"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qFormat/>
    <w:rsid w:val="005F3456"/>
    <w:pPr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link w:val="Ttulo3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9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0443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5365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12997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56362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22066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580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89620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7460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9357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373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1352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1355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7494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01406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A54BE9-9E74-4752-A839-963E68A079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209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ExpeUEW7</Company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Patricia Cavieres Navarro</dc:creator>
  <cp:lastModifiedBy>Patricia Cavieres Navarro</cp:lastModifiedBy>
  <cp:revision>5</cp:revision>
  <dcterms:created xsi:type="dcterms:W3CDTF">2020-02-08T04:24:00Z</dcterms:created>
  <dcterms:modified xsi:type="dcterms:W3CDTF">2020-02-24T07:59:00Z</dcterms:modified>
  <dc:title>Resumen de la Reunión Retrospectiva OrientaSede (Punto Único de Información)</dc:title>
</cp:coreProperties>
</file>