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C6C" w:rsidRPr="00453357" w:rsidRDefault="00453357">
      <w:pPr>
        <w:rPr>
          <w:b/>
          <w:lang w:val="de-DE"/>
        </w:rPr>
      </w:pPr>
      <w:r w:rsidRPr="00453357">
        <w:rPr>
          <w:b/>
          <w:sz w:val="24"/>
          <w:lang w:val="de-DE"/>
        </w:rPr>
        <w:t>Zusatz für Paper mit Julia</w:t>
      </w:r>
    </w:p>
    <w:p w:rsidR="00DB1847" w:rsidRPr="00DB1847" w:rsidRDefault="00DB1847" w:rsidP="00DB1847">
      <w:pPr>
        <w:rPr>
          <w:i/>
          <w:lang w:val="de-DE"/>
        </w:rPr>
      </w:pPr>
      <w:r w:rsidRPr="00DB1847">
        <w:rPr>
          <w:i/>
          <w:lang w:val="de-DE"/>
        </w:rPr>
        <w:t>Allgemein</w:t>
      </w:r>
    </w:p>
    <w:p w:rsidR="00424672" w:rsidRDefault="00424672" w:rsidP="00453357">
      <w:pPr>
        <w:pStyle w:val="Listenabsatz"/>
        <w:numPr>
          <w:ilvl w:val="0"/>
          <w:numId w:val="1"/>
        </w:numPr>
      </w:pPr>
      <w:bookmarkStart w:id="0" w:name="_GoBack"/>
      <w:bookmarkEnd w:id="0"/>
    </w:p>
    <w:p w:rsidR="00DB1847" w:rsidRDefault="00DB1847" w:rsidP="00DB1847"/>
    <w:p w:rsidR="00DB1847" w:rsidRPr="00DB1847" w:rsidRDefault="00DB1847" w:rsidP="00DB1847">
      <w:pPr>
        <w:rPr>
          <w:i/>
        </w:rPr>
      </w:pPr>
      <w:r w:rsidRPr="00DB1847">
        <w:rPr>
          <w:i/>
        </w:rPr>
        <w:t>Limitations/discussion</w:t>
      </w:r>
    </w:p>
    <w:p w:rsidR="00DB1847" w:rsidRDefault="00DB1847" w:rsidP="00453357">
      <w:pPr>
        <w:pStyle w:val="Listenabsatz"/>
        <w:numPr>
          <w:ilvl w:val="0"/>
          <w:numId w:val="1"/>
        </w:numPr>
      </w:pPr>
      <w:r>
        <w:t>Lastly</w:t>
      </w:r>
      <w:proofErr w:type="gramStart"/>
      <w:r>
        <w:t>,  not</w:t>
      </w:r>
      <w:proofErr w:type="gramEnd"/>
      <w:r>
        <w:t xml:space="preserve"> only the younger generation can be in need of   family support.  </w:t>
      </w:r>
      <w:proofErr w:type="gramStart"/>
      <w:r>
        <w:t>With  increasing</w:t>
      </w:r>
      <w:proofErr w:type="gramEnd"/>
      <w:r>
        <w:t xml:space="preserve"> age, the parents’ likelihood of  being in need of  personal care or support in everyday tasks.</w:t>
      </w:r>
    </w:p>
    <w:p w:rsidR="00DB1847" w:rsidRDefault="00DB1847" w:rsidP="00DB1847">
      <w:pPr>
        <w:pStyle w:val="Listenabsatz"/>
        <w:numPr>
          <w:ilvl w:val="1"/>
          <w:numId w:val="1"/>
        </w:numPr>
        <w:rPr>
          <w:lang w:val="de-DE"/>
        </w:rPr>
      </w:pPr>
      <w:r w:rsidRPr="00DB1847">
        <w:rPr>
          <w:lang w:val="de-DE"/>
        </w:rPr>
        <w:t>Können wir anhand des Datensatzes nicht analysieren</w:t>
      </w:r>
    </w:p>
    <w:p w:rsidR="0078461A" w:rsidRDefault="0078461A" w:rsidP="0078461A">
      <w:pPr>
        <w:pStyle w:val="Listenabsatz"/>
        <w:numPr>
          <w:ilvl w:val="0"/>
          <w:numId w:val="1"/>
        </w:numPr>
      </w:pPr>
      <w:r w:rsidRPr="0078461A">
        <w:t xml:space="preserve">Over the </w:t>
      </w:r>
      <w:proofErr w:type="gramStart"/>
      <w:r w:rsidRPr="0078461A">
        <w:t>last  decades</w:t>
      </w:r>
      <w:proofErr w:type="gramEnd"/>
      <w:r w:rsidRPr="0078461A">
        <w:t xml:space="preserve">, an increasing number of   “boomerang kids” returned to their parents’ home after periods of  independent  living (Kaplan, 2012). In addition, the share of   so called “stay-at-homes”, </w:t>
      </w:r>
      <w:proofErr w:type="gramStart"/>
      <w:r w:rsidRPr="0078461A">
        <w:t>adult  children</w:t>
      </w:r>
      <w:proofErr w:type="gramEnd"/>
      <w:r w:rsidRPr="0078461A">
        <w:t xml:space="preserve"> who have never left home, is on the rise (</w:t>
      </w:r>
      <w:proofErr w:type="spellStart"/>
      <w:r w:rsidRPr="0078461A">
        <w:t>Ogg</w:t>
      </w:r>
      <w:proofErr w:type="spellEnd"/>
      <w:r w:rsidRPr="0078461A">
        <w:t xml:space="preserve"> and </w:t>
      </w:r>
      <w:proofErr w:type="spellStart"/>
      <w:r w:rsidRPr="0078461A">
        <w:t>Renaut</w:t>
      </w:r>
      <w:proofErr w:type="spellEnd"/>
      <w:r w:rsidRPr="0078461A">
        <w:t>,  2006).</w:t>
      </w:r>
    </w:p>
    <w:p w:rsidR="0048253D" w:rsidRDefault="0048253D" w:rsidP="0048253D">
      <w:pPr>
        <w:pStyle w:val="Listenabsatz"/>
        <w:numPr>
          <w:ilvl w:val="0"/>
          <w:numId w:val="1"/>
        </w:numPr>
      </w:pPr>
      <w:r>
        <w:t xml:space="preserve">According to </w:t>
      </w:r>
      <w:proofErr w:type="spellStart"/>
      <w:r>
        <w:t>Fogli</w:t>
      </w:r>
      <w:proofErr w:type="spellEnd"/>
      <w:r>
        <w:t xml:space="preserve"> (</w:t>
      </w:r>
      <w:proofErr w:type="spellStart"/>
      <w:r>
        <w:t>Fogli</w:t>
      </w:r>
      <w:proofErr w:type="spellEnd"/>
      <w:r>
        <w:t>, 2000), the fact  that  leaving the parental  home is ﬁrst  of   all  considered a ﬁnal decision incites insecure young adults to delay residential independence as well.  As  gerontologist Choi summarizes “it appears  that  some adult children who continued  to  live in  their  parents’  households might never  have gained economic or other necessary momentum to leave their nests in the first place” (Choi,  2003, p.385).</w:t>
      </w:r>
    </w:p>
    <w:p w:rsidR="000F366B" w:rsidRDefault="000F366B" w:rsidP="0048253D">
      <w:pPr>
        <w:pStyle w:val="Listenabsatz"/>
        <w:numPr>
          <w:ilvl w:val="0"/>
          <w:numId w:val="1"/>
        </w:numPr>
      </w:pPr>
      <w:r>
        <w:t>However</w:t>
      </w:r>
      <w:proofErr w:type="gramStart"/>
      <w:r>
        <w:t>,  young</w:t>
      </w:r>
      <w:proofErr w:type="gramEnd"/>
      <w:r>
        <w:t xml:space="preserve"> adults,  who themselves do not  have the  resources to  aﬀord independent   living,  might  receive monetary support from their  parents.   As can be expected</w:t>
      </w:r>
      <w:proofErr w:type="gramStart"/>
      <w:r>
        <w:t>,  such</w:t>
      </w:r>
      <w:proofErr w:type="gramEnd"/>
      <w:r>
        <w:t xml:space="preserve"> aids strongly  decrease the likelihood of   moving back in with the parents in case of  unemployment  and can be considered an alternative option to cohabitation (Mitchell et al.,  2004).</w:t>
      </w:r>
    </w:p>
    <w:p w:rsidR="005459D1" w:rsidRDefault="005459D1" w:rsidP="0048253D">
      <w:pPr>
        <w:pStyle w:val="Listenabsatz"/>
        <w:numPr>
          <w:ilvl w:val="0"/>
          <w:numId w:val="1"/>
        </w:numPr>
      </w:pPr>
      <w:proofErr w:type="gramStart"/>
      <w:r>
        <w:t>aﬀordability  of</w:t>
      </w:r>
      <w:proofErr w:type="gramEnd"/>
      <w:r>
        <w:t xml:space="preserve">  independent living!</w:t>
      </w:r>
    </w:p>
    <w:p w:rsidR="001B3CCE" w:rsidRDefault="001B3CCE" w:rsidP="0048253D">
      <w:pPr>
        <w:pStyle w:val="Listenabsatz"/>
        <w:numPr>
          <w:ilvl w:val="0"/>
          <w:numId w:val="1"/>
        </w:numPr>
      </w:pPr>
      <w:proofErr w:type="gramStart"/>
      <w:r>
        <w:t>perceived</w:t>
      </w:r>
      <w:proofErr w:type="gramEnd"/>
      <w:r>
        <w:t xml:space="preserve"> appropriate age for a young adult to gain residential independence!</w:t>
      </w:r>
    </w:p>
    <w:p w:rsidR="00A719E1" w:rsidRPr="0078461A" w:rsidRDefault="00A719E1" w:rsidP="0048253D">
      <w:pPr>
        <w:pStyle w:val="Listenabsatz"/>
        <w:numPr>
          <w:ilvl w:val="0"/>
          <w:numId w:val="1"/>
        </w:numPr>
      </w:pPr>
      <w:r>
        <w:t>Support bank model (</w:t>
      </w:r>
      <w:proofErr w:type="spellStart"/>
      <w:r>
        <w:t>Antonucci</w:t>
      </w:r>
      <w:proofErr w:type="spellEnd"/>
      <w:r>
        <w:t>, 1990)</w:t>
      </w:r>
    </w:p>
    <w:p w:rsidR="005E7123" w:rsidRPr="0078461A" w:rsidRDefault="005E7123" w:rsidP="005E7123"/>
    <w:p w:rsidR="005E7123" w:rsidRPr="005E7123" w:rsidRDefault="005E7123" w:rsidP="005E7123">
      <w:pPr>
        <w:rPr>
          <w:i/>
          <w:lang w:val="de-DE"/>
        </w:rPr>
      </w:pPr>
      <w:r>
        <w:rPr>
          <w:i/>
          <w:lang w:val="de-DE"/>
        </w:rPr>
        <w:t xml:space="preserve">Sample / </w:t>
      </w:r>
      <w:proofErr w:type="spellStart"/>
      <w:r>
        <w:rPr>
          <w:i/>
          <w:lang w:val="de-DE"/>
        </w:rPr>
        <w:t>selection</w:t>
      </w:r>
      <w:proofErr w:type="spellEnd"/>
    </w:p>
    <w:p w:rsidR="005E7123" w:rsidRPr="005E7123" w:rsidRDefault="005E7123" w:rsidP="005E7123">
      <w:pPr>
        <w:pStyle w:val="Listenabsatz"/>
        <w:numPr>
          <w:ilvl w:val="0"/>
          <w:numId w:val="1"/>
        </w:numPr>
      </w:pPr>
      <w:r>
        <w:t>Depending on the adopted perspective</w:t>
      </w:r>
      <w:proofErr w:type="gramStart"/>
      <w:r>
        <w:t>,  e.g</w:t>
      </w:r>
      <w:proofErr w:type="gramEnd"/>
      <w:r>
        <w:t xml:space="preserve">.  </w:t>
      </w:r>
      <w:proofErr w:type="gramStart"/>
      <w:r>
        <w:t>development</w:t>
      </w:r>
      <w:proofErr w:type="gramEnd"/>
      <w:r>
        <w:t xml:space="preserve"> or socialization, the </w:t>
      </w:r>
      <w:proofErr w:type="spellStart"/>
      <w:r>
        <w:t>deﬁni</w:t>
      </w:r>
      <w:proofErr w:type="spellEnd"/>
      <w:r>
        <w:t xml:space="preserve">- </w:t>
      </w:r>
      <w:proofErr w:type="spellStart"/>
      <w:r>
        <w:t>tion</w:t>
      </w:r>
      <w:proofErr w:type="spellEnd"/>
      <w:r>
        <w:t xml:space="preserve"> of  young adulthood comprises quite diﬀerent age ranges (Levinson,  1986).  How- ever, following </w:t>
      </w:r>
      <w:proofErr w:type="gramStart"/>
      <w:r>
        <w:t>Erikson’s  stages</w:t>
      </w:r>
      <w:proofErr w:type="gramEnd"/>
      <w:r>
        <w:t xml:space="preserve"> of human development  (Crain, 2010), most scholars consider individuals in their  twenties and thirties  as young adults.   This  deﬁnition includes three groups: individuals in their early to late twenties who have just begun taking  on the responsibilities of   adulthood,  as well as young adults  around the age of   30   who are thought to be in a process of   restructuring  their lives and individuals in  their  thirties  who already  began settling  down.    </w:t>
      </w:r>
      <w:proofErr w:type="gramStart"/>
      <w:r>
        <w:t>People  aged</w:t>
      </w:r>
      <w:proofErr w:type="gramEnd"/>
      <w:r>
        <w:t xml:space="preserve">  40   and  older are generally perceived as being in the life phase of   middle adulthood instead.</w:t>
      </w:r>
    </w:p>
    <w:p w:rsidR="00DB1847" w:rsidRPr="005E7123" w:rsidRDefault="00DB1847" w:rsidP="00453357">
      <w:pPr>
        <w:pStyle w:val="Listenabsatz"/>
        <w:numPr>
          <w:ilvl w:val="0"/>
          <w:numId w:val="1"/>
        </w:numPr>
      </w:pPr>
    </w:p>
    <w:p w:rsidR="00DB1847" w:rsidRDefault="00DB1847" w:rsidP="00DB1847"/>
    <w:p w:rsidR="00BB448C" w:rsidRDefault="00BB448C" w:rsidP="00DB1847"/>
    <w:p w:rsidR="00BB448C" w:rsidRPr="005E7123" w:rsidRDefault="00BB448C" w:rsidP="00DB1847">
      <w:proofErr w:type="spellStart"/>
      <w:r>
        <w:t>Zu</w:t>
      </w:r>
      <w:proofErr w:type="spellEnd"/>
      <w:r>
        <w:t xml:space="preserve"> Life Course Approach </w:t>
      </w:r>
      <w:proofErr w:type="spellStart"/>
      <w:r>
        <w:t>Ende</w:t>
      </w:r>
      <w:proofErr w:type="spellEnd"/>
      <w:r>
        <w:t xml:space="preserve">: Finally, the life course approach is useful when discussing to what </w:t>
      </w:r>
      <w:proofErr w:type="gramStart"/>
      <w:r>
        <w:t>extent  the</w:t>
      </w:r>
      <w:proofErr w:type="gramEnd"/>
      <w:r>
        <w:t xml:space="preserve"> cross- cultural commonality of  pathways can be assumed.</w:t>
      </w:r>
    </w:p>
    <w:sectPr w:rsidR="00BB448C" w:rsidRPr="005E712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D909A5"/>
    <w:multiLevelType w:val="hybridMultilevel"/>
    <w:tmpl w:val="583C8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357"/>
    <w:rsid w:val="000F366B"/>
    <w:rsid w:val="001926C6"/>
    <w:rsid w:val="001B3CCE"/>
    <w:rsid w:val="00424672"/>
    <w:rsid w:val="00453357"/>
    <w:rsid w:val="0048253D"/>
    <w:rsid w:val="00492D21"/>
    <w:rsid w:val="004B36C9"/>
    <w:rsid w:val="005459D1"/>
    <w:rsid w:val="005E7123"/>
    <w:rsid w:val="00756E2E"/>
    <w:rsid w:val="0078461A"/>
    <w:rsid w:val="008F19CE"/>
    <w:rsid w:val="00931C64"/>
    <w:rsid w:val="00947398"/>
    <w:rsid w:val="00A719E1"/>
    <w:rsid w:val="00AA2904"/>
    <w:rsid w:val="00BB448C"/>
    <w:rsid w:val="00CC52A7"/>
    <w:rsid w:val="00DB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33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3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Isy Fi</dc:creator>
  <cp:lastModifiedBy>Isy Fi</cp:lastModifiedBy>
  <cp:revision>17</cp:revision>
  <dcterms:created xsi:type="dcterms:W3CDTF">2017-09-24T09:46:00Z</dcterms:created>
  <dcterms:modified xsi:type="dcterms:W3CDTF">2017-11-23T22:20:00Z</dcterms:modified>
</cp:coreProperties>
</file>