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pplication-database-schema"/>
    <w:p>
      <w:pPr>
        <w:pStyle w:val="Heading1"/>
      </w:pPr>
      <w:r>
        <w:t xml:space="preserve">Application Database Schema</w:t>
      </w:r>
    </w:p>
    <w:p>
      <w:pPr>
        <w:pStyle w:val="FirstParagraph"/>
      </w:pPr>
      <w:r>
        <w:t xml:space="preserve">The dashboard uses PostgreSQL with Drizzle ORM. The source of truth is drizzle/schema.ts; checked-in SQL migrations live in drizzle/.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USERS ||--o{ ASSET_LIFECYCLE_EVENTS : records</w:t>
      </w:r>
      <w:r>
        <w:br/>
      </w:r>
      <w:r>
        <w:rPr>
          <w:rStyle w:val="VerbatimChar"/>
        </w:rPr>
        <w:t xml:space="preserve">  ASSETS ||--o{ ASSET_VERSIONS : snapshots</w:t>
      </w:r>
      <w:r>
        <w:br/>
      </w:r>
      <w:r>
        <w:rPr>
          <w:rStyle w:val="VerbatimChar"/>
        </w:rPr>
        <w:t xml:space="preserve">  ASSETS ||--o{ ASSET_DEVICES : connected_through</w:t>
      </w:r>
      <w:r>
        <w:br/>
      </w:r>
      <w:r>
        <w:rPr>
          <w:rStyle w:val="VerbatimChar"/>
        </w:rPr>
        <w:t xml:space="preserve">  DEVICES ||--o{ ASSET_DEVICES : gateways</w:t>
      </w:r>
      <w:r>
        <w:br/>
      </w:r>
      <w:r>
        <w:rPr>
          <w:rStyle w:val="VerbatimChar"/>
        </w:rPr>
        <w:t xml:space="preserve">  DEVICES ||--o{ SENSOR_READINGS : reports</w:t>
      </w:r>
      <w:r>
        <w:br/>
      </w:r>
      <w:r>
        <w:rPr>
          <w:rStyle w:val="VerbatimChar"/>
        </w:rPr>
        <w:t xml:space="preserve">  USERS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string email</w:t>
      </w:r>
      <w:r>
        <w:br/>
      </w:r>
      <w:r>
        <w:rPr>
          <w:rStyle w:val="VerbatimChar"/>
        </w:rPr>
        <w:t xml:space="preserve">    string password</w:t>
      </w:r>
      <w:r>
        <w:br/>
      </w:r>
      <w:r>
        <w:rPr>
          <w:rStyle w:val="VerbatimChar"/>
        </w:rPr>
        <w:t xml:space="preserve">    string role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ASSETS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string assetId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string lifecycleStage</w:t>
      </w:r>
      <w:r>
        <w:br/>
      </w:r>
      <w:r>
        <w:rPr>
          <w:rStyle w:val="VerbatimChar"/>
        </w:rPr>
        <w:t xml:space="preserve">    int aasVersion</w:t>
      </w:r>
      <w:r>
        <w:br/>
      </w:r>
      <w:r>
        <w:rPr>
          <w:rStyle w:val="VerbatimChar"/>
        </w:rPr>
        <w:t xml:space="preserve">    json aasShell</w:t>
      </w:r>
      <w:r>
        <w:br/>
      </w:r>
      <w:r>
        <w:rPr>
          <w:rStyle w:val="VerbatimChar"/>
        </w:rPr>
        <w:t xml:space="preserve">    json aasSubmodels</w:t>
      </w:r>
      <w:r>
        <w:br/>
      </w:r>
      <w:r>
        <w:rPr>
          <w:rStyle w:val="VerbatimChar"/>
        </w:rPr>
        <w:t xml:space="preserve">    boolean isDemo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ASSET_DEVICES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int assetId</w:t>
      </w:r>
      <w:r>
        <w:br/>
      </w:r>
      <w:r>
        <w:rPr>
          <w:rStyle w:val="VerbatimChar"/>
        </w:rPr>
        <w:t xml:space="preserve">    int deviceId</w:t>
      </w:r>
      <w:r>
        <w:br/>
      </w:r>
      <w:r>
        <w:rPr>
          <w:rStyle w:val="VerbatimChar"/>
        </w:rPr>
        <w:t xml:space="preserve">    string protocol</w:t>
      </w:r>
      <w:r>
        <w:br/>
      </w:r>
      <w:r>
        <w:rPr>
          <w:rStyle w:val="VerbatimChar"/>
        </w:rPr>
        <w:t xml:space="preserve">    string endpoint</w:t>
      </w:r>
      <w:r>
        <w:br/>
      </w:r>
      <w:r>
        <w:rPr>
          <w:rStyle w:val="VerbatimChar"/>
        </w:rPr>
        <w:t xml:space="preserve">    json tagMappings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ASSET_LIFECYCLE_EVENTS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int assetId</w:t>
      </w:r>
      <w:r>
        <w:br/>
      </w:r>
      <w:r>
        <w:rPr>
          <w:rStyle w:val="VerbatimChar"/>
        </w:rPr>
        <w:t xml:space="preserve">    int changedBy</w:t>
      </w:r>
      <w:r>
        <w:br/>
      </w:r>
      <w:r>
        <w:rPr>
          <w:rStyle w:val="VerbatimChar"/>
        </w:rPr>
        <w:t xml:space="preserve">    string toStage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ASSET_VERSIONS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int assetId</w:t>
      </w:r>
      <w:r>
        <w:br/>
      </w:r>
      <w:r>
        <w:rPr>
          <w:rStyle w:val="VerbatimChar"/>
        </w:rPr>
        <w:t xml:space="preserve">    int version</w:t>
      </w:r>
      <w:r>
        <w:br/>
      </w:r>
      <w:r>
        <w:rPr>
          <w:rStyle w:val="VerbatimChar"/>
        </w:rPr>
        <w:t xml:space="preserve">    int changedBy</w:t>
      </w:r>
      <w:r>
        <w:br/>
      </w:r>
      <w:r>
        <w:rPr>
          <w:rStyle w:val="VerbatimChar"/>
        </w:rPr>
        <w:t xml:space="preserve">    string sha256</w:t>
      </w:r>
      <w:r>
        <w:br/>
      </w:r>
      <w:r>
        <w:rPr>
          <w:rStyle w:val="VerbatimChar"/>
        </w:rPr>
        <w:t xml:space="preserve">    json snapshot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LOGIN_RATE_LIMITS {</w:t>
      </w:r>
      <w:r>
        <w:br/>
      </w:r>
      <w:r>
        <w:rPr>
          <w:rStyle w:val="VerbatimChar"/>
        </w:rPr>
        <w:t xml:space="preserve">    string keyHash PK</w:t>
      </w:r>
      <w:r>
        <w:br/>
      </w:r>
      <w:r>
        <w:rPr>
          <w:rStyle w:val="VerbatimChar"/>
        </w:rPr>
        <w:t xml:space="preserve">    int attempts</w:t>
      </w:r>
      <w:r>
        <w:br/>
      </w:r>
      <w:r>
        <w:rPr>
          <w:rStyle w:val="VerbatimChar"/>
        </w:rPr>
        <w:t xml:space="preserve">    timestamp resetAt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DEVICES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string deviceId</w:t>
      </w:r>
      <w:r>
        <w:br/>
      </w:r>
      <w:r>
        <w:rPr>
          <w:rStyle w:val="VerbatimChar"/>
        </w:rPr>
        <w:t xml:space="preserve">    string type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SENSOR_READINGS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int deviceId</w:t>
      </w:r>
      <w:r>
        <w:br/>
      </w:r>
      <w:r>
        <w:rPr>
          <w:rStyle w:val="VerbatimChar"/>
        </w:rPr>
        <w:t xml:space="preserve">    string assetId</w:t>
      </w:r>
      <w:r>
        <w:br/>
      </w:r>
      <w:r>
        <w:rPr>
          <w:rStyle w:val="VerbatimChar"/>
        </w:rPr>
        <w:t xml:space="preserve">    string ingestionId</w:t>
      </w:r>
      <w:r>
        <w:br/>
      </w:r>
      <w:r>
        <w:rPr>
          <w:rStyle w:val="VerbatimChar"/>
        </w:rPr>
        <w:t xml:space="preserve">    json assetSignals</w:t>
      </w:r>
      <w:r>
        <w:br/>
      </w:r>
      <w:r>
        <w:rPr>
          <w:rStyle w:val="VerbatimChar"/>
        </w:rPr>
        <w:t xml:space="preserve">    float temperature</w:t>
      </w:r>
      <w:r>
        <w:br/>
      </w:r>
      <w:r>
        <w:rPr>
          <w:rStyle w:val="VerbatimChar"/>
        </w:rPr>
        <w:t xml:space="preserve">    float vibration</w:t>
      </w:r>
      <w:r>
        <w:br/>
      </w:r>
      <w:r>
        <w:rPr>
          <w:rStyle w:val="VerbatimChar"/>
        </w:rPr>
        <w:t xml:space="preserve">    bigint timestamp</w:t>
      </w:r>
      <w:r>
        <w:br/>
      </w:r>
      <w:r>
        <w:rPr>
          <w:rStyle w:val="VerbatimChar"/>
        </w:rPr>
        <w:t xml:space="preserve">  }</w:t>
      </w:r>
    </w:p>
    <w:bookmarkStart w:id="9" w:name="incident-response-and-downtime-records"/>
    <w:p>
      <w:pPr>
        <w:pStyle w:val="Heading2"/>
      </w:pPr>
      <w:r>
        <w:t xml:space="preserve">Incident response and downtime records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Users[users&lt;br/&gt;id PK] --&gt;|assignedToId / resolvedById| Alerts[alerts&lt;br/&gt;id PK&lt;br/&gt;deviceId&lt;br/&gt;errorCode&lt;br/&gt;status&lt;br/&gt;downtimeStartedAt&lt;br/&gt;resolvedAt]</w:t>
      </w:r>
      <w:r>
        <w:br/>
      </w:r>
      <w:r>
        <w:rPr>
          <w:rStyle w:val="VerbatimChar"/>
        </w:rPr>
        <w:t xml:space="preserve">  Devices[devices&lt;br/&gt;id PK] --&gt;|deviceId| Alerts</w:t>
      </w:r>
      <w:r>
        <w:br/>
      </w:r>
      <w:r>
        <w:rPr>
          <w:rStyle w:val="VerbatimChar"/>
        </w:rPr>
        <w:t xml:space="preserve">  Devices --&gt;|deviceId| Thresholds[alert_thresholds&lt;br/&gt;id PK&lt;br/&gt;metric&lt;br/&gt;warning and critical limits]</w:t>
      </w:r>
    </w:p>
    <w:p>
      <w:pPr>
        <w:pStyle w:val="FirstParagraph"/>
      </w:pPr>
      <w:r>
        <w:t xml:space="preserve">Threshold-generated incidents use stable</w:t>
      </w:r>
      <w:r>
        <w:t xml:space="preserve"> </w:t>
      </w:r>
      <w:r>
        <w:rPr>
          <w:rStyle w:val="VerbatimChar"/>
        </w:rPr>
        <w:t xml:space="preserve">SF-*</w:t>
      </w:r>
      <w:r>
        <w:t xml:space="preserve"> </w:t>
      </w:r>
      <w:r>
        <w:t xml:space="preserve">platform classifications. A vendor diagnostic code is stored as supplied when available. The engineer role provides technician assignment and resolution permissions; downtime is explicitly confirmed by the assigned engineer or administrator. A lost device connection does not automatically prove a factory outage. Existing records inferred by migration 0010 need operational review before use in downtime KPIs. Mean downtime-to-resolution uses only records with both downtime and resolution timestamps.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Local identity, bcrypt password hash in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 role, and sign-in timestamps. Never expose the hash in API responses.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Connectivity devices. New registrations use enum type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edge_device</w:t>
            </w:r>
            <w:r>
              <w:t xml:space="preserve">; legacy sensor/actuator/controller values remain readable. Includes status, location, firmware, and simulator marker. Migration</w:t>
            </w:r>
            <w:r>
              <w:t xml:space="preserve"> </w:t>
            </w:r>
            <w:r>
              <w:rPr>
                <w:rStyle w:val="VerbatimChar"/>
              </w:rPr>
              <w:t xml:space="preserve">0015_melted_dragon_lord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edge_device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Equipment identity, manufacturer name/designation, separate required postal fields, article and order codes, optional serial/rated values, lifecycle, current AAS JSON, monotonic AAS revision, and simulator marker.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asset_devices</w:t>
            </w:r>
          </w:p>
        </w:tc>
        <w:tc>
          <w:tcPr/>
          <w:p>
            <w:pPr>
              <w:pStyle w:val="Compact"/>
            </w:pPr>
            <w:r>
              <w:t xml:space="preserve">Asset-to-gateway protocol, endpoint, and tag/register mappings. Store credentials on the edge gateway, not in mappings.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asset_lifecycle_events</w:t>
            </w:r>
          </w:p>
        </w:tc>
        <w:tc>
          <w:tcPr/>
          <w:p>
            <w:pPr>
              <w:pStyle w:val="Compact"/>
            </w:pPr>
            <w:r>
              <w:t xml:space="preserve">Actor, transition, timestamp, and engineering note audit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asset_versions</w:t>
            </w:r>
          </w:p>
        </w:tc>
        <w:tc>
          <w:tcPr/>
          <w:p>
            <w:pPr>
              <w:pStyle w:val="Compact"/>
            </w:pPr>
            <w:r>
              <w:t xml:space="preserve">Append-only AAS snapshots keyed by asset and revision, with change note, actor, and SHA-256 integrity digest. Migration baseline rows have no digest because prior revisions were not recorded.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login_rate_limits</w:t>
            </w:r>
          </w:p>
        </w:tc>
        <w:tc>
          <w:tcPr/>
          <w:p>
            <w:pPr>
              <w:pStyle w:val="Compact"/>
            </w:pPr>
            <w:r>
              <w:t xml:space="preserve">Hashed IP/email identifiers, fixed-window counters, and expiration timestamps shared across application replicas.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sensor_readings</w:t>
            </w:r>
          </w:p>
        </w:tc>
        <w:tc>
          <w:tcPr/>
          <w:p>
            <w:pPr>
              <w:pStyle w:val="Compact"/>
            </w:pPr>
            <w:r>
              <w:t xml:space="preserve">Nullable measurements, AAS asset attribution, named signals, Unix epoch millisecond timestamps, and a unique ingestion digest for retry deduplication. Indexes cover asset/date and device/date queries.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Stable platform/vendor error code, severity/status, metric observation, acknowledging actor/time, assigned engineer/time, confirmed downtime start, resolving actor/time, and lifecycle timestamps. Per-source transaction locks deduplicate threshold incidents by device/asset/metric; query indexes cover status/date and assignee/status.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alert_thresholds</w:t>
            </w:r>
          </w:p>
        </w:tc>
        <w:tc>
          <w:tcPr/>
          <w:p>
            <w:pPr>
              <w:pStyle w:val="Compact"/>
            </w:pPr>
            <w:r>
              <w:t xml:space="preserve">Enabled per-device warning and critical bands used to classify telemetry into incidents.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firmware_versions, ota_deployments</w:t>
            </w:r>
          </w:p>
        </w:tc>
        <w:tc>
          <w:tcPr/>
          <w:p>
            <w:pPr>
              <w:pStyle w:val="Compact"/>
            </w:pPr>
            <w:r>
              <w:t xml:space="preserve">Firmware catalog metadata and legacy rollout rows. OTA is disabled; a rollout row is not proof that a device downloaded, verified, installed, or booted a release.</w:t>
            </w:r>
          </w:p>
        </w:tc>
      </w:tr>
    </w:tbl>
    <w:p>
      <w:pPr>
        <w:pStyle w:val="BodyText"/>
      </w:pPr>
      <w:r>
        <w:t xml:space="preserve">Connection and lifecycle ids are application-level relationships, not database-enforced foreign keys in the current schema. Oracle-hosted BaSyx owns separate storage in the Aiven</w:t>
      </w:r>
      <w:r>
        <w:t xml:space="preserve"> </w:t>
      </w:r>
      <w:r>
        <w:rPr>
          <w:rStyle w:val="VerbatimChar"/>
        </w:rPr>
        <w:t xml:space="preserve">basyx</w:t>
      </w:r>
      <w:r>
        <w:t xml:space="preserve"> </w:t>
      </w:r>
      <w:r>
        <w:t xml:space="preserve">PostgreSQL database; it is not part of the Drizzle application schema. Demo rows are marked isDemo and are API-seeded only when demo data is enabled and no real assets exist.</w:t>
      </w:r>
    </w:p>
    <w:p>
      <w:pPr>
        <w:pStyle w:val="BodyText"/>
      </w:pPr>
      <w:r>
        <w:t xml:space="preserve">Review migration SQL before applying changes. Set DATABASE_URL to the intended database before running pnpm db:migrate. pnpm e2e uses its own disposable PostgreSQL container.</w:t>
      </w:r>
    </w:p>
    <w:bookmarkEnd w:id="9"/>
    <w:bookmarkStart w:id="10" w:name="durable-incident-notifications"/>
    <w:p>
      <w:pPr>
        <w:pStyle w:val="Heading2"/>
      </w:pPr>
      <w:r>
        <w:t xml:space="preserve">Durable incident notifications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0013_incident_notifications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notification_inbox</w:t>
      </w:r>
      <w:r>
        <w:t xml:space="preserve"> </w:t>
      </w:r>
      <w:r>
        <w:t xml:space="preserve">and an alert trigger. In the alert transaction, new warning/critical incidents and critical escalations notify current engineers/admins; assignment changes notify new/previous assignees and admins; resolution notifies the assigned technician/admins. The trigger does not backfill historical incidents or emit duplicate messages on unrelated incident updates.</w:t>
      </w:r>
    </w:p>
    <w:p>
      <w:pPr>
        <w:pStyle w:val="BodyText"/>
      </w:pPr>
      <w:r>
        <w:t xml:space="preserve">Each row belongs to one account, links to its alert and retains title/body, read time, email status, attempts, next attempt time, safe error summary and Resend acceptance time. Foreign-key cascades remove its rows when the associated account/alert is deleted. The delivery worker atomically claims due rows using a two-minute lease and retries after a crash.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means the Resend request was accepted, not that the email reached a mailbox. Eight failed attempts become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an authorized owner may retry after correcting configuration.</w:t>
      </w:r>
      <w:r>
        <w:t xml:space="preserve"> </w:t>
      </w:r>
      <w:r>
        <w:rPr>
          <w:rStyle w:val="VerbatimChar"/>
        </w:rPr>
        <w:t xml:space="preserve">unconfigured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no_recipient</w:t>
      </w:r>
      <w:r>
        <w:t xml:space="preserve"> </w:t>
      </w:r>
      <w:r>
        <w:t xml:space="preserve">remain visible.</w:t>
      </w:r>
    </w:p>
    <w:p>
      <w:pPr>
        <w:pStyle w:val="BodyText"/>
      </w:pPr>
      <w:r>
        <w:t xml:space="preserve">The inbox is queryable only by its owner. Reads do not acknowledge/resolve the factory incident. The Resend API key, sender and recipient-domain policy are runtime secrets/configuration, not editable browser notification settings. Plan retention/archive policies for both telemetry and inbox history before long-term production operation.</w:t>
      </w:r>
    </w:p>
    <w:p>
      <w:pPr>
        <w:pStyle w:val="BodyText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0014_account_email_identity</w:t>
      </w:r>
      <w:r>
        <w:t xml:space="preserve"> </w:t>
      </w:r>
      <w:r>
        <w:t xml:space="preserve">adds a case-insensitive unique email index. Null emails remain allowed for legacy identity records. Existing duplicate case-folded email addresses must be reconciled by an administrator before migration. Production self-registration is closed; further accounts are created by an authenticated administrator after private first-admin bootstrap. Passwords are never included in account API responses.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2026-10-07T10:58:36Z</dcterms:created>
  <dcterms:modified xsi:type="dcterms:W3CDTF">2026-10-07T10:58:36Z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