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Pour développer un </w:t>
      </w:r>
      <w:r w:rsidDel="00000000" w:rsidR="00000000" w:rsidRPr="00000000">
        <w:rPr>
          <w:b w:val="1"/>
          <w:rtl w:val="0"/>
        </w:rPr>
        <w:t xml:space="preserve">Système d'Évaluation du Risque de Crédit</w:t>
      </w:r>
      <w:r w:rsidDel="00000000" w:rsidR="00000000" w:rsidRPr="00000000">
        <w:rPr>
          <w:rtl w:val="0"/>
        </w:rPr>
        <w:t xml:space="preserve"> basé sur l'apprentissage automatique, il est essentiel de suivre une approche structurée qui inclut la collecte et l'analyse des données, la construction du modèle, et l'évaluation de son efficacité. Voici un guide détaillé pour mener à bien ce projet.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2jag92mz9jv" w:id="0"/>
      <w:bookmarkEnd w:id="0"/>
      <w:r w:rsidDel="00000000" w:rsidR="00000000" w:rsidRPr="00000000">
        <w:rPr>
          <w:b w:val="1"/>
          <w:sz w:val="34"/>
          <w:szCs w:val="34"/>
          <w:rtl w:val="0"/>
        </w:rPr>
        <w:t xml:space="preserve">1. Collecte et Préparation des Données</w:t>
      </w:r>
    </w:p>
    <w:p w:rsidR="00000000" w:rsidDel="00000000" w:rsidP="00000000" w:rsidRDefault="00000000" w:rsidRPr="00000000" w14:paraId="00000003">
      <w:pPr>
        <w:rPr>
          <w:b w:val="1"/>
        </w:rPr>
      </w:pPr>
      <w:r w:rsidDel="00000000" w:rsidR="00000000" w:rsidRPr="00000000">
        <w:rPr>
          <w:b w:val="1"/>
          <w:rtl w:val="0"/>
        </w:rPr>
        <w:t xml:space="preserve">Données à Collecter :</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Transactions Financières :</w:t>
      </w:r>
      <w:r w:rsidDel="00000000" w:rsidR="00000000" w:rsidRPr="00000000">
        <w:rPr>
          <w:rtl w:val="0"/>
        </w:rPr>
        <w:t xml:space="preserve"> Historique des transactions des clients, y compris les montants, les dates et les types de transactions.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Comportements d'Achat :</w:t>
      </w:r>
      <w:r w:rsidDel="00000000" w:rsidR="00000000" w:rsidRPr="00000000">
        <w:rPr>
          <w:rtl w:val="0"/>
        </w:rPr>
        <w:t xml:space="preserve"> Informations sur les habitudes d'achat, telles que la fréquence des achats et les catégories de produits.</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Indicateurs Économiques :</w:t>
      </w:r>
      <w:r w:rsidDel="00000000" w:rsidR="00000000" w:rsidRPr="00000000">
        <w:rPr>
          <w:rtl w:val="0"/>
        </w:rPr>
        <w:t xml:space="preserve"> Données macroéconomiques pertinentes comme le taux de chômage, l'inflation, et d'autres facteurs économiques influençant la capacité de remboursement.</w:t>
      </w:r>
    </w:p>
    <w:p w:rsidR="00000000" w:rsidDel="00000000" w:rsidP="00000000" w:rsidRDefault="00000000" w:rsidRPr="00000000" w14:paraId="00000007">
      <w:pPr>
        <w:rPr>
          <w:b w:val="1"/>
        </w:rPr>
      </w:pPr>
      <w:r w:rsidDel="00000000" w:rsidR="00000000" w:rsidRPr="00000000">
        <w:rPr>
          <w:b w:val="1"/>
          <w:rtl w:val="0"/>
        </w:rPr>
        <w:t xml:space="preserve">Préparation des Données :</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Nettoyage des données pour éliminer les valeurs manquantes ou aberrantes.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Transformation des données en formats appropriés pour l'analyse (normalisation, encodage des variables catégorielles).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Création de nouvelles fonctionnalités (feature engineering) qui pourraient aider à mieux prédire le risque de crédit.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ateg7xyzmvaz" w:id="1"/>
      <w:bookmarkEnd w:id="1"/>
      <w:r w:rsidDel="00000000" w:rsidR="00000000" w:rsidRPr="00000000">
        <w:rPr>
          <w:b w:val="1"/>
          <w:sz w:val="34"/>
          <w:szCs w:val="34"/>
          <w:rtl w:val="0"/>
        </w:rPr>
        <w:t xml:space="preserve">2. Modélisation</w:t>
      </w:r>
    </w:p>
    <w:p w:rsidR="00000000" w:rsidDel="00000000" w:rsidP="00000000" w:rsidRDefault="00000000" w:rsidRPr="00000000" w14:paraId="0000000C">
      <w:pPr>
        <w:rPr>
          <w:b w:val="1"/>
        </w:rPr>
      </w:pPr>
      <w:r w:rsidDel="00000000" w:rsidR="00000000" w:rsidRPr="00000000">
        <w:rPr>
          <w:b w:val="1"/>
          <w:rtl w:val="0"/>
        </w:rPr>
        <w:t xml:space="preserve">Choix du Modèle :</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tl w:val="0"/>
        </w:rPr>
        <w:t xml:space="preserve">Utiliser des algorithmes d'apprentissage automatique tels que :</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b w:val="1"/>
          <w:rtl w:val="0"/>
        </w:rPr>
        <w:t xml:space="preserve">Régression Logistique</w:t>
      </w:r>
      <w:r w:rsidDel="00000000" w:rsidR="00000000" w:rsidRPr="00000000">
        <w:rPr>
          <w:rtl w:val="0"/>
        </w:rPr>
        <w:t xml:space="preserve"> pour une approche simple et interprétable.</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b w:val="1"/>
          <w:rtl w:val="0"/>
        </w:rPr>
        <w:t xml:space="preserve">Arbres de Décision</w:t>
      </w:r>
      <w:r w:rsidDel="00000000" w:rsidR="00000000" w:rsidRPr="00000000">
        <w:rPr>
          <w:rtl w:val="0"/>
        </w:rPr>
        <w:t xml:space="preserve"> ou </w:t>
      </w:r>
      <w:r w:rsidDel="00000000" w:rsidR="00000000" w:rsidRPr="00000000">
        <w:rPr>
          <w:b w:val="1"/>
          <w:rtl w:val="0"/>
        </w:rPr>
        <w:t xml:space="preserve">Forêts Aléatoires</w:t>
      </w:r>
      <w:r w:rsidDel="00000000" w:rsidR="00000000" w:rsidRPr="00000000">
        <w:rPr>
          <w:rtl w:val="0"/>
        </w:rPr>
        <w:t xml:space="preserve"> pour capturer des relations non linéaires.</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b w:val="1"/>
          <w:rtl w:val="0"/>
        </w:rPr>
        <w:t xml:space="preserve">Réseaux de Neurones</w:t>
      </w:r>
      <w:r w:rsidDel="00000000" w:rsidR="00000000" w:rsidRPr="00000000">
        <w:rPr>
          <w:rtl w:val="0"/>
        </w:rPr>
        <w:t xml:space="preserve"> pour une modélisation plus complexe si les données sont volumineuses.</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Entraînement du Modèle :</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rtl w:val="0"/>
        </w:rPr>
        <w:t xml:space="preserve">Diviser les données en ensembles d'entraînement et de test pour évaluer la performance du modèle.</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Ajustement des hyperparamètres pour optimiser le modèle.</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kh7vzzhr10gn" w:id="2"/>
      <w:bookmarkEnd w:id="2"/>
      <w:r w:rsidDel="00000000" w:rsidR="00000000" w:rsidRPr="00000000">
        <w:rPr>
          <w:b w:val="1"/>
          <w:sz w:val="34"/>
          <w:szCs w:val="34"/>
          <w:rtl w:val="0"/>
        </w:rPr>
        <w:t xml:space="preserve">3. Évaluation du Modèle</w:t>
      </w:r>
    </w:p>
    <w:p w:rsidR="00000000" w:rsidDel="00000000" w:rsidP="00000000" w:rsidRDefault="00000000" w:rsidRPr="00000000" w14:paraId="00000016">
      <w:pPr>
        <w:rPr>
          <w:b w:val="1"/>
        </w:rPr>
      </w:pPr>
      <w:r w:rsidDel="00000000" w:rsidR="00000000" w:rsidRPr="00000000">
        <w:rPr>
          <w:b w:val="1"/>
          <w:rtl w:val="0"/>
        </w:rPr>
        <w:t xml:space="preserve">Critères d'Évaluation :</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Utiliser des métriques telles que :</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Précision</w:t>
      </w:r>
      <w:r w:rsidDel="00000000" w:rsidR="00000000" w:rsidRPr="00000000">
        <w:rPr>
          <w:rtl w:val="0"/>
        </w:rPr>
        <w:t xml:space="preserve"> (accuracy) pour mesurer le taux global de bonnes prédictions.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Rappel</w:t>
      </w:r>
      <w:r w:rsidDel="00000000" w:rsidR="00000000" w:rsidRPr="00000000">
        <w:rPr>
          <w:rtl w:val="0"/>
        </w:rPr>
        <w:t xml:space="preserve"> (recall) et </w:t>
      </w:r>
      <w:r w:rsidDel="00000000" w:rsidR="00000000" w:rsidRPr="00000000">
        <w:rPr>
          <w:b w:val="1"/>
          <w:rtl w:val="0"/>
        </w:rPr>
        <w:t xml:space="preserve">Précision</w:t>
      </w:r>
      <w:r w:rsidDel="00000000" w:rsidR="00000000" w:rsidRPr="00000000">
        <w:rPr>
          <w:rtl w:val="0"/>
        </w:rPr>
        <w:t xml:space="preserve"> (precision) pour évaluer la capacité à identifier correctement les défauts de paiement.</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AUC-ROC</w:t>
      </w:r>
      <w:r w:rsidDel="00000000" w:rsidR="00000000" w:rsidRPr="00000000">
        <w:rPr>
          <w:rtl w:val="0"/>
        </w:rPr>
        <w:t xml:space="preserve"> pour évaluer la performance globale du modèle sur différents seuils de classification.</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xfgvqjg189j9" w:id="3"/>
      <w:bookmarkEnd w:id="3"/>
      <w:r w:rsidDel="00000000" w:rsidR="00000000" w:rsidRPr="00000000">
        <w:rPr>
          <w:b w:val="1"/>
          <w:sz w:val="34"/>
          <w:szCs w:val="34"/>
          <w:rtl w:val="0"/>
        </w:rPr>
        <w:t xml:space="preserve">4. Déploiement</w:t>
      </w:r>
    </w:p>
    <w:p w:rsidR="00000000" w:rsidDel="00000000" w:rsidP="00000000" w:rsidRDefault="00000000" w:rsidRPr="00000000" w14:paraId="0000001D">
      <w:pPr>
        <w:rPr>
          <w:b w:val="1"/>
        </w:rPr>
      </w:pPr>
      <w:r w:rsidDel="00000000" w:rsidR="00000000" w:rsidRPr="00000000">
        <w:rPr>
          <w:b w:val="1"/>
          <w:rtl w:val="0"/>
        </w:rPr>
        <w:t xml:space="preserve">Intégration dans une Application Web :</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tl w:val="0"/>
        </w:rPr>
        <w:t xml:space="preserve">Développer une interface utilisateur où les agents bancaires peuvent entrer les données des clients et recevoir une évaluation du risque en temps réel.</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rtl w:val="0"/>
        </w:rPr>
        <w:t xml:space="preserve">Assurer la mise à jour régulière du modèle avec de nouvelles données pour maintenir sa pertinence et son efficacité.</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khpxx1hqzzgw" w:id="4"/>
      <w:bookmarkEnd w:id="4"/>
      <w:r w:rsidDel="00000000" w:rsidR="00000000" w:rsidRPr="00000000">
        <w:rPr>
          <w:b w:val="1"/>
          <w:sz w:val="34"/>
          <w:szCs w:val="34"/>
          <w:rtl w:val="0"/>
        </w:rPr>
        <w:t xml:space="preserve">Conclusion</w:t>
      </w:r>
    </w:p>
    <w:p w:rsidR="00000000" w:rsidDel="00000000" w:rsidP="00000000" w:rsidRDefault="00000000" w:rsidRPr="00000000" w14:paraId="00000021">
      <w:pPr>
        <w:rPr/>
      </w:pPr>
      <w:r w:rsidDel="00000000" w:rsidR="00000000" w:rsidRPr="00000000">
        <w:rPr>
          <w:rtl w:val="0"/>
        </w:rPr>
        <w:t xml:space="preserve">L'application de l'apprentissage automatique dans l'évaluation du risque de crédit permet aux banques d'identifier plus précisément les clients susceptibles d'être en défaut de paiement, minimisant ainsi les pertes financières. En suivant ces étapes, vous serez en mesure de créer un système robuste qui soutient la prise de décision dans le domaine bancaire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