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Structure de Conception de l’interface avec Fflutter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|- main.dart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|- features/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|- risk_assessment/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risk_assessment_screen.dart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risk_assessment_service.dart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risk_assessment_model.dart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|- client_info/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client_info_screen.dart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client_info_service.dart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client_model.dart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|- prediction_history/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prediction_history_screen.dart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prediction_history_service.dart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prediction_history_model.dart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|- common/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|- widgets/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custom_app_bar.dart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custom_button.dart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search_bar.dart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|- services/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api_service.dart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storage_service.dart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|- utils/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constants.dart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 helper_functions.dart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|- models/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|- prediction_history_model.dart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|- client_model.dart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|- assets/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|- images/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|- fonts/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|- pubspec.yaml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