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B57"/>
          <w:sz w:val="40"/>
        </w:rPr>
        <w:t>NOTE COMPLÉMENTAIRE</w:t>
      </w:r>
    </w:p>
    <w:p>
      <w:pPr>
        <w:jc w:val="center"/>
      </w:pPr>
      <w:r>
        <w:rPr>
          <w:color w:val="1F3B57"/>
          <w:sz w:val="28"/>
        </w:rPr>
        <w:t>L’insertion des projets dans les documents de planification</w:t>
        <w:br/>
        <w:t>intermédiaire et les dispositifs de contractualisation territoriale</w:t>
      </w:r>
    </w:p>
    <w:p/>
    <w:p>
      <w:pPr>
        <w:jc w:val="center"/>
      </w:pPr>
      <w:r>
        <w:rPr>
          <w:i/>
          <w:color w:val="595959"/>
          <w:sz w:val="21"/>
        </w:rPr>
        <w:t>Schémas de cohérence territoriale · Pôles d’équilibre territorial et rural et syndicats mixtes</w:t>
        <w:br/>
        <w:t>Contrats État-Région-territoires pour la transition écologique · Dispositifs associés</w:t>
      </w:r>
    </w:p>
    <w:p/>
    <w:p>
      <w:pPr>
        <w:jc w:val="center"/>
      </w:pPr>
      <w:r>
        <w:rPr>
          <w:b/>
          <w:color w:val="2E6B3E"/>
          <w:sz w:val="23"/>
        </w:rPr>
        <w:t>DAMBLAIN (Vosges, 88)  ·  HIRSON (Aisne, 02)  ·  ÉCOMMOY (Sarthe, 72)</w:t>
      </w:r>
    </w:p>
    <w:p/>
    <w:p>
      <w:pPr>
        <w:jc w:val="center"/>
      </w:pPr>
      <w:r>
        <w:rPr>
          <w:color w:val="595959"/>
          <w:sz w:val="20"/>
        </w:rPr>
        <w:t>Septembre 2026 — Arbange Capital, Secrétariat Général</w:t>
      </w:r>
    </w:p>
    <w:p/>
    <w:p>
      <w:pPr>
        <w:keepNext/>
        <w:spacing w:before="360" w:after="160"/>
        <w:pBdr>
          <w:bottom w:val="single" w:sz="8" w:space="2" w:color="1F3B57"/>
        </w:pBdr>
      </w:pPr>
      <w:r>
        <w:rPr>
          <w:b/>
          <w:color w:val="1F3B57"/>
          <w:sz w:val="28"/>
        </w:rPr>
        <w:t>1. OBJET DE LA NOTE</w:t>
      </w:r>
    </w:p>
    <w:p>
      <w:pPr>
        <w:jc w:val="both"/>
      </w:pPr>
      <w:r>
        <w:rPr>
          <w:b w:val="0"/>
          <w:i w:val="0"/>
          <w:sz w:val="21"/>
        </w:rPr>
        <w:t xml:space="preserve">Le dossier général consacré à l’insertion territoriale des trois projets traite des échelons national, régional, départemental et communal. La présente note développe l’échelon qui se situe entre eux, et qui est, en pratique, celui qui conditionne le plus directement la faisabilité d’une implantation industrielle : </w:t>
      </w:r>
      <w:r>
        <w:rPr>
          <w:b/>
          <w:i w:val="0"/>
          <w:sz w:val="21"/>
        </w:rPr>
        <w:t>la planification intermédiaire et la contractualisation territoriale</w:t>
      </w:r>
      <w:r>
        <w:rPr>
          <w:b w:val="0"/>
          <w:i w:val="0"/>
          <w:sz w:val="21"/>
        </w:rPr>
        <w:t>.</w:t>
      </w:r>
    </w:p>
    <w:p>
      <w:pPr>
        <w:jc w:val="both"/>
      </w:pPr>
      <w:r>
        <w:rPr>
          <w:b w:val="0"/>
          <w:i w:val="0"/>
          <w:sz w:val="21"/>
        </w:rPr>
        <w:t>Trois familles d’outils y sont examinées :</w:t>
      </w:r>
    </w:p>
    <w:p>
      <w:pPr>
        <w:pStyle w:val="ListBullet"/>
        <w:spacing w:after="60"/>
        <w:ind w:left="340"/>
        <w:jc w:val="both"/>
      </w:pPr>
      <w:r>
        <w:rPr>
          <w:b/>
          <w:sz w:val="21"/>
        </w:rPr>
        <w:t>Les schémas de cohérence territoriale (SCoT)</w:t>
      </w:r>
      <w:r>
        <w:rPr>
          <w:b w:val="0"/>
          <w:sz w:val="21"/>
        </w:rPr>
        <w:t>, documents intégrateurs qui traduisent les prescriptions régionales à l’échelle du bassin de vie et s’imposent aux documents d’urbanisme locaux.</w:t>
      </w:r>
    </w:p>
    <w:p>
      <w:pPr>
        <w:pStyle w:val="ListBullet"/>
        <w:spacing w:after="60"/>
        <w:ind w:left="340"/>
        <w:jc w:val="both"/>
      </w:pPr>
      <w:r>
        <w:rPr>
          <w:b/>
          <w:sz w:val="21"/>
        </w:rPr>
        <w:t>Les structures qui les portent</w:t>
      </w:r>
      <w:r>
        <w:rPr>
          <w:b w:val="0"/>
          <w:sz w:val="21"/>
        </w:rPr>
        <w:t xml:space="preserve"> — syndicats mixtes et pôles d’équilibre territorial et rural (PETR) — qui constituent l’échelon de projet et de contractualisation du territoire.</w:t>
      </w:r>
    </w:p>
    <w:p>
      <w:pPr>
        <w:pStyle w:val="ListBullet"/>
        <w:spacing w:after="60"/>
        <w:ind w:left="340"/>
        <w:jc w:val="both"/>
      </w:pPr>
      <w:r>
        <w:rPr>
          <w:b/>
          <w:sz w:val="21"/>
        </w:rPr>
        <w:t>Les contrats conclus entre l’État, la Région et les territoires</w:t>
      </w:r>
      <w:r>
        <w:rPr>
          <w:b w:val="0"/>
          <w:sz w:val="21"/>
        </w:rPr>
        <w:t xml:space="preserve"> au titre de la transition écologique, ainsi que les dispositifs associés qui s’y rattachent : plans climat-air-énergie territoriaux, contrats d’objectif territorial, programmes de revitalisation, chartes forestières.</w:t>
      </w:r>
    </w:p>
    <w:p>
      <w:pPr>
        <w:jc w:val="both"/>
      </w:pPr>
      <w:r>
        <w:rPr>
          <w:b w:val="0"/>
          <w:i w:val="0"/>
          <w:sz w:val="21"/>
        </w:rPr>
        <w:t xml:space="preserve">L’examen fait apparaître une convergence remarquable : sur les trois territoires d’implantation, le schéma de cohérence territoriale applicable </w:t>
      </w:r>
      <w:r>
        <w:rPr>
          <w:b/>
          <w:i w:val="0"/>
          <w:sz w:val="21"/>
        </w:rPr>
        <w:t>intègre le volet climat-air-énergie</w:t>
      </w:r>
      <w:r>
        <w:rPr>
          <w:b w:val="0"/>
          <w:i w:val="0"/>
          <w:sz w:val="21"/>
        </w:rPr>
        <w:t>, et deux d’entre eux sont en cours d’approbation ou d’achèvement en 2026.</w:t>
      </w:r>
    </w:p>
    <w:p>
      <w:pPr>
        <w:keepNext/>
        <w:spacing w:before="360" w:after="160"/>
        <w:pBdr>
          <w:bottom w:val="single" w:sz="8" w:space="2" w:color="1F3B57"/>
        </w:pBdr>
      </w:pPr>
      <w:r>
        <w:rPr>
          <w:b/>
          <w:color w:val="1F3B57"/>
          <w:sz w:val="28"/>
        </w:rPr>
        <w:t>2. POURQUOI CET ÉCHELON EST DÉTERMINANT</w:t>
      </w:r>
    </w:p>
    <w:p>
      <w:pPr>
        <w:jc w:val="both"/>
      </w:pPr>
      <w:r>
        <w:rPr>
          <w:b w:val="0"/>
          <w:i w:val="0"/>
          <w:sz w:val="21"/>
        </w:rPr>
        <w:t>Trois raisons justifient d’y consacrer une analyse propre.</w:t>
      </w:r>
    </w:p>
    <w:p>
      <w:pPr>
        <w:keepNext/>
        <w:spacing w:before="180" w:after="60"/>
      </w:pPr>
      <w:r>
        <w:rPr>
          <w:b/>
          <w:color w:val="2E6B3E"/>
          <w:sz w:val="21"/>
        </w:rPr>
        <w:t>Le SCoT est le document qui rend opposables les orientations régionales</w:t>
      </w:r>
    </w:p>
    <w:p>
      <w:pPr>
        <w:jc w:val="both"/>
      </w:pPr>
      <w:r>
        <w:rPr>
          <w:b w:val="0"/>
          <w:i w:val="0"/>
          <w:sz w:val="21"/>
        </w:rPr>
        <w:t>Le schéma régional d’aménagement fixe des objectifs et des règles ; le schéma de cohérence territoriale les traduit à l’échelle du bassin de vie, et les documents d’urbanisme locaux — plans locaux d’urbanisme intercommunaux, cartes communales — doivent être compatibles avec lui. C’est donc au niveau du SCoT que se déterminent concrètement la localisation des activités économiques, la trajectoire de sobriété foncière territorialisée et le traitement réservé aux friches et aux zones d’activité existantes. Une implantation industrielle qui trouve sa place dans le SCoT trouve sa place dans le droit de l’urbanisme applicable.</w:t>
      </w:r>
    </w:p>
    <w:p>
      <w:pPr>
        <w:keepNext/>
        <w:spacing w:before="180" w:after="60"/>
      </w:pPr>
      <w:r>
        <w:rPr>
          <w:b/>
          <w:color w:val="2E6B3E"/>
          <w:sz w:val="21"/>
        </w:rPr>
        <w:t>Le PETR ou le syndicat mixte est l’échelon de projet du territoire</w:t>
      </w:r>
    </w:p>
    <w:p>
      <w:pPr>
        <w:jc w:val="both"/>
      </w:pPr>
      <w:r>
        <w:rPr>
          <w:b w:val="0"/>
          <w:i w:val="0"/>
          <w:sz w:val="21"/>
        </w:rPr>
        <w:t>Créés par la loi de modernisation de l’action publique territoriale et d’affirmation des métropoles, les pôles d’équilibre territorial et rural sont des syndicats mixtes constitués par des communautés de communes en vue d’élaborer un projet de territoire. Ils portent le plus souvent le SCoT, le plan climat, la démarche de transition écologique et la contractualisation avec l’État, la Région et l’Europe. Ils sont, à ce titre, l’interlocuteur naturel d’un projet industriel structurant à l’échelle d’un bassin de vie — et un échelon fréquemment absent des dossiers de présentation, qui passent directement de la région à la commune.</w:t>
      </w:r>
    </w:p>
    <w:p>
      <w:pPr>
        <w:keepNext/>
        <w:spacing w:before="180" w:after="60"/>
      </w:pPr>
      <w:r>
        <w:rPr>
          <w:b/>
          <w:color w:val="2E6B3E"/>
          <w:sz w:val="21"/>
        </w:rPr>
        <w:t>Les contrats de transition écologique sont devenus l’outil de mise en œuvre locale de la planification écologique</w:t>
      </w:r>
    </w:p>
    <w:p>
      <w:pPr>
        <w:jc w:val="both"/>
      </w:pPr>
      <w:r>
        <w:rPr>
          <w:b w:val="0"/>
          <w:i w:val="0"/>
          <w:sz w:val="21"/>
        </w:rPr>
        <w:t xml:space="preserve">Depuis l’installation des conférences des parties régionales, les contrats conclus avec les territoires — sous la dénomination de contrat de relance et de transition écologique, désormais </w:t>
      </w:r>
      <w:r>
        <w:rPr>
          <w:b/>
          <w:i w:val="0"/>
          <w:sz w:val="21"/>
        </w:rPr>
        <w:t>contrat pour la réussite de la transition écologique</w:t>
      </w:r>
      <w:r>
        <w:rPr>
          <w:b w:val="0"/>
          <w:i w:val="0"/>
          <w:sz w:val="21"/>
        </w:rPr>
        <w:t xml:space="preserve"> — constituent l’instrument de déclinaison, à l’échelle du bassin de vie, des feuilles de route régionales. Une relance de la démarche a été conduite en 2025 : réunion des comités locaux de cohésion territoriale, revues de projets conduites par les préfets et actualisation des plans d’action pour tenir compte de la planification écologique issue des conférences régionales. Un projet industriel de production d’énergie renouvelable implanté sur un foncier recyclé relève des thématiques que ces contrats ont vocation à porter.</w:t>
      </w:r>
    </w:p>
    <w:p>
      <w:r>
        <w:br w:type="page"/>
      </w:r>
    </w:p>
    <w:p>
      <w:pPr>
        <w:keepNext/>
        <w:spacing w:before="360" w:after="160"/>
        <w:pBdr>
          <w:bottom w:val="single" w:sz="8" w:space="2" w:color="1F3B57"/>
        </w:pBdr>
      </w:pPr>
      <w:r>
        <w:rPr>
          <w:b/>
          <w:color w:val="1F3B57"/>
          <w:sz w:val="28"/>
        </w:rPr>
        <w:t>3. PANORAMA DES STRUCTURES ET DOCUMENTS APPLICABLES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fill="1F3B57"/>
          </w:tcPr>
          <w:p>
            <w:r/>
            <w:r>
              <w:rPr>
                <w:b/>
                <w:color w:val="FFFFFF"/>
                <w:sz w:val="16"/>
              </w:rPr>
            </w:r>
          </w:p>
        </w:tc>
        <w:tc>
          <w:tcPr>
            <w:tcW w:type="dxa" w:w="2494"/>
            <w:shd w:val="clear" w:fill="1F3B57"/>
          </w:tcPr>
          <w:p>
            <w:r/>
            <w:r>
              <w:rPr>
                <w:b/>
                <w:color w:val="FFFFFF"/>
                <w:sz w:val="16"/>
              </w:rPr>
              <w:t>DAMBLAIN (88)</w:t>
            </w:r>
          </w:p>
        </w:tc>
        <w:tc>
          <w:tcPr>
            <w:tcW w:type="dxa" w:w="2494"/>
            <w:shd w:val="clear" w:fill="1F3B57"/>
          </w:tcPr>
          <w:p>
            <w:r/>
            <w:r>
              <w:rPr>
                <w:b/>
                <w:color w:val="FFFFFF"/>
                <w:sz w:val="16"/>
              </w:rPr>
              <w:t>HIRSON (02)</w:t>
            </w:r>
          </w:p>
        </w:tc>
        <w:tc>
          <w:tcPr>
            <w:tcW w:type="dxa" w:w="2551"/>
            <w:shd w:val="clear" w:fill="1F3B57"/>
          </w:tcPr>
          <w:p>
            <w:r/>
            <w:r>
              <w:rPr>
                <w:b/>
                <w:color w:val="FFFFFF"/>
                <w:sz w:val="16"/>
              </w:rPr>
              <w:t>ÉCOMMOY (72)</w:t>
            </w:r>
          </w:p>
        </w:tc>
      </w:tr>
      <w:tr>
        <w:tc>
          <w:tcPr>
            <w:tcW w:type="dxa" w:w="1814"/>
          </w:tcPr>
          <w:p>
            <w:pPr>
              <w:spacing w:after="40"/>
            </w:pPr>
            <w:r/>
            <w:r>
              <w:rPr>
                <w:b/>
                <w:sz w:val="16"/>
              </w:rPr>
              <w:t>Structure porteuse du SCoT</w:t>
            </w:r>
          </w:p>
        </w:tc>
        <w:tc>
          <w:tcPr>
            <w:tcW w:type="dxa" w:w="2494"/>
          </w:tcPr>
          <w:p>
            <w:pPr>
              <w:spacing w:after="40"/>
            </w:pPr>
            <w:r/>
            <w:r>
              <w:rPr>
                <w:b w:val="0"/>
                <w:sz w:val="16"/>
              </w:rPr>
              <w:t>PETR du Pays de l’Ouest Vosgien</w:t>
            </w:r>
          </w:p>
        </w:tc>
        <w:tc>
          <w:tcPr>
            <w:tcW w:type="dxa" w:w="2494"/>
          </w:tcPr>
          <w:p>
            <w:pPr>
              <w:spacing w:after="40"/>
            </w:pPr>
            <w:r/>
            <w:r>
              <w:rPr>
                <w:b w:val="0"/>
                <w:sz w:val="16"/>
              </w:rPr>
              <w:t>PETR du Pays de Thiérache</w:t>
            </w:r>
          </w:p>
        </w:tc>
        <w:tc>
          <w:tcPr>
            <w:tcW w:type="dxa" w:w="2551"/>
          </w:tcPr>
          <w:p>
            <w:pPr>
              <w:spacing w:after="40"/>
            </w:pPr>
            <w:r/>
            <w:r>
              <w:rPr>
                <w:b w:val="0"/>
                <w:sz w:val="16"/>
              </w:rPr>
              <w:t>Syndicat mixte du Pays du Mans</w:t>
            </w:r>
          </w:p>
        </w:tc>
      </w:tr>
      <w:tr>
        <w:tc>
          <w:tcPr>
            <w:tcW w:type="dxa" w:w="1814"/>
          </w:tcPr>
          <w:p>
            <w:pPr>
              <w:spacing w:after="40"/>
            </w:pPr>
            <w:r/>
            <w:r>
              <w:rPr>
                <w:b w:val="0"/>
                <w:sz w:val="16"/>
              </w:rPr>
              <w:t>Siège</w:t>
            </w:r>
          </w:p>
        </w:tc>
        <w:tc>
          <w:tcPr>
            <w:tcW w:type="dxa" w:w="2494"/>
          </w:tcPr>
          <w:p>
            <w:pPr>
              <w:spacing w:after="40"/>
            </w:pPr>
            <w:r/>
            <w:r>
              <w:rPr>
                <w:b w:val="0"/>
                <w:sz w:val="16"/>
              </w:rPr>
              <w:t>Neufchâteau</w:t>
            </w:r>
          </w:p>
        </w:tc>
        <w:tc>
          <w:tcPr>
            <w:tcW w:type="dxa" w:w="2494"/>
          </w:tcPr>
          <w:p>
            <w:pPr>
              <w:spacing w:after="40"/>
            </w:pPr>
            <w:r/>
            <w:r>
              <w:rPr>
                <w:b w:val="0"/>
                <w:sz w:val="16"/>
              </w:rPr>
              <w:t>Vervins</w:t>
            </w:r>
          </w:p>
        </w:tc>
        <w:tc>
          <w:tcPr>
            <w:tcW w:type="dxa" w:w="2551"/>
          </w:tcPr>
          <w:p>
            <w:pPr>
              <w:spacing w:after="40"/>
            </w:pPr>
            <w:r/>
            <w:r>
              <w:rPr>
                <w:b w:val="0"/>
                <w:sz w:val="16"/>
              </w:rPr>
              <w:t>Le Mans</w:t>
            </w:r>
          </w:p>
        </w:tc>
      </w:tr>
      <w:tr>
        <w:tc>
          <w:tcPr>
            <w:tcW w:type="dxa" w:w="1814"/>
          </w:tcPr>
          <w:p>
            <w:pPr>
              <w:spacing w:after="40"/>
            </w:pPr>
            <w:r/>
            <w:r>
              <w:rPr>
                <w:b w:val="0"/>
                <w:sz w:val="16"/>
              </w:rPr>
              <w:t>Périmètre</w:t>
            </w:r>
          </w:p>
        </w:tc>
        <w:tc>
          <w:tcPr>
            <w:tcW w:type="dxa" w:w="2494"/>
          </w:tcPr>
          <w:p>
            <w:pPr>
              <w:spacing w:after="40"/>
            </w:pPr>
            <w:r/>
            <w:r>
              <w:rPr>
                <w:b w:val="0"/>
                <w:sz w:val="16"/>
              </w:rPr>
              <w:t>3 communautés de communes — Ouest Vosgien, Mirecourt-Dompaire, Vosges côté Sud-Ouest — soit 190 communes vosgiennes et une commune de Haute-Marne (Liffol-le-Petit)</w:t>
            </w:r>
          </w:p>
        </w:tc>
        <w:tc>
          <w:tcPr>
            <w:tcW w:type="dxa" w:w="2494"/>
          </w:tcPr>
          <w:p>
            <w:pPr>
              <w:spacing w:after="40"/>
            </w:pPr>
            <w:r/>
            <w:r>
              <w:rPr>
                <w:b w:val="0"/>
                <w:sz w:val="16"/>
              </w:rPr>
              <w:t>4 communautés de communes — Thiérache Sambre et Oise, Thiérache du Centre, Trois Rivières, Portes de la Thiérache</w:t>
            </w:r>
          </w:p>
        </w:tc>
        <w:tc>
          <w:tcPr>
            <w:tcW w:type="dxa" w:w="2551"/>
          </w:tcPr>
          <w:p>
            <w:pPr>
              <w:spacing w:after="40"/>
            </w:pPr>
            <w:r/>
            <w:r>
              <w:rPr>
                <w:b w:val="0"/>
                <w:sz w:val="16"/>
              </w:rPr>
              <w:t>6 intercommunalités, 90 communes</w:t>
            </w:r>
          </w:p>
        </w:tc>
      </w:tr>
      <w:tr>
        <w:tc>
          <w:tcPr>
            <w:tcW w:type="dxa" w:w="1814"/>
          </w:tcPr>
          <w:p>
            <w:pPr>
              <w:spacing w:after="40"/>
            </w:pPr>
            <w:r/>
            <w:r>
              <w:rPr>
                <w:b w:val="0"/>
                <w:sz w:val="16"/>
              </w:rPr>
              <w:t>Population du périmètre</w:t>
            </w:r>
          </w:p>
        </w:tc>
        <w:tc>
          <w:tcPr>
            <w:tcW w:type="dxa" w:w="2494"/>
          </w:tcPr>
          <w:p>
            <w:pPr>
              <w:spacing w:after="40"/>
            </w:pPr>
            <w:r/>
            <w:r>
              <w:rPr>
                <w:b w:val="0"/>
                <w:sz w:val="16"/>
              </w:rPr>
              <w:t>≈ 61 000 habitants</w:t>
            </w:r>
          </w:p>
        </w:tc>
        <w:tc>
          <w:tcPr>
            <w:tcW w:type="dxa" w:w="2494"/>
          </w:tcPr>
          <w:p>
            <w:pPr>
              <w:spacing w:after="40"/>
            </w:pPr>
            <w:r/>
            <w:r>
              <w:rPr>
                <w:b w:val="0"/>
                <w:sz w:val="16"/>
              </w:rPr>
              <w:t>≈ 73 000 habitants</w:t>
            </w:r>
          </w:p>
        </w:tc>
        <w:tc>
          <w:tcPr>
            <w:tcW w:type="dxa" w:w="2551"/>
          </w:tcPr>
          <w:p>
            <w:pPr>
              <w:spacing w:after="40"/>
            </w:pPr>
            <w:r/>
            <w:r>
              <w:rPr>
                <w:b w:val="0"/>
                <w:sz w:val="16"/>
              </w:rPr>
              <w:t>≈ 317 000 habitants</w:t>
            </w:r>
          </w:p>
        </w:tc>
      </w:tr>
      <w:tr>
        <w:tc>
          <w:tcPr>
            <w:tcW w:type="dxa" w:w="1814"/>
          </w:tcPr>
          <w:p>
            <w:pPr>
              <w:spacing w:after="40"/>
            </w:pPr>
            <w:r/>
            <w:r>
              <w:rPr>
                <w:b/>
                <w:sz w:val="16"/>
              </w:rPr>
              <w:t>Document de planification</w:t>
            </w:r>
          </w:p>
        </w:tc>
        <w:tc>
          <w:tcPr>
            <w:tcW w:type="dxa" w:w="2494"/>
          </w:tcPr>
          <w:p>
            <w:pPr>
              <w:spacing w:after="40"/>
            </w:pPr>
            <w:r/>
            <w:r>
              <w:rPr>
                <w:b w:val="0"/>
                <w:sz w:val="16"/>
              </w:rPr>
              <w:t>Schéma de cohérence territoriale, dont l’élaboration et le suivi relèvent de la compétence du PETR</w:t>
            </w:r>
          </w:p>
        </w:tc>
        <w:tc>
          <w:tcPr>
            <w:tcW w:type="dxa" w:w="2494"/>
          </w:tcPr>
          <w:p>
            <w:pPr>
              <w:spacing w:after="40"/>
            </w:pPr>
            <w:r/>
            <w:r>
              <w:rPr>
                <w:b/>
                <w:sz w:val="16"/>
              </w:rPr>
              <w:t>SCoT valant plan climat-air-énergie territorial</w:t>
            </w:r>
            <w:r>
              <w:rPr>
                <w:b w:val="0"/>
                <w:sz w:val="16"/>
              </w:rPr>
              <w:t xml:space="preserve"> — élaboration engagée en 2021, achèvement prévu en 2026</w:t>
            </w:r>
          </w:p>
        </w:tc>
        <w:tc>
          <w:tcPr>
            <w:tcW w:type="dxa" w:w="2551"/>
          </w:tcPr>
          <w:p>
            <w:pPr>
              <w:spacing w:after="40"/>
            </w:pPr>
            <w:r/>
            <w:r>
              <w:rPr>
                <w:b/>
                <w:sz w:val="16"/>
              </w:rPr>
              <w:t>SCoT Air-Énergie-Climat (SCoT-AEC)</w:t>
            </w:r>
            <w:r>
              <w:rPr>
                <w:b w:val="0"/>
                <w:sz w:val="16"/>
              </w:rPr>
              <w:t xml:space="preserve"> — enquête publique conduite du 6 octobre au 8 novembre 2025 ; le schéma vaut plan climat en 2026 ; horizon 2046</w:t>
            </w:r>
          </w:p>
        </w:tc>
      </w:tr>
      <w:tr>
        <w:tc>
          <w:tcPr>
            <w:tcW w:type="dxa" w:w="1814"/>
          </w:tcPr>
          <w:p>
            <w:pPr>
              <w:spacing w:after="40"/>
            </w:pPr>
            <w:r/>
            <w:r>
              <w:rPr>
                <w:b w:val="0"/>
                <w:sz w:val="16"/>
              </w:rPr>
              <w:t>Intercommunalité d’implantation</w:t>
            </w:r>
          </w:p>
        </w:tc>
        <w:tc>
          <w:tcPr>
            <w:tcW w:type="dxa" w:w="2494"/>
          </w:tcPr>
          <w:p>
            <w:pPr>
              <w:spacing w:after="40"/>
            </w:pPr>
            <w:r/>
            <w:r>
              <w:rPr>
                <w:b w:val="0"/>
                <w:sz w:val="16"/>
              </w:rPr>
              <w:t>CC de l’Ouest Vosgien (70 communes, 24 512 hab.)</w:t>
            </w:r>
          </w:p>
        </w:tc>
        <w:tc>
          <w:tcPr>
            <w:tcW w:type="dxa" w:w="2494"/>
          </w:tcPr>
          <w:p>
            <w:pPr>
              <w:spacing w:after="40"/>
            </w:pPr>
            <w:r/>
            <w:r>
              <w:rPr>
                <w:b w:val="0"/>
                <w:sz w:val="16"/>
              </w:rPr>
              <w:t>CC du Pays des Trois Rivières (26 communes, ≈ 21 300 hab.)</w:t>
            </w:r>
          </w:p>
        </w:tc>
        <w:tc>
          <w:tcPr>
            <w:tcW w:type="dxa" w:w="2551"/>
          </w:tcPr>
          <w:p>
            <w:pPr>
              <w:spacing w:after="40"/>
            </w:pPr>
            <w:r/>
            <w:r>
              <w:rPr>
                <w:b w:val="0"/>
                <w:sz w:val="16"/>
              </w:rPr>
              <w:t>CC Orée de Bercé-Bélinois (≈ 19 500 hab.)</w:t>
            </w:r>
          </w:p>
        </w:tc>
      </w:tr>
      <w:tr>
        <w:tc>
          <w:tcPr>
            <w:tcW w:type="dxa" w:w="1814"/>
          </w:tcPr>
          <w:p>
            <w:pPr>
              <w:spacing w:after="40"/>
            </w:pPr>
            <w:r/>
            <w:r>
              <w:rPr>
                <w:b/>
                <w:sz w:val="16"/>
              </w:rPr>
              <w:t>Contractualisation État-Région</w:t>
            </w:r>
          </w:p>
        </w:tc>
        <w:tc>
          <w:tcPr>
            <w:tcW w:type="dxa" w:w="2494"/>
          </w:tcPr>
          <w:p>
            <w:pPr>
              <w:spacing w:after="40"/>
            </w:pPr>
            <w:r/>
            <w:r>
              <w:rPr>
                <w:b w:val="0"/>
                <w:sz w:val="16"/>
              </w:rPr>
              <w:t>Pacte territorial de relance et de transition écologique (PTRTE) — dispositif propre au Grand Est, fusionnant le contrat de l’État et le pacte territorial de la Région</w:t>
            </w:r>
          </w:p>
        </w:tc>
        <w:tc>
          <w:tcPr>
            <w:tcW w:type="dxa" w:w="2494"/>
          </w:tcPr>
          <w:p>
            <w:pPr>
              <w:spacing w:after="40"/>
            </w:pPr>
            <w:r/>
            <w:r>
              <w:rPr>
                <w:b w:val="0"/>
                <w:sz w:val="16"/>
              </w:rPr>
              <w:t>Contrat pour la réussite de la transition écologique ; contrats territoriaux de développement associant État, Région, Département et intercommunalités</w:t>
            </w:r>
          </w:p>
        </w:tc>
        <w:tc>
          <w:tcPr>
            <w:tcW w:type="dxa" w:w="2551"/>
          </w:tcPr>
          <w:p>
            <w:pPr>
              <w:spacing w:after="40"/>
            </w:pPr>
            <w:r/>
            <w:r>
              <w:rPr>
                <w:b w:val="0"/>
                <w:sz w:val="16"/>
              </w:rPr>
              <w:t>Contrat pour la réussite de la transition écologique ; Pacte stratégique régional et Contrat Pays de la Loire 2026</w:t>
            </w:r>
          </w:p>
        </w:tc>
      </w:tr>
      <w:tr>
        <w:tc>
          <w:tcPr>
            <w:tcW w:type="dxa" w:w="1814"/>
          </w:tcPr>
          <w:p>
            <w:pPr>
              <w:spacing w:after="40"/>
            </w:pPr>
            <w:r/>
            <w:r>
              <w:rPr>
                <w:b w:val="0"/>
                <w:sz w:val="16"/>
              </w:rPr>
              <w:t>Dispositifs associés identifiés</w:t>
            </w:r>
          </w:p>
        </w:tc>
        <w:tc>
          <w:tcPr>
            <w:tcW w:type="dxa" w:w="2494"/>
          </w:tcPr>
          <w:p>
            <w:pPr>
              <w:spacing w:after="40"/>
            </w:pPr>
            <w:r/>
            <w:r>
              <w:rPr>
                <w:b w:val="0"/>
                <w:sz w:val="16"/>
              </w:rPr>
              <w:t>Charte forestière de territoire à constituer ; zonage France Ruralités Revitalisation</w:t>
            </w:r>
          </w:p>
        </w:tc>
        <w:tc>
          <w:tcPr>
            <w:tcW w:type="dxa" w:w="2494"/>
          </w:tcPr>
          <w:p>
            <w:pPr>
              <w:spacing w:after="40"/>
            </w:pPr>
            <w:r/>
            <w:r>
              <w:rPr>
                <w:b w:val="0"/>
                <w:sz w:val="16"/>
              </w:rPr>
              <w:t>Contrat d’objectif territorial ADEME porté par le PETR ; Petite Ville de Demain ; contrat de ville 2024-2030 ; Pacte pour la réussite de la Sambre-Avesnois-Thiérache</w:t>
            </w:r>
          </w:p>
        </w:tc>
        <w:tc>
          <w:tcPr>
            <w:tcW w:type="dxa" w:w="2551"/>
          </w:tcPr>
          <w:p>
            <w:pPr>
              <w:spacing w:after="40"/>
            </w:pPr>
            <w:r/>
            <w:r>
              <w:rPr>
                <w:b w:val="0"/>
                <w:sz w:val="16"/>
              </w:rPr>
              <w:t>Petites Villes de Demain et opération de revitalisation de territoire ; projet alimentaire territorial du Pays du Mans ; zonage France Ruralités Revitalisation</w:t>
            </w:r>
          </w:p>
        </w:tc>
      </w:tr>
    </w:tbl>
    <w:p>
      <w:pPr>
        <w:spacing w:after="80"/>
      </w:pPr>
    </w:p>
    <w:p>
      <w:r>
        <w:br w:type="page"/>
      </w:r>
    </w:p>
    <w:p>
      <w:pPr>
        <w:keepNext/>
        <w:spacing w:before="360" w:after="160"/>
        <w:pBdr>
          <w:bottom w:val="single" w:sz="8" w:space="2" w:color="1F3B57"/>
        </w:pBdr>
      </w:pPr>
      <w:r>
        <w:rPr>
          <w:b/>
          <w:color w:val="1F3B57"/>
          <w:sz w:val="28"/>
        </w:rPr>
        <w:t>4. LES SCHÉMAS DE COHÉRENCE TERRITORIALE</w:t>
      </w:r>
    </w:p>
    <w:p>
      <w:pPr>
        <w:keepNext/>
        <w:spacing w:before="240" w:after="80"/>
      </w:pPr>
      <w:r>
        <w:rPr>
          <w:b/>
          <w:color w:val="1F3B57"/>
          <w:sz w:val="24"/>
        </w:rPr>
        <w:t>4.1 Écommoy — le SCoT Air-Énergie-Climat du Pays du Mans</w:t>
      </w:r>
    </w:p>
    <w:p>
      <w:pPr>
        <w:jc w:val="both"/>
      </w:pPr>
      <w:r>
        <w:rPr>
          <w:b w:val="0"/>
          <w:i w:val="0"/>
          <w:sz w:val="21"/>
        </w:rPr>
        <w:t>Le Pays du Mans est un syndicat mixte regroupant six intercommunalités de la Sarthe centrale, soit 90 communes et environ 317 000 habitants. Son comité syndical est l’autorité compétente pour approuver, suivre et réviser le schéma de cohérence territoriale.</w:t>
      </w:r>
    </w:p>
    <w:p>
      <w:pPr>
        <w:jc w:val="both"/>
      </w:pPr>
      <w:r>
        <w:rPr>
          <w:b w:val="0"/>
          <w:i w:val="0"/>
          <w:sz w:val="21"/>
        </w:rPr>
        <w:t xml:space="preserve">Le territoire s’est doté d’un document de nouvelle génération, le </w:t>
      </w:r>
      <w:r>
        <w:rPr>
          <w:b/>
          <w:i w:val="0"/>
          <w:sz w:val="21"/>
        </w:rPr>
        <w:t>schéma de cohérence territoriale Air-Énergie-Climat</w:t>
      </w:r>
      <w:r>
        <w:rPr>
          <w:b w:val="0"/>
          <w:i w:val="0"/>
          <w:sz w:val="21"/>
        </w:rPr>
        <w:t>, projet politique établi à l’horizon 2046 qui intègre le volet climatique et énergétique et vaut plan climat en 2026. Le projet a fait l’objet d’une enquête publique conduite du 6 octobre au 8 novembre 2025. Il définit un modèle de développement en transition écologique, fondé sur la maîtrise de l’artificialisation des sols et sur un fil conducteur d’urbanisme favorable à la santé.</w:t>
      </w:r>
    </w:p>
    <w:p>
      <w:pPr>
        <w:jc w:val="both"/>
      </w:pPr>
      <w:r>
        <w:rPr>
          <w:b w:val="0"/>
          <w:i w:val="0"/>
          <w:sz w:val="21"/>
        </w:rPr>
        <w:t>Le projet d’Écommoy s’inscrit dans ce cadre à trois titres :</w:t>
      </w:r>
    </w:p>
    <w:p>
      <w:pPr>
        <w:pStyle w:val="ListBullet"/>
        <w:spacing w:after="60"/>
        <w:ind w:left="340"/>
        <w:jc w:val="both"/>
      </w:pPr>
      <w:r>
        <w:rPr>
          <w:b/>
          <w:sz w:val="21"/>
        </w:rPr>
        <w:t>Maîtrise de l’artificialisation.</w:t>
      </w:r>
      <w:r>
        <w:rPr>
          <w:b w:val="0"/>
          <w:sz w:val="21"/>
        </w:rPr>
        <w:t xml:space="preserve"> La réhabilitation d’une friche industrielle qualifiée au sens de l’article L. 111-26 du code de l’urbanisme, en cessation d’activité depuis novembre 2014, constitue l’opération de référence que le schéma promeut : accueil d’une activité productive nouvelle sans consommation d’espace naturel, agricole ou forestier. Le commissaire enquêteur chargé de l’autorisation environnementale du projet l’a expressément relevé.</w:t>
      </w:r>
    </w:p>
    <w:p>
      <w:pPr>
        <w:pStyle w:val="ListBullet"/>
        <w:spacing w:after="60"/>
        <w:ind w:left="340"/>
        <w:jc w:val="both"/>
      </w:pPr>
      <w:r>
        <w:rPr>
          <w:b/>
          <w:sz w:val="21"/>
        </w:rPr>
        <w:t>Volet air-énergie-climat.</w:t>
      </w:r>
      <w:r>
        <w:rPr>
          <w:b w:val="0"/>
          <w:sz w:val="21"/>
        </w:rPr>
        <w:t xml:space="preserve"> L’intégration du volet climatique dans le schéma signifie que la production locale d’énergie renouvelable et la substitution de combustibles fossiles ne relèvent plus d’une politique sectorielle distincte, mais du document d’aménagement lui-même. Une unité produisant 92 000 tonnes de granulés certifiés par an, soit environ 442 GWh PCI, contribue directement à la trajectoire énergétique du schéma.</w:t>
      </w:r>
    </w:p>
    <w:p>
      <w:pPr>
        <w:pStyle w:val="ListBullet"/>
        <w:spacing w:after="60"/>
        <w:ind w:left="340"/>
        <w:jc w:val="both"/>
      </w:pPr>
      <w:r>
        <w:rPr>
          <w:b/>
          <w:sz w:val="21"/>
        </w:rPr>
        <w:t>Économie circulaire et recyclage foncier.</w:t>
      </w:r>
      <w:r>
        <w:rPr>
          <w:b w:val="0"/>
          <w:sz w:val="21"/>
        </w:rPr>
        <w:t xml:space="preserve"> Le schéma encourage la densification économique des espaces existants et le réemploi du foncier d’activité, orientation que le territoire met déjà en œuvre, notamment par l’opération conduite avec la communauté de communes sur l’optimisation du bâti existant.</w:t>
      </w: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Élément de calendrier</w:t>
            </w:r>
          </w:p>
          <w:p>
            <w:pPr>
              <w:jc w:val="both"/>
            </w:pPr>
            <w:r>
              <w:rPr>
                <w:b w:val="0"/>
                <w:sz w:val="19"/>
              </w:rPr>
              <w:t>Le schéma de cohérence territoriale du Pays du Mans est en phase terminale d’élaboration, après une enquête publique close en novembre 2025, et doit produire ses effets en 2026. Le projet d’Écommoy se situe donc à la charnière de deux générations de documents : il a été autorisé sous le régime antérieur et s’inscrira dans l’exécution du nouveau schéma. Les caractéristiques du projet — recyclage foncier intégral, production d’énergie renouvelable, circuit court — le placent en cohérence avec l’un comme avec l’autre.</w:t>
            </w:r>
          </w:p>
        </w:tc>
      </w:tr>
    </w:tbl>
    <w:p>
      <w:pPr>
        <w:spacing w:after="80"/>
      </w:pPr>
    </w:p>
    <w:p>
      <w:pPr>
        <w:keepNext/>
        <w:spacing w:before="240" w:after="80"/>
      </w:pPr>
      <w:r>
        <w:rPr>
          <w:b/>
          <w:color w:val="1F3B57"/>
          <w:sz w:val="24"/>
        </w:rPr>
        <w:t>4.2 Hirson — le SCoT du Pays de Thiérache, valant plan climat</w:t>
      </w:r>
    </w:p>
    <w:p>
      <w:pPr>
        <w:jc w:val="both"/>
      </w:pPr>
      <w:r>
        <w:rPr>
          <w:b w:val="0"/>
          <w:i w:val="0"/>
          <w:sz w:val="21"/>
        </w:rPr>
        <w:t>Le Pays de Thiérache est un pôle d’équilibre territorial et rural, créé en octobre 2014 par transformation du syndicat mixte préexistant et dont le siège est à Vervins. Il réunit quatre communautés de communes — Thiérache Sambre et Oise, Thiérache du Centre, Trois Rivières et Portes de la Thiérache — pour environ 73 000 habitants. La commune d’Hirson relève de la communauté de communes du Pays des Trois Rivières, qui en est le membre le plus peuplé.</w:t>
      </w:r>
    </w:p>
    <w:p>
      <w:pPr>
        <w:jc w:val="both"/>
      </w:pPr>
      <w:r>
        <w:rPr>
          <w:b w:val="0"/>
          <w:i w:val="0"/>
          <w:sz w:val="21"/>
        </w:rPr>
        <w:t xml:space="preserve">Le PETR conduit depuis 2021 l’élaboration d’un </w:t>
      </w:r>
      <w:r>
        <w:rPr>
          <w:b/>
          <w:i w:val="0"/>
          <w:sz w:val="21"/>
        </w:rPr>
        <w:t>schéma de cohérence territoriale valant plan climat-air-énergie territorial</w:t>
      </w:r>
      <w:r>
        <w:rPr>
          <w:b w:val="0"/>
          <w:i w:val="0"/>
          <w:sz w:val="21"/>
        </w:rPr>
        <w:t>, dont l’achèvement est prévu en 2026. Ce choix d’un document unique, explicitement retenu par le territoire, vise l’intégration complète des politiques territoriales, la prise en compte effective des enjeux climatiques et énergétiques dans l’aménagement, et le renforcement de la portée des engagements écologiques de la collectivité.</w:t>
      </w:r>
    </w:p>
    <w:p>
      <w:pPr>
        <w:jc w:val="both"/>
      </w:pPr>
      <w:r>
        <w:rPr>
          <w:b w:val="0"/>
          <w:i w:val="0"/>
          <w:sz w:val="21"/>
        </w:rPr>
        <w:t>Cette configuration est favorable au projet. Dans un document qui traite d’un même mouvement l’aménagement et l’énergie :</w:t>
      </w:r>
    </w:p>
    <w:p>
      <w:pPr>
        <w:pStyle w:val="ListBullet"/>
        <w:spacing w:after="60"/>
        <w:ind w:left="340"/>
        <w:jc w:val="both"/>
      </w:pPr>
      <w:r>
        <w:rPr>
          <w:b w:val="0"/>
          <w:sz w:val="21"/>
        </w:rPr>
        <w:t>La réhabilitation d’un ancien site ferroviaire et industriel communal, déjà classé en zone à vocation industrielle, répond à la trajectoire de sobriété foncière la plus exigeante des trois régions concernées — le schéma régional des Hauts-de-France retenant une réduction de 54,47 % de la consommation d’espaces naturels, agricoles et forestiers sur 2021-2031.</w:t>
      </w:r>
    </w:p>
    <w:p>
      <w:pPr>
        <w:pStyle w:val="ListBullet"/>
        <w:spacing w:after="60"/>
        <w:ind w:left="340"/>
        <w:jc w:val="both"/>
      </w:pPr>
      <w:r>
        <w:rPr>
          <w:b w:val="0"/>
          <w:sz w:val="21"/>
        </w:rPr>
        <w:t>La production de 100 000 tonnes de granulés par an, soit environ 480 GWh PCI, et la valorisation du gisement bocager thiérachien relèvent directement du volet énergie du document.</w:t>
      </w:r>
    </w:p>
    <w:p>
      <w:pPr>
        <w:pStyle w:val="ListBullet"/>
        <w:spacing w:after="60"/>
        <w:ind w:left="340"/>
        <w:jc w:val="both"/>
      </w:pPr>
      <w:r>
        <w:rPr>
          <w:b w:val="0"/>
          <w:sz w:val="21"/>
        </w:rPr>
        <w:t>L’option de raccordement ferroviaire prévue en phase 2 répond à l’orientation de report modal rappelée par le schéma régional.</w:t>
      </w:r>
    </w:p>
    <w:p>
      <w:pPr>
        <w:jc w:val="both"/>
      </w:pPr>
      <w:r>
        <w:rPr>
          <w:b w:val="0"/>
          <w:i w:val="0"/>
          <w:sz w:val="21"/>
        </w:rPr>
        <w:t xml:space="preserve">Le PETR porte par ailleurs un </w:t>
      </w:r>
      <w:r>
        <w:rPr>
          <w:b/>
          <w:i w:val="0"/>
          <w:sz w:val="21"/>
        </w:rPr>
        <w:t>contrat d’objectif territorial</w:t>
      </w:r>
      <w:r>
        <w:rPr>
          <w:b w:val="0"/>
          <w:i w:val="0"/>
          <w:sz w:val="21"/>
        </w:rPr>
        <w:t xml:space="preserve"> conclu avec l’ADEME, instrument par lequel un territoire structure sa politique de transition écologique. Le projet apporte à ce cadre une contribution industrielle concrète, sur un territoire dont les moyens d’action propres sont limités.</w:t>
      </w:r>
    </w:p>
    <w:p>
      <w:pPr>
        <w:keepNext/>
        <w:spacing w:before="240" w:after="80"/>
      </w:pPr>
      <w:r>
        <w:rPr>
          <w:b/>
          <w:color w:val="1F3B57"/>
          <w:sz w:val="24"/>
        </w:rPr>
        <w:t>4.3 Damblain — le PETR du Pays de l’Ouest Vosgien</w:t>
      </w:r>
    </w:p>
    <w:p>
      <w:pPr>
        <w:jc w:val="both"/>
      </w:pPr>
      <w:r>
        <w:rPr>
          <w:b w:val="0"/>
          <w:i w:val="0"/>
          <w:sz w:val="21"/>
        </w:rPr>
        <w:t>Le Pays de l’Ouest Vosgien est un pôle d’équilibre territorial et rural dont le siège est à Neufchâteau. Il réunit trois communautés de communes — Ouest Vosgien, Mirecourt-Dompaire et Vosges côté Sud-Ouest — soit 190 communes vosgiennes et une commune de Haute-Marne, Liffol-le-Petit, pour environ 61 000 habitants. Il est notamment compétent pour l’élaboration, la révision et le suivi du schéma de cohérence territoriale.</w:t>
      </w:r>
    </w:p>
    <w:p>
      <w:pPr>
        <w:jc w:val="both"/>
      </w:pPr>
      <w:r>
        <w:rPr>
          <w:b w:val="0"/>
          <w:i w:val="0"/>
          <w:sz w:val="21"/>
        </w:rPr>
        <w:t>L’implantation du projet sur la zone d’activité Cap Vosges relève d’une logique que tout document de planification de cette nature promeut : la valorisation productive d’une zone d’activité existante, déjà aménagée, viabilisée et raccordée aux réseaux routier et ferroviaire, sans extension de l’enveloppe artificialisée. L’emprise, ancienne base aérienne reconvertie par le Département des Vosges, a été spécifiquement équipée en vue d’un usage industriel et logistique : son occupation par une unité de production constitue l’aboutissement du parti d’aménagement retenu par la collectivité.</w:t>
      </w:r>
    </w:p>
    <w:p>
      <w:pPr>
        <w:jc w:val="both"/>
      </w:pPr>
      <w:r>
        <w:rPr>
          <w:b w:val="0"/>
          <w:i w:val="0"/>
          <w:sz w:val="21"/>
        </w:rPr>
        <w:t>L’échelle du PETR est également pertinente au regard de l’approvisionnement. Le bassin de mobilisation de la biomasse du projet dépasse largement le périmètre communal et intercommunal : il couvre les massifs vosgiens et limitrophes de la Haute-Marne et de la Meuse. Un projet de territoire à l’échelle du Pays constitue le cadre approprié pour articuler ce débouché industriel avec une démarche de charte forestière de territoire associant propriétaires, exploitants, collectivités et acteurs économiques.</w:t>
      </w:r>
    </w:p>
    <w:p>
      <w:pPr>
        <w:keepNext/>
        <w:spacing w:before="240" w:after="80"/>
      </w:pPr>
      <w:r>
        <w:rPr>
          <w:b/>
          <w:color w:val="1F3B57"/>
          <w:sz w:val="24"/>
        </w:rPr>
        <w:t>4.4 Une convergence des trois territoires</w:t>
      </w:r>
    </w:p>
    <w:tbl>
      <w:tblPr>
        <w:tblStyle w:val="TableGrid"/>
        <w:tblW w:type="auto" w:w="0"/>
        <w:tblLook w:firstColumn="1" w:firstRow="1" w:lastColumn="0" w:lastRow="0" w:noHBand="0" w:noVBand="1" w:val="04A0"/>
      </w:tblPr>
      <w:tblGrid>
        <w:gridCol w:w="9746"/>
      </w:tblGrid>
      <w:tr>
        <w:tc>
          <w:tcPr>
            <w:tcW w:type="dxa" w:w="9746"/>
            <w:shd w:val="clear" w:fill="EEF3F8"/>
          </w:tcPr>
          <w:p>
            <w:r/>
            <w:r>
              <w:rPr>
                <w:b/>
                <w:color w:val="1F3B57"/>
                <w:sz w:val="20"/>
              </w:rPr>
              <w:t>Le point saillant de l’analyse</w:t>
            </w:r>
          </w:p>
          <w:p>
            <w:pPr>
              <w:jc w:val="both"/>
            </w:pPr>
            <w:r>
              <w:rPr>
                <w:b w:val="0"/>
                <w:sz w:val="19"/>
              </w:rPr>
              <w:t xml:space="preserve">Sur les trois territoires d’implantation, le document de planification intermédiaire applicable </w:t>
            </w:r>
            <w:r>
              <w:rPr>
                <w:b/>
                <w:sz w:val="19"/>
              </w:rPr>
              <w:t>intègre le volet climat-air-énergie</w:t>
            </w:r>
            <w:r>
              <w:rPr>
                <w:b w:val="0"/>
                <w:sz w:val="19"/>
              </w:rPr>
              <w:t xml:space="preserve"> : schéma de cohérence territoriale Air-Énergie-Climat au Pays du Mans, schéma valant plan climat-air-énergie territorial en Thiérache. Les deux sont en cours d’approbation ou d’achèvement en 2026. Cette génération de documents ne se borne plus à localiser les activités : elle fixe des trajectoires énergétiques et climatiques à l’échelle du bassin de vie. Un projet qui produit de l’énergie renouvelable à partir d’une ressource locale, sur un foncier recyclé, cesse dès lors d’être un simple objet d’aménagement à autoriser : il devient un moyen d’atteindre les objectifs que le document se donne.</w:t>
            </w:r>
          </w:p>
        </w:tc>
      </w:tr>
    </w:tbl>
    <w:p>
      <w:pPr>
        <w:spacing w:after="80"/>
      </w:pPr>
    </w:p>
    <w:p>
      <w:r>
        <w:br w:type="page"/>
      </w:r>
    </w:p>
    <w:p>
      <w:pPr>
        <w:keepNext/>
        <w:spacing w:before="360" w:after="160"/>
        <w:pBdr>
          <w:bottom w:val="single" w:sz="8" w:space="2" w:color="1F3B57"/>
        </w:pBdr>
      </w:pPr>
      <w:r>
        <w:rPr>
          <w:b/>
          <w:color w:val="1F3B57"/>
          <w:sz w:val="28"/>
        </w:rPr>
        <w:t>5. LA CONTRACTUALISATION ENTRE L’ÉTAT, LA RÉGION ET LES TERRITOIRES</w:t>
      </w:r>
    </w:p>
    <w:p>
      <w:pPr>
        <w:keepNext/>
        <w:spacing w:before="240" w:after="80"/>
      </w:pPr>
      <w:r>
        <w:rPr>
          <w:b/>
          <w:color w:val="1F3B57"/>
          <w:sz w:val="24"/>
        </w:rPr>
        <w:t>5.1 Le contrat pour la réussite de la transition écologique</w:t>
      </w:r>
    </w:p>
    <w:p>
      <w:pPr>
        <w:jc w:val="both"/>
      </w:pPr>
      <w:r>
        <w:rPr>
          <w:b w:val="0"/>
          <w:i w:val="0"/>
          <w:sz w:val="21"/>
        </w:rPr>
        <w:t xml:space="preserve">Issu du plan de relance de 2020 sous la dénomination de contrat de relance et de transition écologique, ce contrat a été généralisé, son champ élargi, et il porte désormais le nom de </w:t>
      </w:r>
      <w:r>
        <w:rPr>
          <w:b/>
          <w:i w:val="0"/>
          <w:sz w:val="21"/>
        </w:rPr>
        <w:t>contrat pour la réussite de la transition écologique</w:t>
      </w:r>
      <w:r>
        <w:rPr>
          <w:b w:val="0"/>
          <w:i w:val="0"/>
          <w:sz w:val="21"/>
        </w:rPr>
        <w:t>. Conclu entre l’État et un territoire de projet — intercommunalité, PETR ou syndicat mixte — il rassemble en un cadre unique les engagements des partenaires publics sur un programme d’actions pluriannuel.</w:t>
      </w:r>
    </w:p>
    <w:p>
      <w:pPr>
        <w:jc w:val="both"/>
      </w:pPr>
      <w:r>
        <w:rPr>
          <w:b w:val="0"/>
          <w:i w:val="0"/>
          <w:sz w:val="21"/>
        </w:rPr>
        <w:t xml:space="preserve">Depuis l’installation des conférences des parties régionales, ces contrats constituent </w:t>
      </w:r>
      <w:r>
        <w:rPr>
          <w:b/>
          <w:i w:val="0"/>
          <w:sz w:val="21"/>
        </w:rPr>
        <w:t>l’instrument de déclinaison locale de la planification écologique</w:t>
      </w:r>
      <w:r>
        <w:rPr>
          <w:b w:val="0"/>
          <w:i w:val="0"/>
          <w:sz w:val="21"/>
        </w:rPr>
        <w:t xml:space="preserve"> : les feuilles de route arrêtées à l’échelle régionale y sont traduites à l’échelle des bassins de vie. Une relance de la démarche a été conduite en 2025, avec réunion des comités locaux de cohésion territoriale, revues de projets conduites par les préfets et actualisation des plans d’action.</w:t>
      </w:r>
    </w:p>
    <w:p>
      <w:pPr>
        <w:jc w:val="both"/>
      </w:pPr>
      <w:r>
        <w:rPr>
          <w:b w:val="0"/>
          <w:i w:val="0"/>
          <w:sz w:val="21"/>
        </w:rPr>
        <w:t>Le rattachement d’un projet industriel privé à un tel contrat n’emporte pas, par lui-même, d’engagement financier : le contrat recense et met en cohérence les actions concourant aux objectifs du territoire. Son intérêt est d’une autre nature. Il inscrit le projet dans le plan d’action partagé du territoire, il le rend visible des services de l’État et des cofinanceurs réunis dans une même gouvernance, et il en fait une composante de la trajectoire écologique locale plutôt qu’une opération isolée.</w:t>
      </w:r>
    </w:p>
    <w:p>
      <w:pPr>
        <w:keepNext/>
        <w:spacing w:before="240" w:after="80"/>
      </w:pPr>
      <w:r>
        <w:rPr>
          <w:b/>
          <w:color w:val="1F3B57"/>
          <w:sz w:val="24"/>
        </w:rPr>
        <w:t>5.2 Les déclinaisons régionales</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fill="1F3B57"/>
          </w:tcPr>
          <w:p>
            <w:r/>
            <w:r>
              <w:rPr>
                <w:b/>
                <w:color w:val="FFFFFF"/>
                <w:sz w:val="17"/>
              </w:rPr>
              <w:t>Région</w:t>
            </w:r>
          </w:p>
        </w:tc>
        <w:tc>
          <w:tcPr>
            <w:tcW w:type="dxa" w:w="2551"/>
            <w:shd w:val="clear" w:fill="1F3B57"/>
          </w:tcPr>
          <w:p>
            <w:r/>
            <w:r>
              <w:rPr>
                <w:b/>
                <w:color w:val="FFFFFF"/>
                <w:sz w:val="17"/>
              </w:rPr>
              <w:t>Dispositif</w:t>
            </w:r>
          </w:p>
        </w:tc>
        <w:tc>
          <w:tcPr>
            <w:tcW w:type="dxa" w:w="5386"/>
            <w:shd w:val="clear" w:fill="1F3B57"/>
          </w:tcPr>
          <w:p>
            <w:r/>
            <w:r>
              <w:rPr>
                <w:b/>
                <w:color w:val="FFFFFF"/>
                <w:sz w:val="17"/>
              </w:rPr>
              <w:t>Caractéristiques</w:t>
            </w:r>
          </w:p>
        </w:tc>
      </w:tr>
      <w:tr>
        <w:tc>
          <w:tcPr>
            <w:tcW w:type="dxa" w:w="1417"/>
          </w:tcPr>
          <w:p>
            <w:pPr>
              <w:spacing w:after="40"/>
            </w:pPr>
            <w:r/>
            <w:r>
              <w:rPr>
                <w:b/>
                <w:sz w:val="17"/>
              </w:rPr>
              <w:t>Grand Est</w:t>
            </w:r>
          </w:p>
        </w:tc>
        <w:tc>
          <w:tcPr>
            <w:tcW w:type="dxa" w:w="2551"/>
          </w:tcPr>
          <w:p>
            <w:pPr>
              <w:spacing w:after="40"/>
            </w:pPr>
            <w:r/>
            <w:r>
              <w:rPr>
                <w:b w:val="0"/>
                <w:sz w:val="17"/>
              </w:rPr>
              <w:t>Pacte territorial de relance et de transition écologique (PTRTE)</w:t>
            </w:r>
          </w:p>
        </w:tc>
        <w:tc>
          <w:tcPr>
            <w:tcW w:type="dxa" w:w="5386"/>
          </w:tcPr>
          <w:p>
            <w:pPr>
              <w:spacing w:after="40"/>
            </w:pPr>
            <w:r/>
            <w:r>
              <w:rPr>
                <w:b w:val="0"/>
                <w:sz w:val="17"/>
              </w:rPr>
              <w:t>Dispositif propre à la région, issu de la convergence du contrat porté par l’État et du pacte territorial porté par le Conseil régional, auxquels s’ajoute le contrat départemental. Engagement des collectivités sur un projet de territoire à six ans (2021-2026). La gouvernance repose sur un comité de pacte intégrateur co-présidé par le préfet et le président du Conseil régional, réuni au moins une fois par an.</w:t>
            </w:r>
          </w:p>
        </w:tc>
      </w:tr>
      <w:tr>
        <w:tc>
          <w:tcPr>
            <w:tcW w:type="dxa" w:w="1417"/>
          </w:tcPr>
          <w:p>
            <w:pPr>
              <w:spacing w:after="40"/>
            </w:pPr>
            <w:r/>
            <w:r>
              <w:rPr>
                <w:b/>
                <w:sz w:val="17"/>
              </w:rPr>
              <w:t>Hauts-de-France</w:t>
            </w:r>
          </w:p>
        </w:tc>
        <w:tc>
          <w:tcPr>
            <w:tcW w:type="dxa" w:w="2551"/>
          </w:tcPr>
          <w:p>
            <w:pPr>
              <w:spacing w:after="40"/>
            </w:pPr>
            <w:r/>
            <w:r>
              <w:rPr>
                <w:b w:val="0"/>
                <w:sz w:val="17"/>
              </w:rPr>
              <w:t>Contrat pour la réussite de la transition écologique ; contrats territoriaux de développement</w:t>
            </w:r>
          </w:p>
        </w:tc>
        <w:tc>
          <w:tcPr>
            <w:tcW w:type="dxa" w:w="5386"/>
          </w:tcPr>
          <w:p>
            <w:pPr>
              <w:spacing w:after="40"/>
            </w:pPr>
            <w:r/>
            <w:r>
              <w:rPr>
                <w:b w:val="0"/>
                <w:sz w:val="17"/>
              </w:rPr>
              <w:t>Les contrats territoriaux de développement associent l’État, la Région, les Départements et les intercommunalités signataires, et mobilisent les politiques publiques sur des enjeux territoriaux identifiés : renouveau économique, aménagement, transports, environnement, formation, santé. Le territoire d’Hirson relève en outre du Pacte pour la réussite de la Sambre-Avesnois-Thiérache, dont le troisième acte a été signé le 2 septembre 2025 pour la période 2025-2029 avec 44 signataires.</w:t>
            </w:r>
          </w:p>
        </w:tc>
      </w:tr>
      <w:tr>
        <w:tc>
          <w:tcPr>
            <w:tcW w:type="dxa" w:w="1417"/>
          </w:tcPr>
          <w:p>
            <w:pPr>
              <w:spacing w:after="40"/>
            </w:pPr>
            <w:r/>
            <w:r>
              <w:rPr>
                <w:b/>
                <w:sz w:val="17"/>
              </w:rPr>
              <w:t>Pays de la Loire</w:t>
            </w:r>
          </w:p>
        </w:tc>
        <w:tc>
          <w:tcPr>
            <w:tcW w:type="dxa" w:w="2551"/>
          </w:tcPr>
          <w:p>
            <w:pPr>
              <w:spacing w:after="40"/>
            </w:pPr>
            <w:r/>
            <w:r>
              <w:rPr>
                <w:b w:val="0"/>
                <w:sz w:val="17"/>
              </w:rPr>
              <w:t>Pacte stratégique régional et Contrat Pays de la Loire 2026</w:t>
            </w:r>
          </w:p>
        </w:tc>
        <w:tc>
          <w:tcPr>
            <w:tcW w:type="dxa" w:w="5386"/>
          </w:tcPr>
          <w:p>
            <w:pPr>
              <w:spacing w:after="40"/>
            </w:pPr>
            <w:r/>
            <w:r>
              <w:rPr>
                <w:b w:val="0"/>
                <w:sz w:val="17"/>
              </w:rPr>
              <w:t>Le Contrat Pays de la Loire est la déclinaison opérationnelle du pacte stratégique régional conclu entre la Région et l’intercommunalité, et porte sur le soutien à l’investissement public local pour la durée du mandat municipal. Il répond exclusivement à trois thématiques régionales — emploi et économie, jeunesse, transition écologique — et intègre les principes fondateurs de la transition écologique. La conclusion préalable d’un pacte stratégique régional conditionne l’approbation du contrat.</w:t>
            </w:r>
          </w:p>
        </w:tc>
      </w:tr>
    </w:tbl>
    <w:p>
      <w:pPr>
        <w:spacing w:after="80"/>
      </w:pPr>
    </w:p>
    <w:p>
      <w:pPr>
        <w:jc w:val="both"/>
      </w:pPr>
      <w:r>
        <w:rPr>
          <w:b w:val="0"/>
          <w:i w:val="0"/>
          <w:sz w:val="21"/>
        </w:rPr>
        <w:t xml:space="preserve">Ces trois dispositifs partagent une même architecture : une contractualisation pluriannuelle entre l’État, la Région et un territoire de projet, adossée à un projet de territoire, et orientée en priorité vers la transition écologique et le renouveau économique. Ils s’articulent enfin avec le </w:t>
      </w:r>
      <w:r>
        <w:rPr>
          <w:b/>
          <w:i w:val="0"/>
          <w:sz w:val="21"/>
        </w:rPr>
        <w:t>contrat de plan État-Région 2021-2027</w:t>
      </w:r>
      <w:r>
        <w:rPr>
          <w:b w:val="0"/>
          <w:i w:val="0"/>
          <w:sz w:val="21"/>
        </w:rPr>
        <w:t>, qui porte les engagements financiers pluriannuels de l’État et de la Région sur les infrastructures, la transition écologique et le développement économique.</w:t>
      </w:r>
    </w:p>
    <w:p>
      <w:pPr>
        <w:keepNext/>
        <w:spacing w:before="240" w:after="80"/>
      </w:pPr>
      <w:r>
        <w:rPr>
          <w:b/>
          <w:color w:val="1F3B57"/>
          <w:sz w:val="24"/>
        </w:rPr>
        <w:t>5.3 Ce que les projets apportent à ces cadres</w:t>
      </w:r>
    </w:p>
    <w:p>
      <w:pPr>
        <w:jc w:val="both"/>
      </w:pPr>
      <w:r>
        <w:rPr>
          <w:b w:val="0"/>
          <w:i w:val="0"/>
          <w:sz w:val="21"/>
        </w:rPr>
        <w:t>Rapportée aux plans d’action de territoires ruraux ou post-industriels, la contribution d’une unité de granulation est d’un ordre de grandeur inhabituel. Elle se mesure sur quatre registres que les contrats de transition écologique retiennent précisément comme indicateurs :</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F3B57"/>
          </w:tcPr>
          <w:p>
            <w:r/>
            <w:r>
              <w:rPr>
                <w:b/>
                <w:color w:val="FFFFFF"/>
                <w:sz w:val="18"/>
              </w:rPr>
              <w:t>Registre</w:t>
            </w:r>
          </w:p>
        </w:tc>
        <w:tc>
          <w:tcPr>
            <w:tcW w:type="dxa" w:w="3969"/>
            <w:shd w:val="clear" w:fill="1F3B57"/>
          </w:tcPr>
          <w:p>
            <w:r/>
            <w:r>
              <w:rPr>
                <w:b/>
                <w:color w:val="FFFFFF"/>
                <w:sz w:val="18"/>
              </w:rPr>
              <w:t>Contribution par site</w:t>
            </w:r>
          </w:p>
        </w:tc>
        <w:tc>
          <w:tcPr>
            <w:tcW w:type="dxa" w:w="3118"/>
            <w:shd w:val="clear" w:fill="1F3B57"/>
          </w:tcPr>
          <w:p>
            <w:r/>
            <w:r>
              <w:rPr>
                <w:b/>
                <w:color w:val="FFFFFF"/>
                <w:sz w:val="18"/>
              </w:rPr>
              <w:t>Contribution consolidée</w:t>
            </w:r>
          </w:p>
        </w:tc>
      </w:tr>
      <w:tr>
        <w:tc>
          <w:tcPr>
            <w:tcW w:type="dxa" w:w="2268"/>
          </w:tcPr>
          <w:p>
            <w:pPr>
              <w:spacing w:after="40"/>
            </w:pPr>
            <w:r/>
            <w:r>
              <w:rPr>
                <w:b w:val="0"/>
                <w:sz w:val="18"/>
              </w:rPr>
              <w:t>Production d’énergie renouvelable</w:t>
            </w:r>
          </w:p>
        </w:tc>
        <w:tc>
          <w:tcPr>
            <w:tcW w:type="dxa" w:w="3969"/>
          </w:tcPr>
          <w:p>
            <w:pPr>
              <w:spacing w:after="40"/>
            </w:pPr>
            <w:r/>
            <w:r>
              <w:rPr>
                <w:b w:val="0"/>
                <w:sz w:val="18"/>
              </w:rPr>
              <w:t>442 à 576 GWh PCI par an selon le site</w:t>
            </w:r>
          </w:p>
        </w:tc>
        <w:tc>
          <w:tcPr>
            <w:tcW w:type="dxa" w:w="3118"/>
          </w:tcPr>
          <w:p>
            <w:pPr>
              <w:spacing w:after="40"/>
            </w:pPr>
            <w:r/>
            <w:r>
              <w:rPr>
                <w:b w:val="0"/>
                <w:sz w:val="18"/>
              </w:rPr>
              <w:t>≈ 1 500 GWh PCI par an</w:t>
            </w:r>
          </w:p>
        </w:tc>
      </w:tr>
      <w:tr>
        <w:tc>
          <w:tcPr>
            <w:tcW w:type="dxa" w:w="2268"/>
          </w:tcPr>
          <w:p>
            <w:pPr>
              <w:spacing w:after="40"/>
            </w:pPr>
            <w:r/>
            <w:r>
              <w:rPr>
                <w:b w:val="0"/>
                <w:sz w:val="18"/>
              </w:rPr>
              <w:t>Émissions évitées</w:t>
            </w:r>
          </w:p>
        </w:tc>
        <w:tc>
          <w:tcPr>
            <w:tcW w:type="dxa" w:w="3969"/>
          </w:tcPr>
          <w:p>
            <w:pPr>
              <w:spacing w:after="40"/>
            </w:pPr>
            <w:r/>
            <w:r>
              <w:rPr>
                <w:b w:val="0"/>
                <w:sz w:val="18"/>
              </w:rPr>
              <w:t>100 000 à 131 000 t CO₂ par an (référence gaz naturel)</w:t>
            </w:r>
          </w:p>
        </w:tc>
        <w:tc>
          <w:tcPr>
            <w:tcW w:type="dxa" w:w="3118"/>
          </w:tcPr>
          <w:p>
            <w:pPr>
              <w:spacing w:after="40"/>
            </w:pPr>
            <w:r/>
            <w:r>
              <w:rPr>
                <w:b w:val="0"/>
                <w:sz w:val="18"/>
              </w:rPr>
              <w:t>≈ 340 000 t CO₂ par an</w:t>
            </w:r>
          </w:p>
        </w:tc>
      </w:tr>
      <w:tr>
        <w:tc>
          <w:tcPr>
            <w:tcW w:type="dxa" w:w="2268"/>
          </w:tcPr>
          <w:p>
            <w:pPr>
              <w:spacing w:after="40"/>
            </w:pPr>
            <w:r/>
            <w:r>
              <w:rPr>
                <w:b w:val="0"/>
                <w:sz w:val="18"/>
              </w:rPr>
              <w:t>Emploi</w:t>
            </w:r>
          </w:p>
        </w:tc>
        <w:tc>
          <w:tcPr>
            <w:tcW w:type="dxa" w:w="3969"/>
          </w:tcPr>
          <w:p>
            <w:pPr>
              <w:spacing w:after="40"/>
            </w:pPr>
            <w:r/>
            <w:r>
              <w:rPr>
                <w:b w:val="0"/>
                <w:sz w:val="18"/>
              </w:rPr>
              <w:t>30 emplois directs permanents et une centaine d’emplois indirects</w:t>
            </w:r>
          </w:p>
        </w:tc>
        <w:tc>
          <w:tcPr>
            <w:tcW w:type="dxa" w:w="3118"/>
          </w:tcPr>
          <w:p>
            <w:pPr>
              <w:spacing w:after="40"/>
            </w:pPr>
            <w:r/>
            <w:r>
              <w:rPr>
                <w:b w:val="0"/>
                <w:sz w:val="18"/>
              </w:rPr>
              <w:t>90 emplois directs, ≈ 300 emplois indirects</w:t>
            </w:r>
          </w:p>
        </w:tc>
      </w:tr>
      <w:tr>
        <w:tc>
          <w:tcPr>
            <w:tcW w:type="dxa" w:w="2268"/>
          </w:tcPr>
          <w:p>
            <w:pPr>
              <w:spacing w:after="40"/>
            </w:pPr>
            <w:r/>
            <w:r>
              <w:rPr>
                <w:b w:val="0"/>
                <w:sz w:val="18"/>
              </w:rPr>
              <w:t>Sobriété foncière</w:t>
            </w:r>
          </w:p>
        </w:tc>
        <w:tc>
          <w:tcPr>
            <w:tcW w:type="dxa" w:w="3969"/>
          </w:tcPr>
          <w:p>
            <w:pPr>
              <w:spacing w:after="40"/>
            </w:pPr>
            <w:r/>
            <w:r>
              <w:rPr>
                <w:b w:val="0"/>
                <w:sz w:val="18"/>
              </w:rPr>
              <w:t>Aucune consommation d’espace naturel, agricole ou forestier ; recyclage d’un foncier existant</w:t>
            </w:r>
          </w:p>
        </w:tc>
        <w:tc>
          <w:tcPr>
            <w:tcW w:type="dxa" w:w="3118"/>
          </w:tcPr>
          <w:p>
            <w:pPr>
              <w:spacing w:after="40"/>
            </w:pPr>
            <w:r/>
            <w:r>
              <w:rPr>
                <w:b w:val="0"/>
                <w:sz w:val="18"/>
              </w:rPr>
              <w:t>Trois opérations de recyclage foncier</w:t>
            </w:r>
          </w:p>
        </w:tc>
      </w:tr>
    </w:tbl>
    <w:p>
      <w:pPr>
        <w:spacing w:after="80"/>
      </w:pPr>
    </w:p>
    <w:p>
      <w:r>
        <w:br w:type="page"/>
      </w:r>
    </w:p>
    <w:p>
      <w:pPr>
        <w:keepNext/>
        <w:spacing w:before="360" w:after="160"/>
        <w:pBdr>
          <w:bottom w:val="single" w:sz="8" w:space="2" w:color="1F3B57"/>
        </w:pBdr>
      </w:pPr>
      <w:r>
        <w:rPr>
          <w:b/>
          <w:color w:val="1F3B57"/>
          <w:sz w:val="28"/>
        </w:rPr>
        <w:t>6. LES DISPOSITIFS ASSOCIÉS</w:t>
      </w:r>
    </w:p>
    <w:p>
      <w:pPr>
        <w:jc w:val="both"/>
      </w:pPr>
      <w:r>
        <w:rPr>
          <w:b w:val="0"/>
          <w:i w:val="0"/>
          <w:sz w:val="21"/>
        </w:rPr>
        <w:t>Autour des schémas et des contrats généraux gravite un ensemble de dispositifs sectoriels ou thématiques, dont plusieurs sont portés par les mêmes structures et concernent directement les projets.</w:t>
      </w:r>
    </w:p>
    <w:p>
      <w:pPr>
        <w:keepNext/>
        <w:spacing w:before="240" w:after="80"/>
      </w:pPr>
      <w:r>
        <w:rPr>
          <w:b/>
          <w:color w:val="1F3B57"/>
          <w:sz w:val="24"/>
        </w:rPr>
        <w:t>6.1 Le contrat d’objectif territorial de l’ADEME</w:t>
      </w:r>
    </w:p>
    <w:p>
      <w:pPr>
        <w:jc w:val="both"/>
      </w:pPr>
      <w:r>
        <w:rPr>
          <w:b w:val="0"/>
          <w:i w:val="0"/>
          <w:sz w:val="21"/>
        </w:rPr>
        <w:t xml:space="preserve">Le contrat d’objectif territorial est un accord-cadre tripartite conclu entre l’ADEME, la Région et un territoire — intercommunalité, PETR, syndicat — qui fixe pour trois à quatre ans des objectifs de transition écologique. Il s’appuie sur le programme </w:t>
      </w:r>
      <w:r>
        <w:rPr>
          <w:b/>
          <w:i w:val="0"/>
          <w:sz w:val="21"/>
        </w:rPr>
        <w:t>Territoire Engagé Transition Écologique</w:t>
      </w:r>
      <w:r>
        <w:rPr>
          <w:b w:val="0"/>
          <w:i w:val="0"/>
          <w:sz w:val="21"/>
        </w:rPr>
        <w:t xml:space="preserve"> et s’articule autour de deux référentiels thématiques, climat-air-énergie et économie circulaire. Il comporte un volet financier pouvant atteindre 350 000 euros, composé d’une part fixe et d’une part variable liée à l’atteinte des objectifs.</w:t>
      </w:r>
    </w:p>
    <w:p>
      <w:pPr>
        <w:jc w:val="both"/>
      </w:pPr>
      <w:r>
        <w:rPr>
          <w:b w:val="0"/>
          <w:i w:val="0"/>
          <w:sz w:val="21"/>
        </w:rPr>
        <w:t>Le PETR du Pays de Thiérache est engagé dans une telle démarche. Les deux référentiels du programme recoupent directement les caractéristiques des projets : production de chaleur et d’énergie renouvelables d’une part, valorisation de sous-produits et de matières sans débouché d’autre part.</w:t>
      </w:r>
    </w:p>
    <w:p>
      <w:pPr>
        <w:keepNext/>
        <w:spacing w:before="240" w:after="80"/>
      </w:pPr>
      <w:r>
        <w:rPr>
          <w:b/>
          <w:color w:val="1F3B57"/>
          <w:sz w:val="24"/>
        </w:rPr>
        <w:t>6.2 Les plans climat-air-énergie territoriaux</w:t>
      </w:r>
    </w:p>
    <w:p>
      <w:pPr>
        <w:jc w:val="both"/>
      </w:pPr>
      <w:r>
        <w:rPr>
          <w:b w:val="0"/>
          <w:i w:val="0"/>
          <w:sz w:val="21"/>
        </w:rPr>
        <w:t>Obligatoires pour les intercommunalités de plus de 20 000 habitants, les plans climat-air-énergie territoriaux fixent les objectifs locaux de réduction des émissions de gaz à effet de serre, de maîtrise de la consommation énergétique et de développement des énergies renouvelables. Sur deux des trois territoires examinés, ce document est désormais intégré au schéma de cohérence territoriale, ce qui en renforce la portée.</w:t>
      </w:r>
    </w:p>
    <w:p>
      <w:pPr>
        <w:jc w:val="both"/>
      </w:pPr>
      <w:r>
        <w:rPr>
          <w:b w:val="0"/>
          <w:i w:val="0"/>
          <w:sz w:val="21"/>
        </w:rPr>
        <w:t>La contribution des projets y est directe et annuellement mesurable, tant en production locale d’énergie renouvelable qu’en émissions évitées sur les territoires desservis.</w:t>
      </w:r>
    </w:p>
    <w:p>
      <w:pPr>
        <w:keepNext/>
        <w:spacing w:before="240" w:after="80"/>
      </w:pPr>
      <w:r>
        <w:rPr>
          <w:b/>
          <w:color w:val="1F3B57"/>
          <w:sz w:val="24"/>
        </w:rPr>
        <w:t>6.3 Les programmes de revitalisation et de réindustrialisation</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fill="1F3B57"/>
          </w:tcPr>
          <w:p>
            <w:r/>
            <w:r>
              <w:rPr>
                <w:b/>
                <w:color w:val="FFFFFF"/>
                <w:sz w:val="17"/>
              </w:rPr>
              <w:t>Dispositif</w:t>
            </w:r>
          </w:p>
        </w:tc>
        <w:tc>
          <w:tcPr>
            <w:tcW w:type="dxa" w:w="3402"/>
            <w:shd w:val="clear" w:fill="1F3B57"/>
          </w:tcPr>
          <w:p>
            <w:r/>
            <w:r>
              <w:rPr>
                <w:b/>
                <w:color w:val="FFFFFF"/>
                <w:sz w:val="17"/>
              </w:rPr>
              <w:t>Territoires concernés</w:t>
            </w:r>
          </w:p>
        </w:tc>
        <w:tc>
          <w:tcPr>
            <w:tcW w:type="dxa" w:w="3969"/>
            <w:shd w:val="clear" w:fill="1F3B57"/>
          </w:tcPr>
          <w:p>
            <w:r/>
            <w:r>
              <w:rPr>
                <w:b/>
                <w:color w:val="FFFFFF"/>
                <w:sz w:val="17"/>
              </w:rPr>
              <w:t>Articulation avec les projets</w:t>
            </w:r>
          </w:p>
        </w:tc>
      </w:tr>
      <w:tr>
        <w:tc>
          <w:tcPr>
            <w:tcW w:type="dxa" w:w="1984"/>
          </w:tcPr>
          <w:p>
            <w:pPr>
              <w:spacing w:after="40"/>
            </w:pPr>
            <w:r/>
            <w:r>
              <w:rPr>
                <w:b w:val="0"/>
                <w:sz w:val="17"/>
              </w:rPr>
              <w:t>Petites Villes de Demain et opération de revitalisation de territoire</w:t>
            </w:r>
          </w:p>
        </w:tc>
        <w:tc>
          <w:tcPr>
            <w:tcW w:type="dxa" w:w="3402"/>
          </w:tcPr>
          <w:p>
            <w:pPr>
              <w:spacing w:after="40"/>
            </w:pPr>
            <w:r/>
            <w:r>
              <w:rPr>
                <w:b w:val="0"/>
                <w:sz w:val="17"/>
              </w:rPr>
              <w:t>Écommoy, depuis 2021, convention-cadre valant opération de revitalisation signée le 21 décembre 2022 ; Hirson, commune labellisée</w:t>
            </w:r>
          </w:p>
        </w:tc>
        <w:tc>
          <w:tcPr>
            <w:tcW w:type="dxa" w:w="3969"/>
          </w:tcPr>
          <w:p>
            <w:pPr>
              <w:spacing w:after="40"/>
            </w:pPr>
            <w:r/>
            <w:r>
              <w:rPr>
                <w:b w:val="0"/>
                <w:sz w:val="17"/>
              </w:rPr>
              <w:t>Création d’emplois qualifiés et apport résidentiel dans des communes de moins de 10 000 habitants ; priorisation reconnue dans l’instruction des dispositifs de recyclage foncier</w:t>
            </w:r>
          </w:p>
        </w:tc>
      </w:tr>
      <w:tr>
        <w:tc>
          <w:tcPr>
            <w:tcW w:type="dxa" w:w="1984"/>
          </w:tcPr>
          <w:p>
            <w:pPr>
              <w:spacing w:after="40"/>
            </w:pPr>
            <w:r/>
            <w:r>
              <w:rPr>
                <w:b w:val="0"/>
                <w:sz w:val="17"/>
              </w:rPr>
              <w:t>Contrat de ville 2024-2030</w:t>
            </w:r>
          </w:p>
        </w:tc>
        <w:tc>
          <w:tcPr>
            <w:tcW w:type="dxa" w:w="3402"/>
          </w:tcPr>
          <w:p>
            <w:pPr>
              <w:spacing w:after="40"/>
            </w:pPr>
            <w:r/>
            <w:r>
              <w:rPr>
                <w:b w:val="0"/>
                <w:sz w:val="17"/>
              </w:rPr>
              <w:t>Hirson, seule commune de son intercommunalité inscrite en politique de la ville, avec deux quartiers prioritaires</w:t>
            </w:r>
          </w:p>
        </w:tc>
        <w:tc>
          <w:tcPr>
            <w:tcW w:type="dxa" w:w="3969"/>
          </w:tcPr>
          <w:p>
            <w:pPr>
              <w:spacing w:after="40"/>
            </w:pPr>
            <w:r/>
            <w:r>
              <w:rPr>
                <w:b w:val="0"/>
                <w:sz w:val="17"/>
              </w:rPr>
              <w:t>Volet économique et accès à l’emploi ; le quartier Gare et Verrière jouxte la zone d’implantation</w:t>
            </w:r>
          </w:p>
        </w:tc>
      </w:tr>
      <w:tr>
        <w:tc>
          <w:tcPr>
            <w:tcW w:type="dxa" w:w="1984"/>
          </w:tcPr>
          <w:p>
            <w:pPr>
              <w:spacing w:after="40"/>
            </w:pPr>
            <w:r/>
            <w:r>
              <w:rPr>
                <w:b w:val="0"/>
                <w:sz w:val="17"/>
              </w:rPr>
              <w:t>Territoires d’industrie</w:t>
            </w:r>
          </w:p>
        </w:tc>
        <w:tc>
          <w:tcPr>
            <w:tcW w:type="dxa" w:w="3402"/>
          </w:tcPr>
          <w:p>
            <w:pPr>
              <w:spacing w:after="40"/>
            </w:pPr>
            <w:r/>
            <w:r>
              <w:rPr>
                <w:b w:val="0"/>
                <w:sz w:val="17"/>
              </w:rPr>
              <w:t>Programme national, phase 2023-2027, 183 territoires labellisés</w:t>
            </w:r>
          </w:p>
        </w:tc>
        <w:tc>
          <w:tcPr>
            <w:tcW w:type="dxa" w:w="3969"/>
          </w:tcPr>
          <w:p>
            <w:pPr>
              <w:spacing w:after="40"/>
            </w:pPr>
            <w:r/>
            <w:r>
              <w:rPr>
                <w:b w:val="0"/>
                <w:sz w:val="17"/>
              </w:rPr>
              <w:t>Cadre d’appui et d’ingénierie à la réindustrialisation, fondé sur une gouvernance associant élus et industriels</w:t>
            </w:r>
          </w:p>
        </w:tc>
      </w:tr>
      <w:tr>
        <w:tc>
          <w:tcPr>
            <w:tcW w:type="dxa" w:w="1984"/>
          </w:tcPr>
          <w:p>
            <w:pPr>
              <w:spacing w:after="40"/>
            </w:pPr>
            <w:r/>
            <w:r>
              <w:rPr>
                <w:b w:val="0"/>
                <w:sz w:val="17"/>
              </w:rPr>
              <w:t>France Ruralités Revitalisation</w:t>
            </w:r>
          </w:p>
        </w:tc>
        <w:tc>
          <w:tcPr>
            <w:tcW w:type="dxa" w:w="3402"/>
          </w:tcPr>
          <w:p>
            <w:pPr>
              <w:spacing w:after="40"/>
            </w:pPr>
            <w:r/>
            <w:r>
              <w:rPr>
                <w:b w:val="0"/>
                <w:sz w:val="17"/>
              </w:rPr>
              <w:t>Écommoy, classée depuis le 1er juillet 2024 ; territoires ruraux des Vosges</w:t>
            </w:r>
          </w:p>
        </w:tc>
        <w:tc>
          <w:tcPr>
            <w:tcW w:type="dxa" w:w="3969"/>
          </w:tcPr>
          <w:p>
            <w:pPr>
              <w:spacing w:after="40"/>
            </w:pPr>
            <w:r/>
            <w:r>
              <w:rPr>
                <w:b w:val="0"/>
                <w:sz w:val="17"/>
              </w:rPr>
              <w:t>Exonérations fiscales et sociales à l’implantation</w:t>
            </w:r>
          </w:p>
        </w:tc>
      </w:tr>
      <w:tr>
        <w:tc>
          <w:tcPr>
            <w:tcW w:type="dxa" w:w="1984"/>
          </w:tcPr>
          <w:p>
            <w:pPr>
              <w:spacing w:after="40"/>
            </w:pPr>
            <w:r/>
            <w:r>
              <w:rPr>
                <w:b w:val="0"/>
                <w:sz w:val="17"/>
              </w:rPr>
              <w:t>Pacte pour la réussite de la Sambre-Avesnois-Thiérache</w:t>
            </w:r>
          </w:p>
        </w:tc>
        <w:tc>
          <w:tcPr>
            <w:tcW w:type="dxa" w:w="3402"/>
          </w:tcPr>
          <w:p>
            <w:pPr>
              <w:spacing w:after="40"/>
            </w:pPr>
            <w:r/>
            <w:r>
              <w:rPr>
                <w:b w:val="0"/>
                <w:sz w:val="17"/>
              </w:rPr>
              <w:t>Hirson — acte 3 signé le 2 septembre 2025 pour 2025-2029, 44 signataires, trois axes prioritaires</w:t>
            </w:r>
          </w:p>
        </w:tc>
        <w:tc>
          <w:tcPr>
            <w:tcW w:type="dxa" w:w="3969"/>
          </w:tcPr>
          <w:p>
            <w:pPr>
              <w:spacing w:after="40"/>
            </w:pPr>
            <w:r/>
            <w:r>
              <w:rPr>
                <w:b w:val="0"/>
                <w:sz w:val="17"/>
              </w:rPr>
              <w:t>Renouveau économique et industriel d’un bassin de vie interdépartemental et transfrontalier</w:t>
            </w:r>
          </w:p>
        </w:tc>
      </w:tr>
    </w:tbl>
    <w:p>
      <w:pPr>
        <w:spacing w:after="80"/>
      </w:pPr>
    </w:p>
    <w:p>
      <w:pPr>
        <w:keepNext/>
        <w:spacing w:before="240" w:after="80"/>
      </w:pPr>
      <w:r>
        <w:rPr>
          <w:b/>
          <w:color w:val="1F3B57"/>
          <w:sz w:val="24"/>
        </w:rPr>
        <w:t>6.4 Les démarches forestières de territoire</w:t>
      </w:r>
    </w:p>
    <w:p>
      <w:pPr>
        <w:jc w:val="both"/>
      </w:pPr>
      <w:r>
        <w:rPr>
          <w:b w:val="0"/>
          <w:i w:val="0"/>
          <w:sz w:val="21"/>
        </w:rPr>
        <w:t>La charte forestière de territoire est un outil de gestion concertée associant propriétaires forestiers, exploitants, collectivités et acteurs économiques autour d’un massif. Elle relève fréquemment des PETR et des pays, à l’échelle desquels un massif forestier trouve sa cohérence.</w:t>
      </w:r>
    </w:p>
    <w:p>
      <w:pPr>
        <w:jc w:val="both"/>
      </w:pPr>
      <w:r>
        <w:rPr>
          <w:b w:val="0"/>
          <w:i w:val="0"/>
          <w:sz w:val="21"/>
        </w:rPr>
        <w:t>Les trois territoires disposent des conditions d’une telle démarche : massifs vosgiens et limitrophes pour Damblain, forêts d’Hirson et de Saint-Michel et bocage thiérachien pour Hirson, forêt de Bercé et bocage sarthois pour Écommoy. Une charte forestière suppose toutefois, pour produire des effets durables, un débouché économique contractualisé pour les produits qu’elle vise à mobiliser. Un besoin annuel de 156 000 à 204 000 tonnes de bois entrant selon le site, contractualisé sur plusieurs années, constitue précisément cet ancrage. Les projets y apportent également l’articulation avec les interprofessions régionales et, pour la forêt privée, avec le Centre national de la propriété forestière.</w:t>
      </w:r>
    </w:p>
    <w:p>
      <w:pPr>
        <w:keepNext/>
        <w:spacing w:before="240" w:after="80"/>
      </w:pPr>
      <w:r>
        <w:rPr>
          <w:b/>
          <w:color w:val="1F3B57"/>
          <w:sz w:val="24"/>
        </w:rPr>
        <w:t>6.5 Les projets alimentaires territoriaux et les démarches connexes</w:t>
      </w:r>
    </w:p>
    <w:p>
      <w:pPr>
        <w:jc w:val="both"/>
      </w:pPr>
      <w:r>
        <w:rPr>
          <w:b w:val="0"/>
          <w:i w:val="0"/>
          <w:sz w:val="21"/>
        </w:rPr>
        <w:t>Certaines structures portent des démarches thématiques dont l’objet est distinct mais dont la logique est voisine — ainsi du projet alimentaire territorial du Pays du Mans, dont les orientations ont été intégrées au schéma de cohérence territoriale. Ces démarches témoignent d’une culture de contractualisation et de projet à l’échelle du bassin de vie, dans laquelle une implantation industrielle structurante peut trouver sa place autrement que par la seule procédure d’autorisation.</w:t>
      </w:r>
    </w:p>
    <w:p>
      <w:r>
        <w:br w:type="page"/>
      </w:r>
    </w:p>
    <w:p>
      <w:pPr>
        <w:keepNext/>
        <w:spacing w:before="360" w:after="160"/>
        <w:pBdr>
          <w:bottom w:val="single" w:sz="8" w:space="2" w:color="1F3B57"/>
        </w:pBdr>
      </w:pPr>
      <w:r>
        <w:rPr>
          <w:b/>
          <w:color w:val="1F3B57"/>
          <w:sz w:val="28"/>
        </w:rPr>
        <w:t>7. TABLEAU DE SYNTHÈSE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1F3B57"/>
          </w:tcPr>
          <w:p>
            <w:r/>
            <w:r>
              <w:rPr>
                <w:b/>
                <w:color w:val="FFFFFF"/>
                <w:sz w:val="16"/>
              </w:rPr>
              <w:t>Dispositif</w:t>
            </w:r>
          </w:p>
        </w:tc>
        <w:tc>
          <w:tcPr>
            <w:tcW w:type="dxa" w:w="1361"/>
            <w:shd w:val="clear" w:fill="1F3B57"/>
          </w:tcPr>
          <w:p>
            <w:r/>
            <w:r>
              <w:rPr>
                <w:b/>
                <w:color w:val="FFFFFF"/>
                <w:sz w:val="16"/>
              </w:rPr>
              <w:t>Échelle</w:t>
            </w:r>
          </w:p>
        </w:tc>
        <w:tc>
          <w:tcPr>
            <w:tcW w:type="dxa" w:w="2041"/>
            <w:shd w:val="clear" w:fill="1F3B57"/>
          </w:tcPr>
          <w:p>
            <w:r/>
            <w:r>
              <w:rPr>
                <w:b/>
                <w:color w:val="FFFFFF"/>
                <w:sz w:val="16"/>
              </w:rPr>
              <w:t>Damblain</w:t>
            </w:r>
          </w:p>
        </w:tc>
        <w:tc>
          <w:tcPr>
            <w:tcW w:type="dxa" w:w="2041"/>
            <w:shd w:val="clear" w:fill="1F3B57"/>
          </w:tcPr>
          <w:p>
            <w:r/>
            <w:r>
              <w:rPr>
                <w:b/>
                <w:color w:val="FFFFFF"/>
                <w:sz w:val="16"/>
              </w:rPr>
              <w:t>Hirson</w:t>
            </w:r>
          </w:p>
        </w:tc>
        <w:tc>
          <w:tcPr>
            <w:tcW w:type="dxa" w:w="2098"/>
            <w:shd w:val="clear" w:fill="1F3B57"/>
          </w:tcPr>
          <w:p>
            <w:r/>
            <w:r>
              <w:rPr>
                <w:b/>
                <w:color w:val="FFFFFF"/>
                <w:sz w:val="16"/>
              </w:rPr>
              <w:t>Écommoy</w:t>
            </w:r>
          </w:p>
        </w:tc>
      </w:tr>
      <w:tr>
        <w:tc>
          <w:tcPr>
            <w:tcW w:type="dxa" w:w="1814"/>
          </w:tcPr>
          <w:p>
            <w:pPr>
              <w:spacing w:after="40"/>
            </w:pPr>
            <w:r/>
            <w:r>
              <w:rPr>
                <w:b w:val="0"/>
                <w:sz w:val="16"/>
              </w:rPr>
              <w:t>Schéma de cohérence territoriale</w:t>
            </w:r>
          </w:p>
        </w:tc>
        <w:tc>
          <w:tcPr>
            <w:tcW w:type="dxa" w:w="1361"/>
          </w:tcPr>
          <w:p>
            <w:pPr>
              <w:spacing w:after="40"/>
            </w:pPr>
            <w:r/>
            <w:r>
              <w:rPr>
                <w:b w:val="0"/>
                <w:sz w:val="16"/>
              </w:rPr>
              <w:t>Bassin de vie</w:t>
            </w:r>
          </w:p>
        </w:tc>
        <w:tc>
          <w:tcPr>
            <w:tcW w:type="dxa" w:w="2041"/>
          </w:tcPr>
          <w:p>
            <w:pPr>
              <w:spacing w:after="40"/>
            </w:pPr>
            <w:r/>
            <w:r>
              <w:rPr>
                <w:b w:val="0"/>
                <w:sz w:val="16"/>
              </w:rPr>
              <w:t>PETR du Pays de l’Ouest Vosgien</w:t>
            </w:r>
          </w:p>
        </w:tc>
        <w:tc>
          <w:tcPr>
            <w:tcW w:type="dxa" w:w="2041"/>
          </w:tcPr>
          <w:p>
            <w:pPr>
              <w:spacing w:after="40"/>
            </w:pPr>
            <w:r/>
            <w:r>
              <w:rPr>
                <w:b w:val="0"/>
                <w:sz w:val="16"/>
              </w:rPr>
              <w:t>SCoT valant plan climat — achèvement prévu 2026</w:t>
            </w:r>
          </w:p>
        </w:tc>
        <w:tc>
          <w:tcPr>
            <w:tcW w:type="dxa" w:w="2098"/>
          </w:tcPr>
          <w:p>
            <w:pPr>
              <w:spacing w:after="40"/>
            </w:pPr>
            <w:r/>
            <w:r>
              <w:rPr>
                <w:b w:val="0"/>
                <w:sz w:val="16"/>
              </w:rPr>
              <w:t>SCoT Air-Énergie-Climat — enquête publique close en novembre 2025</w:t>
            </w:r>
          </w:p>
        </w:tc>
      </w:tr>
      <w:tr>
        <w:tc>
          <w:tcPr>
            <w:tcW w:type="dxa" w:w="1814"/>
          </w:tcPr>
          <w:p>
            <w:pPr>
              <w:spacing w:after="40"/>
            </w:pPr>
            <w:r/>
            <w:r>
              <w:rPr>
                <w:b w:val="0"/>
                <w:sz w:val="16"/>
              </w:rPr>
              <w:t>Structure porteuse</w:t>
            </w:r>
          </w:p>
        </w:tc>
        <w:tc>
          <w:tcPr>
            <w:tcW w:type="dxa" w:w="1361"/>
          </w:tcPr>
          <w:p>
            <w:pPr>
              <w:spacing w:after="40"/>
            </w:pPr>
            <w:r/>
            <w:r>
              <w:rPr>
                <w:b w:val="0"/>
                <w:sz w:val="16"/>
              </w:rPr>
              <w:t>Territoire de projet</w:t>
            </w:r>
          </w:p>
        </w:tc>
        <w:tc>
          <w:tcPr>
            <w:tcW w:type="dxa" w:w="2041"/>
          </w:tcPr>
          <w:p>
            <w:pPr>
              <w:spacing w:after="40"/>
            </w:pPr>
            <w:r/>
            <w:r>
              <w:rPr>
                <w:b w:val="0"/>
                <w:sz w:val="16"/>
              </w:rPr>
              <w:t>PETR — siège à Neufchâteau</w:t>
            </w:r>
          </w:p>
        </w:tc>
        <w:tc>
          <w:tcPr>
            <w:tcW w:type="dxa" w:w="2041"/>
          </w:tcPr>
          <w:p>
            <w:pPr>
              <w:spacing w:after="40"/>
            </w:pPr>
            <w:r/>
            <w:r>
              <w:rPr>
                <w:b w:val="0"/>
                <w:sz w:val="16"/>
              </w:rPr>
              <w:t>PETR — siège à Vervins</w:t>
            </w:r>
          </w:p>
        </w:tc>
        <w:tc>
          <w:tcPr>
            <w:tcW w:type="dxa" w:w="2098"/>
          </w:tcPr>
          <w:p>
            <w:pPr>
              <w:spacing w:after="40"/>
            </w:pPr>
            <w:r/>
            <w:r>
              <w:rPr>
                <w:b w:val="0"/>
                <w:sz w:val="16"/>
              </w:rPr>
              <w:t>Syndicat mixte — Pays du Mans</w:t>
            </w:r>
          </w:p>
        </w:tc>
      </w:tr>
      <w:tr>
        <w:tc>
          <w:tcPr>
            <w:tcW w:type="dxa" w:w="1814"/>
          </w:tcPr>
          <w:p>
            <w:pPr>
              <w:spacing w:after="40"/>
            </w:pPr>
            <w:r/>
            <w:r>
              <w:rPr>
                <w:b w:val="0"/>
                <w:sz w:val="16"/>
              </w:rPr>
              <w:t>Plan climat-air-énergie territorial</w:t>
            </w:r>
          </w:p>
        </w:tc>
        <w:tc>
          <w:tcPr>
            <w:tcW w:type="dxa" w:w="1361"/>
          </w:tcPr>
          <w:p>
            <w:pPr>
              <w:spacing w:after="40"/>
            </w:pPr>
            <w:r/>
            <w:r>
              <w:rPr>
                <w:b w:val="0"/>
                <w:sz w:val="16"/>
              </w:rPr>
              <w:t>Bassin de vie</w:t>
            </w:r>
          </w:p>
        </w:tc>
        <w:tc>
          <w:tcPr>
            <w:tcW w:type="dxa" w:w="2041"/>
          </w:tcPr>
          <w:p>
            <w:pPr>
              <w:spacing w:after="40"/>
            </w:pPr>
            <w:r/>
            <w:r>
              <w:rPr>
                <w:b w:val="0"/>
                <w:sz w:val="16"/>
              </w:rPr>
              <w:t>Applicable</w:t>
            </w:r>
          </w:p>
        </w:tc>
        <w:tc>
          <w:tcPr>
            <w:tcW w:type="dxa" w:w="2041"/>
          </w:tcPr>
          <w:p>
            <w:pPr>
              <w:spacing w:after="40"/>
            </w:pPr>
            <w:r/>
            <w:r>
              <w:rPr>
                <w:b w:val="0"/>
                <w:sz w:val="16"/>
              </w:rPr>
              <w:t>Intégré au SCoT</w:t>
            </w:r>
          </w:p>
        </w:tc>
        <w:tc>
          <w:tcPr>
            <w:tcW w:type="dxa" w:w="2098"/>
          </w:tcPr>
          <w:p>
            <w:pPr>
              <w:spacing w:after="40"/>
            </w:pPr>
            <w:r/>
            <w:r>
              <w:rPr>
                <w:b w:val="0"/>
                <w:sz w:val="16"/>
              </w:rPr>
              <w:t>Intégré au SCoT</w:t>
            </w:r>
          </w:p>
        </w:tc>
      </w:tr>
      <w:tr>
        <w:tc>
          <w:tcPr>
            <w:tcW w:type="dxa" w:w="1814"/>
          </w:tcPr>
          <w:p>
            <w:pPr>
              <w:spacing w:after="40"/>
            </w:pPr>
            <w:r/>
            <w:r>
              <w:rPr>
                <w:b w:val="0"/>
                <w:sz w:val="16"/>
              </w:rPr>
              <w:t>Document d’urbanisme local</w:t>
            </w:r>
          </w:p>
        </w:tc>
        <w:tc>
          <w:tcPr>
            <w:tcW w:type="dxa" w:w="1361"/>
          </w:tcPr>
          <w:p>
            <w:pPr>
              <w:spacing w:after="40"/>
            </w:pPr>
            <w:r/>
            <w:r>
              <w:rPr>
                <w:b w:val="0"/>
                <w:sz w:val="16"/>
              </w:rPr>
              <w:t>Intercommunalité</w:t>
            </w:r>
          </w:p>
        </w:tc>
        <w:tc>
          <w:tcPr>
            <w:tcW w:type="dxa" w:w="2041"/>
          </w:tcPr>
          <w:p>
            <w:pPr>
              <w:spacing w:after="40"/>
            </w:pPr>
            <w:r/>
            <w:r>
              <w:rPr>
                <w:b w:val="0"/>
                <w:sz w:val="16"/>
              </w:rPr>
              <w:t>PLUi de la CC de l’Ouest Vosgien — zone d’activité existante</w:t>
            </w:r>
          </w:p>
        </w:tc>
        <w:tc>
          <w:tcPr>
            <w:tcW w:type="dxa" w:w="2041"/>
          </w:tcPr>
          <w:p>
            <w:pPr>
              <w:spacing w:after="40"/>
            </w:pPr>
            <w:r/>
            <w:r>
              <w:rPr>
                <w:b w:val="0"/>
                <w:sz w:val="16"/>
              </w:rPr>
              <w:t>PLU communal — zone à vocation industrielle</w:t>
            </w:r>
          </w:p>
        </w:tc>
        <w:tc>
          <w:tcPr>
            <w:tcW w:type="dxa" w:w="2098"/>
          </w:tcPr>
          <w:p>
            <w:pPr>
              <w:spacing w:after="40"/>
            </w:pPr>
            <w:r/>
            <w:r>
              <w:rPr>
                <w:b w:val="0"/>
                <w:sz w:val="16"/>
              </w:rPr>
              <w:t>PLUi Orée de Bercé-Bélinois — conformité relevée par le commissaire enquêteur</w:t>
            </w:r>
          </w:p>
        </w:tc>
      </w:tr>
      <w:tr>
        <w:tc>
          <w:tcPr>
            <w:tcW w:type="dxa" w:w="1814"/>
          </w:tcPr>
          <w:p>
            <w:pPr>
              <w:spacing w:after="40"/>
            </w:pPr>
            <w:r/>
            <w:r>
              <w:rPr>
                <w:b w:val="0"/>
                <w:sz w:val="16"/>
              </w:rPr>
              <w:t>Contrat de transition écologique</w:t>
            </w:r>
          </w:p>
        </w:tc>
        <w:tc>
          <w:tcPr>
            <w:tcW w:type="dxa" w:w="1361"/>
          </w:tcPr>
          <w:p>
            <w:pPr>
              <w:spacing w:after="40"/>
            </w:pPr>
            <w:r/>
            <w:r>
              <w:rPr>
                <w:b w:val="0"/>
                <w:sz w:val="16"/>
              </w:rPr>
              <w:t>Territoire de projet</w:t>
            </w:r>
          </w:p>
        </w:tc>
        <w:tc>
          <w:tcPr>
            <w:tcW w:type="dxa" w:w="2041"/>
          </w:tcPr>
          <w:p>
            <w:pPr>
              <w:spacing w:after="40"/>
            </w:pPr>
            <w:r/>
            <w:r>
              <w:rPr>
                <w:b w:val="0"/>
                <w:sz w:val="16"/>
              </w:rPr>
              <w:t>PTRTE — État, Région, Département</w:t>
            </w:r>
          </w:p>
        </w:tc>
        <w:tc>
          <w:tcPr>
            <w:tcW w:type="dxa" w:w="2041"/>
          </w:tcPr>
          <w:p>
            <w:pPr>
              <w:spacing w:after="40"/>
            </w:pPr>
            <w:r/>
            <w:r>
              <w:rPr>
                <w:b w:val="0"/>
                <w:sz w:val="16"/>
              </w:rPr>
              <w:t>Contrat pour la réussite de la transition écologique</w:t>
            </w:r>
          </w:p>
        </w:tc>
        <w:tc>
          <w:tcPr>
            <w:tcW w:type="dxa" w:w="2098"/>
          </w:tcPr>
          <w:p>
            <w:pPr>
              <w:spacing w:after="40"/>
            </w:pPr>
            <w:r/>
            <w:r>
              <w:rPr>
                <w:b w:val="0"/>
                <w:sz w:val="16"/>
              </w:rPr>
              <w:t>Contrat pour la réussite de la transition écologique</w:t>
            </w:r>
          </w:p>
        </w:tc>
      </w:tr>
      <w:tr>
        <w:tc>
          <w:tcPr>
            <w:tcW w:type="dxa" w:w="1814"/>
          </w:tcPr>
          <w:p>
            <w:pPr>
              <w:spacing w:after="40"/>
            </w:pPr>
            <w:r/>
            <w:r>
              <w:rPr>
                <w:b w:val="0"/>
                <w:sz w:val="16"/>
              </w:rPr>
              <w:t>Contractualisation régionale</w:t>
            </w:r>
          </w:p>
        </w:tc>
        <w:tc>
          <w:tcPr>
            <w:tcW w:type="dxa" w:w="1361"/>
          </w:tcPr>
          <w:p>
            <w:pPr>
              <w:spacing w:after="40"/>
            </w:pPr>
            <w:r/>
            <w:r>
              <w:rPr>
                <w:b w:val="0"/>
                <w:sz w:val="16"/>
              </w:rPr>
              <w:t>Intercommunalité</w:t>
            </w:r>
          </w:p>
        </w:tc>
        <w:tc>
          <w:tcPr>
            <w:tcW w:type="dxa" w:w="2041"/>
          </w:tcPr>
          <w:p>
            <w:pPr>
              <w:spacing w:after="40"/>
            </w:pPr>
            <w:r/>
            <w:r>
              <w:rPr>
                <w:b w:val="0"/>
                <w:sz w:val="16"/>
              </w:rPr>
              <w:t>Pacte territorial de la Région Grand Est</w:t>
            </w:r>
          </w:p>
        </w:tc>
        <w:tc>
          <w:tcPr>
            <w:tcW w:type="dxa" w:w="2041"/>
          </w:tcPr>
          <w:p>
            <w:pPr>
              <w:spacing w:after="40"/>
            </w:pPr>
            <w:r/>
            <w:r>
              <w:rPr>
                <w:b w:val="0"/>
                <w:sz w:val="16"/>
              </w:rPr>
              <w:t>Contrat territorial de développement</w:t>
            </w:r>
          </w:p>
        </w:tc>
        <w:tc>
          <w:tcPr>
            <w:tcW w:type="dxa" w:w="2098"/>
          </w:tcPr>
          <w:p>
            <w:pPr>
              <w:spacing w:after="40"/>
            </w:pPr>
            <w:r/>
            <w:r>
              <w:rPr>
                <w:b w:val="0"/>
                <w:sz w:val="16"/>
              </w:rPr>
              <w:t>Pacte stratégique régional et Contrat Pays de la Loire 2026</w:t>
            </w:r>
          </w:p>
        </w:tc>
      </w:tr>
      <w:tr>
        <w:tc>
          <w:tcPr>
            <w:tcW w:type="dxa" w:w="1814"/>
          </w:tcPr>
          <w:p>
            <w:pPr>
              <w:spacing w:after="40"/>
            </w:pPr>
            <w:r/>
            <w:r>
              <w:rPr>
                <w:b w:val="0"/>
                <w:sz w:val="16"/>
              </w:rPr>
              <w:t>Contrat d’objectif territorial ADEME</w:t>
            </w:r>
          </w:p>
        </w:tc>
        <w:tc>
          <w:tcPr>
            <w:tcW w:type="dxa" w:w="1361"/>
          </w:tcPr>
          <w:p>
            <w:pPr>
              <w:spacing w:after="40"/>
            </w:pPr>
            <w:r/>
            <w:r>
              <w:rPr>
                <w:b w:val="0"/>
                <w:sz w:val="16"/>
              </w:rPr>
              <w:t>Territoire de projet</w:t>
            </w:r>
          </w:p>
        </w:tc>
        <w:tc>
          <w:tcPr>
            <w:tcW w:type="dxa" w:w="2041"/>
          </w:tcPr>
          <w:p>
            <w:pPr>
              <w:spacing w:after="40"/>
            </w:pPr>
            <w:r/>
            <w:r>
              <w:rPr>
                <w:b w:val="0"/>
                <w:sz w:val="16"/>
              </w:rPr>
              <w:t>À examiner</w:t>
            </w:r>
          </w:p>
        </w:tc>
        <w:tc>
          <w:tcPr>
            <w:tcW w:type="dxa" w:w="2041"/>
          </w:tcPr>
          <w:p>
            <w:pPr>
              <w:spacing w:after="40"/>
            </w:pPr>
            <w:r/>
            <w:r>
              <w:rPr>
                <w:b w:val="0"/>
                <w:sz w:val="16"/>
              </w:rPr>
              <w:t>Porté par le PETR</w:t>
            </w:r>
          </w:p>
        </w:tc>
        <w:tc>
          <w:tcPr>
            <w:tcW w:type="dxa" w:w="2098"/>
          </w:tcPr>
          <w:p>
            <w:pPr>
              <w:spacing w:after="40"/>
            </w:pPr>
            <w:r/>
            <w:r>
              <w:rPr>
                <w:b w:val="0"/>
                <w:sz w:val="16"/>
              </w:rPr>
              <w:t>À examiner</w:t>
            </w:r>
          </w:p>
        </w:tc>
      </w:tr>
      <w:tr>
        <w:tc>
          <w:tcPr>
            <w:tcW w:type="dxa" w:w="1814"/>
          </w:tcPr>
          <w:p>
            <w:pPr>
              <w:spacing w:after="40"/>
            </w:pPr>
            <w:r/>
            <w:r>
              <w:rPr>
                <w:b w:val="0"/>
                <w:sz w:val="16"/>
              </w:rPr>
              <w:t>Revitalisation</w:t>
            </w:r>
          </w:p>
        </w:tc>
        <w:tc>
          <w:tcPr>
            <w:tcW w:type="dxa" w:w="1361"/>
          </w:tcPr>
          <w:p>
            <w:pPr>
              <w:spacing w:after="40"/>
            </w:pPr>
            <w:r/>
            <w:r>
              <w:rPr>
                <w:b w:val="0"/>
                <w:sz w:val="16"/>
              </w:rPr>
              <w:t>Commune</w:t>
            </w:r>
          </w:p>
        </w:tc>
        <w:tc>
          <w:tcPr>
            <w:tcW w:type="dxa" w:w="2041"/>
          </w:tcPr>
          <w:p>
            <w:pPr>
              <w:spacing w:after="40"/>
            </w:pPr>
            <w:r/>
            <w:r>
              <w:rPr>
                <w:b w:val="0"/>
                <w:sz w:val="16"/>
              </w:rPr>
              <w:t>Zonage France Ruralités Revitalisation</w:t>
            </w:r>
          </w:p>
        </w:tc>
        <w:tc>
          <w:tcPr>
            <w:tcW w:type="dxa" w:w="2041"/>
          </w:tcPr>
          <w:p>
            <w:pPr>
              <w:spacing w:after="40"/>
            </w:pPr>
            <w:r/>
            <w:r>
              <w:rPr>
                <w:b w:val="0"/>
                <w:sz w:val="16"/>
              </w:rPr>
              <w:t>Petite Ville de Demain ; contrat de ville ; Pacte Sambre-Avesnois-Thiérache</w:t>
            </w:r>
          </w:p>
        </w:tc>
        <w:tc>
          <w:tcPr>
            <w:tcW w:type="dxa" w:w="2098"/>
          </w:tcPr>
          <w:p>
            <w:pPr>
              <w:spacing w:after="40"/>
            </w:pPr>
            <w:r/>
            <w:r>
              <w:rPr>
                <w:b w:val="0"/>
                <w:sz w:val="16"/>
              </w:rPr>
              <w:t>Petites Villes de Demain et opération de revitalisation ; zonage FRR</w:t>
            </w:r>
          </w:p>
        </w:tc>
      </w:tr>
      <w:tr>
        <w:tc>
          <w:tcPr>
            <w:tcW w:type="dxa" w:w="1814"/>
          </w:tcPr>
          <w:p>
            <w:pPr>
              <w:spacing w:after="40"/>
            </w:pPr>
            <w:r/>
            <w:r>
              <w:rPr>
                <w:b w:val="0"/>
                <w:sz w:val="16"/>
              </w:rPr>
              <w:t>Démarche forestière</w:t>
            </w:r>
          </w:p>
        </w:tc>
        <w:tc>
          <w:tcPr>
            <w:tcW w:type="dxa" w:w="1361"/>
          </w:tcPr>
          <w:p>
            <w:pPr>
              <w:spacing w:after="40"/>
            </w:pPr>
            <w:r/>
            <w:r>
              <w:rPr>
                <w:b w:val="0"/>
                <w:sz w:val="16"/>
              </w:rPr>
              <w:t>Massif</w:t>
            </w:r>
          </w:p>
        </w:tc>
        <w:tc>
          <w:tcPr>
            <w:tcW w:type="dxa" w:w="2041"/>
          </w:tcPr>
          <w:p>
            <w:pPr>
              <w:spacing w:after="40"/>
            </w:pPr>
            <w:r/>
            <w:r>
              <w:rPr>
                <w:b w:val="0"/>
                <w:sz w:val="16"/>
              </w:rPr>
              <w:t>Charte forestière à constituer</w:t>
            </w:r>
          </w:p>
        </w:tc>
        <w:tc>
          <w:tcPr>
            <w:tcW w:type="dxa" w:w="2041"/>
          </w:tcPr>
          <w:p>
            <w:pPr>
              <w:spacing w:after="40"/>
            </w:pPr>
            <w:r/>
            <w:r>
              <w:rPr>
                <w:b w:val="0"/>
                <w:sz w:val="16"/>
              </w:rPr>
              <w:t>Charte forestière à constituer</w:t>
            </w:r>
          </w:p>
        </w:tc>
        <w:tc>
          <w:tcPr>
            <w:tcW w:type="dxa" w:w="2098"/>
          </w:tcPr>
          <w:p>
            <w:pPr>
              <w:spacing w:after="40"/>
            </w:pPr>
            <w:r/>
            <w:r>
              <w:rPr>
                <w:b w:val="0"/>
                <w:sz w:val="16"/>
              </w:rPr>
              <w:t>Charte forestière à constituer</w:t>
            </w:r>
          </w:p>
        </w:tc>
      </w:tr>
    </w:tbl>
    <w:p>
      <w:pPr>
        <w:spacing w:after="80"/>
      </w:pPr>
    </w:p>
    <w:p>
      <w:pPr>
        <w:keepNext/>
        <w:spacing w:before="360" w:after="160"/>
        <w:pBdr>
          <w:bottom w:val="single" w:sz="8" w:space="2" w:color="1F3B57"/>
        </w:pBdr>
      </w:pPr>
      <w:r>
        <w:rPr>
          <w:b/>
          <w:color w:val="1F3B57"/>
          <w:sz w:val="28"/>
        </w:rPr>
        <w:t>8. ÉLÉMENTS DE CALENDRIER</w:t>
      </w:r>
    </w:p>
    <w:p>
      <w:pPr>
        <w:jc w:val="both"/>
      </w:pPr>
      <w:r>
        <w:rPr>
          <w:b w:val="0"/>
          <w:i w:val="0"/>
          <w:sz w:val="21"/>
        </w:rPr>
        <w:t>Deux des trois schémas de cohérence territoriale applicables arrivent à leur terme en 2026 : celui du Pays du Mans, dont l’enquête publique s’est achevée en novembre 2025, et celui du Pays de Thiérache, dont l’élaboration engagée en 2021 doit s’achever cette même année. Les contrats de transition écologique ont par ailleurs fait l’objet d’une relance en 2025, avec des revues de projets conduites par les préfets et une actualisation des plans d’action destinée à intégrer la planification écologique issue des conférences des parties régionales.</w:t>
      </w:r>
    </w:p>
    <w:p>
      <w:pPr>
        <w:jc w:val="both"/>
      </w:pPr>
      <w:r>
        <w:rPr>
          <w:b w:val="0"/>
          <w:i w:val="0"/>
          <w:sz w:val="21"/>
        </w:rPr>
        <w:t>Les trois projets se situent ainsi dans une phase d’ouverture des documents et des programmes d’action territoriaux, propice à leur prise en compte explicite à l’échelle des bassins de vie concernés.</w:t>
      </w:r>
    </w:p>
    <w:p/>
    <w:p>
      <w:pPr>
        <w:keepNext/>
        <w:spacing w:before="360" w:after="160"/>
        <w:pBdr>
          <w:bottom w:val="single" w:sz="8" w:space="2" w:color="1F3B57"/>
        </w:pBdr>
      </w:pPr>
      <w:r>
        <w:rPr>
          <w:b/>
          <w:color w:val="1F3B57"/>
          <w:sz w:val="28"/>
        </w:rPr>
        <w:t>SOURCES</w:t>
      </w:r>
    </w:p>
    <w:p>
      <w:pPr>
        <w:pStyle w:val="ListBullet"/>
        <w:spacing w:after="60"/>
        <w:ind w:left="340"/>
        <w:jc w:val="both"/>
      </w:pPr>
      <w:r>
        <w:rPr>
          <w:b w:val="0"/>
          <w:sz w:val="21"/>
        </w:rPr>
        <w:t>Syndicat mixte du Pays du Mans — schéma de cohérence territoriale Air-Énergie-Climat ; rapport et conclusions de la commission d’enquête, enquête publique du 6 octobre au 8 novembre 2025.</w:t>
      </w:r>
    </w:p>
    <w:p>
      <w:pPr>
        <w:pStyle w:val="ListBullet"/>
        <w:spacing w:after="60"/>
        <w:ind w:left="340"/>
        <w:jc w:val="both"/>
      </w:pPr>
      <w:r>
        <w:rPr>
          <w:b w:val="0"/>
          <w:sz w:val="21"/>
        </w:rPr>
        <w:t>PETR du Pays de Thiérache — présentation du territoire, volet climat-air-énergie, schéma de cohérence territoriale valant plan climat, contrat d’objectif territorial ; base nationale sur l’intercommunalité.</w:t>
      </w:r>
    </w:p>
    <w:p>
      <w:pPr>
        <w:pStyle w:val="ListBullet"/>
        <w:spacing w:after="60"/>
        <w:ind w:left="340"/>
        <w:jc w:val="both"/>
      </w:pPr>
      <w:r>
        <w:rPr>
          <w:b w:val="0"/>
          <w:sz w:val="21"/>
        </w:rPr>
        <w:t>PETR du Pays de l’Ouest Vosgien — périmètre et compétences ; atlas des pôles d’équilibre territoriaux et ruraux des Vosges.</w:t>
      </w:r>
    </w:p>
    <w:p>
      <w:pPr>
        <w:pStyle w:val="ListBullet"/>
        <w:spacing w:after="60"/>
        <w:ind w:left="340"/>
        <w:jc w:val="both"/>
      </w:pPr>
      <w:r>
        <w:rPr>
          <w:b w:val="0"/>
          <w:sz w:val="21"/>
        </w:rPr>
        <w:t>Agence nationale de la cohésion des territoires — contrats pour la réussite de la transition écologique ; Cerema, outils de l’aménagement.</w:t>
      </w:r>
    </w:p>
    <w:p>
      <w:pPr>
        <w:pStyle w:val="ListBullet"/>
        <w:spacing w:after="60"/>
        <w:ind w:left="340"/>
        <w:jc w:val="both"/>
      </w:pPr>
      <w:r>
        <w:rPr>
          <w:b w:val="0"/>
          <w:sz w:val="21"/>
        </w:rPr>
        <w:t>Région Grand Est et services de l’État — pactes territoriaux de relance et de transition écologique.</w:t>
      </w:r>
    </w:p>
    <w:p>
      <w:pPr>
        <w:pStyle w:val="ListBullet"/>
        <w:spacing w:after="60"/>
        <w:ind w:left="340"/>
        <w:jc w:val="both"/>
      </w:pPr>
      <w:r>
        <w:rPr>
          <w:b w:val="0"/>
          <w:sz w:val="21"/>
        </w:rPr>
        <w:t>Région Pays de la Loire — cadre d’intervention des Contrats Pays de la Loire 2026 et pactes stratégiques régionaux ; contrat de plan État-Région 2021-2027.</w:t>
      </w:r>
    </w:p>
    <w:p>
      <w:pPr>
        <w:pStyle w:val="ListBullet"/>
        <w:spacing w:after="60"/>
        <w:ind w:left="340"/>
        <w:jc w:val="both"/>
      </w:pPr>
      <w:r>
        <w:rPr>
          <w:b w:val="0"/>
          <w:sz w:val="21"/>
        </w:rPr>
        <w:t>Région Hauts-de-France — contractualisation et action territoriale ; contrats territoriaux de développement ; Pacte pour la réussite de la Sambre-Avesnois-Thiérache, acte 3, 2025-2029.</w:t>
      </w:r>
    </w:p>
    <w:p>
      <w:pPr>
        <w:pStyle w:val="ListBullet"/>
        <w:spacing w:after="60"/>
        <w:ind w:left="340"/>
        <w:jc w:val="both"/>
      </w:pPr>
      <w:r>
        <w:rPr>
          <w:b w:val="0"/>
          <w:sz w:val="21"/>
        </w:rPr>
        <w:t>ADEME — contrat d’objectif territorial et programme Territoire Engagé Transition Écologique.</w:t>
      </w:r>
    </w:p>
    <w:p/>
    <w:p>
      <w:pPr>
        <w:jc w:val="center"/>
      </w:pPr>
      <w:r>
        <w:rPr>
          <w:i/>
          <w:color w:val="595959"/>
          <w:sz w:val="19"/>
        </w:rPr>
        <w:t>Arbange Capital — Secrétariat Général — Septembre 2026</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Arbange Capital   |   Document de présentation — diffusion restreinte   —   page </w:t>
    </w:r>
    <w:r>
      <w:rPr>
        <w:color w:val="595959"/>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95959"/>
        <w:sz w:val="15"/>
      </w:rPr>
      <w:t>NOTE COMPLÉMENTAIRE — Planification intermédiaire et contractualisation territoriale   |   Damblain · Hirson · Écommoy   |   Septembre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