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B57"/>
          <w:sz w:val="52"/>
        </w:rPr>
        <w:t>PLATEFORME ARBANGE</w:t>
      </w:r>
    </w:p>
    <w:p>
      <w:pPr>
        <w:jc w:val="center"/>
      </w:pPr>
      <w:r>
        <w:rPr>
          <w:color w:val="1F3B57"/>
          <w:sz w:val="30"/>
        </w:rPr>
        <w:t>L’insertion des projets de granulation</w:t>
        <w:br/>
        <w:t>dans les dynamiques territoriales de l’État,</w:t>
        <w:br/>
        <w:t>des services de l’État et des collectivités territoriales</w:t>
      </w:r>
    </w:p>
    <w:p/>
    <w:p>
      <w:pPr>
        <w:jc w:val="center"/>
      </w:pPr>
      <w:r>
        <w:rPr>
          <w:b/>
          <w:color w:val="2E6B3E"/>
          <w:sz w:val="26"/>
        </w:rPr>
        <w:t>DAMBLAIN (Vosges, 88)  ·  HIRSON (Aisne, 02)  ·  ÉCOMMOY (Sarthe, 72)</w:t>
      </w:r>
    </w:p>
    <w:p/>
    <w:p>
      <w:pPr>
        <w:jc w:val="center"/>
      </w:pPr>
      <w:r>
        <w:rPr>
          <w:i/>
          <w:color w:val="595959"/>
          <w:sz w:val="22"/>
        </w:rPr>
        <w:t>Jeferco Pellets Grand Est  ·  Trois Rivières Biopellets  ·  Dynamis</w:t>
      </w:r>
    </w:p>
    <w:p/>
    <w:p/>
    <w:p>
      <w:pPr>
        <w:jc w:val="center"/>
      </w:pPr>
      <w:r>
        <w:rPr>
          <w:b/>
          <w:sz w:val="24"/>
        </w:rPr>
        <w:t>DOSSIER CONSOLIDÉ — GRILLE D’ANALYSE TERRITORIALE</w:t>
        <w:br/>
        <w:t>ET VOLET NATIONAL COMMUN</w:t>
      </w:r>
    </w:p>
    <w:p/>
    <w:p/>
    <w:p/>
    <w:p/>
    <w:p>
      <w:pPr>
        <w:jc w:val="center"/>
      </w:pPr>
      <w:r>
        <w:rPr>
          <w:color w:val="595959"/>
          <w:sz w:val="21"/>
        </w:rPr>
        <w:t>Septembre 2026</w:t>
        <w:br/>
        <w:t>Document confidentiel — Usage strictement interne</w:t>
        <w:br/>
        <w:br/>
        <w:t>Établi par : Maxence Druelle Fourniez — Secrétariat Général, Arbange Capital</w:t>
        <w:br/>
        <w:t>Relations institutionnelles et financements publics</w:t>
      </w:r>
    </w:p>
    <w:p>
      <w:r>
        <w:br w:type="page"/>
      </w:r>
    </w:p>
    <w:p>
      <w:pPr>
        <w:keepNext/>
        <w:spacing w:before="360" w:after="160"/>
        <w:pBdr>
          <w:bottom w:val="single" w:sz="8" w:space="2" w:color="1F3B57"/>
        </w:pBdr>
      </w:pPr>
      <w:r>
        <w:rPr>
          <w:b/>
          <w:color w:val="1F3B57"/>
          <w:sz w:val="28"/>
        </w:rPr>
        <w:t>SOMMAIRE</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1F3B57"/>
          </w:tcPr>
          <w:p>
            <w:r/>
            <w:r>
              <w:rPr>
                <w:b/>
                <w:color w:val="FFFFFF"/>
                <w:sz w:val="18"/>
              </w:rPr>
              <w:t>Partie</w:t>
            </w:r>
          </w:p>
        </w:tc>
        <w:tc>
          <w:tcPr>
            <w:tcW w:type="dxa" w:w="4819"/>
            <w:shd w:val="clear" w:fill="1F3B57"/>
          </w:tcPr>
          <w:p>
            <w:r/>
            <w:r>
              <w:rPr>
                <w:b/>
                <w:color w:val="FFFFFF"/>
                <w:sz w:val="18"/>
              </w:rPr>
              <w:t>Objet</w:t>
            </w:r>
          </w:p>
        </w:tc>
        <w:tc>
          <w:tcPr>
            <w:tcW w:type="dxa" w:w="1701"/>
            <w:shd w:val="clear" w:fill="1F3B57"/>
          </w:tcPr>
          <w:p>
            <w:r/>
            <w:r>
              <w:rPr>
                <w:b/>
                <w:color w:val="FFFFFF"/>
                <w:sz w:val="18"/>
              </w:rPr>
              <w:t>Usage</w:t>
            </w:r>
          </w:p>
        </w:tc>
      </w:tr>
      <w:tr>
        <w:tc>
          <w:tcPr>
            <w:tcW w:type="dxa" w:w="2835"/>
          </w:tcPr>
          <w:p>
            <w:pPr>
              <w:spacing w:after="40"/>
            </w:pPr>
            <w:r/>
            <w:r>
              <w:rPr>
                <w:b w:val="0"/>
                <w:sz w:val="18"/>
              </w:rPr>
              <w:t>Préambule et note de méthode</w:t>
            </w:r>
          </w:p>
        </w:tc>
        <w:tc>
          <w:tcPr>
            <w:tcW w:type="dxa" w:w="4819"/>
          </w:tcPr>
          <w:p>
            <w:pPr>
              <w:spacing w:after="40"/>
            </w:pPr>
            <w:r/>
            <w:r>
              <w:rPr>
                <w:b w:val="0"/>
                <w:sz w:val="18"/>
              </w:rPr>
              <w:t>Objet du document, sources, conventions de chiffrage, statut des données</w:t>
            </w:r>
          </w:p>
        </w:tc>
        <w:tc>
          <w:tcPr>
            <w:tcW w:type="dxa" w:w="1701"/>
          </w:tcPr>
          <w:p>
            <w:pPr>
              <w:spacing w:after="40"/>
            </w:pPr>
            <w:r/>
            <w:r>
              <w:rPr>
                <w:b w:val="0"/>
                <w:sz w:val="18"/>
              </w:rPr>
              <w:t>Cadrage</w:t>
            </w:r>
          </w:p>
        </w:tc>
      </w:tr>
      <w:tr>
        <w:tc>
          <w:tcPr>
            <w:tcW w:type="dxa" w:w="2835"/>
          </w:tcPr>
          <w:p>
            <w:pPr>
              <w:spacing w:after="40"/>
            </w:pPr>
            <w:r/>
            <w:r>
              <w:rPr>
                <w:b w:val="0"/>
                <w:sz w:val="18"/>
              </w:rPr>
              <w:t>I. La plateforme et ses trois projets</w:t>
            </w:r>
          </w:p>
        </w:tc>
        <w:tc>
          <w:tcPr>
            <w:tcW w:type="dxa" w:w="4819"/>
          </w:tcPr>
          <w:p>
            <w:pPr>
              <w:spacing w:after="40"/>
            </w:pPr>
            <w:r/>
            <w:r>
              <w:rPr>
                <w:b w:val="0"/>
                <w:sz w:val="18"/>
              </w:rPr>
              <w:t>Vue d’ensemble comparée : capacités, foncier, autorisations, emplois, calendrier</w:t>
            </w:r>
          </w:p>
        </w:tc>
        <w:tc>
          <w:tcPr>
            <w:tcW w:type="dxa" w:w="1701"/>
          </w:tcPr>
          <w:p>
            <w:pPr>
              <w:spacing w:after="40"/>
            </w:pPr>
            <w:r/>
            <w:r>
              <w:rPr>
                <w:b w:val="0"/>
                <w:sz w:val="18"/>
              </w:rPr>
              <w:t>Socle factuel</w:t>
            </w:r>
          </w:p>
        </w:tc>
      </w:tr>
      <w:tr>
        <w:tc>
          <w:tcPr>
            <w:tcW w:type="dxa" w:w="2835"/>
          </w:tcPr>
          <w:p>
            <w:pPr>
              <w:spacing w:after="40"/>
            </w:pPr>
            <w:r/>
            <w:r>
              <w:rPr>
                <w:b w:val="0"/>
                <w:sz w:val="18"/>
              </w:rPr>
              <w:t>II. Volet national commun</w:t>
            </w:r>
          </w:p>
        </w:tc>
        <w:tc>
          <w:tcPr>
            <w:tcW w:type="dxa" w:w="4819"/>
          </w:tcPr>
          <w:p>
            <w:pPr>
              <w:spacing w:after="40"/>
            </w:pPr>
            <w:r/>
            <w:r>
              <w:rPr>
                <w:b w:val="0"/>
                <w:sz w:val="18"/>
              </w:rPr>
              <w:t>PPE3, SNBC, RED III, ZAN, souveraineté granulés, guichets de l’État — réutilisable tel quel pour les trois sites</w:t>
            </w:r>
          </w:p>
        </w:tc>
        <w:tc>
          <w:tcPr>
            <w:tcW w:type="dxa" w:w="1701"/>
          </w:tcPr>
          <w:p>
            <w:pPr>
              <w:spacing w:after="40"/>
            </w:pPr>
            <w:r/>
            <w:r>
              <w:rPr>
                <w:b w:val="0"/>
                <w:sz w:val="18"/>
              </w:rPr>
              <w:t>Argumentaire</w:t>
            </w:r>
          </w:p>
        </w:tc>
      </w:tr>
      <w:tr>
        <w:tc>
          <w:tcPr>
            <w:tcW w:type="dxa" w:w="2835"/>
          </w:tcPr>
          <w:p>
            <w:pPr>
              <w:spacing w:after="40"/>
            </w:pPr>
            <w:r/>
            <w:r>
              <w:rPr>
                <w:b w:val="0"/>
                <w:sz w:val="18"/>
              </w:rPr>
              <w:t>III. Grille d’analyse territoriale</w:t>
            </w:r>
          </w:p>
        </w:tc>
        <w:tc>
          <w:tcPr>
            <w:tcW w:type="dxa" w:w="4819"/>
          </w:tcPr>
          <w:p>
            <w:pPr>
              <w:spacing w:after="40"/>
            </w:pPr>
            <w:r/>
            <w:r>
              <w:rPr>
                <w:b w:val="0"/>
                <w:sz w:val="18"/>
              </w:rPr>
              <w:t>Matrice à 5 échelons × 5 registres, renseignée pour les trois projets</w:t>
            </w:r>
          </w:p>
        </w:tc>
        <w:tc>
          <w:tcPr>
            <w:tcW w:type="dxa" w:w="1701"/>
          </w:tcPr>
          <w:p>
            <w:pPr>
              <w:spacing w:after="40"/>
            </w:pPr>
            <w:r/>
            <w:r>
              <w:rPr>
                <w:b w:val="0"/>
                <w:sz w:val="18"/>
              </w:rPr>
              <w:t>Outil de pilotage</w:t>
            </w:r>
          </w:p>
        </w:tc>
      </w:tr>
      <w:tr>
        <w:tc>
          <w:tcPr>
            <w:tcW w:type="dxa" w:w="2835"/>
          </w:tcPr>
          <w:p>
            <w:pPr>
              <w:spacing w:after="40"/>
            </w:pPr>
            <w:r/>
            <w:r>
              <w:rPr>
                <w:b w:val="0"/>
                <w:sz w:val="18"/>
              </w:rPr>
              <w:t>IV. Damblain — Grand Est</w:t>
            </w:r>
          </w:p>
        </w:tc>
        <w:tc>
          <w:tcPr>
            <w:tcW w:type="dxa" w:w="4819"/>
          </w:tcPr>
          <w:p>
            <w:pPr>
              <w:spacing w:after="40"/>
            </w:pPr>
            <w:r/>
            <w:r>
              <w:rPr>
                <w:b w:val="0"/>
                <w:sz w:val="18"/>
              </w:rPr>
              <w:t>Insertion dans les dynamiques régionales, départementales, intercommunales et communales</w:t>
            </w:r>
          </w:p>
        </w:tc>
        <w:tc>
          <w:tcPr>
            <w:tcW w:type="dxa" w:w="1701"/>
          </w:tcPr>
          <w:p>
            <w:pPr>
              <w:spacing w:after="40"/>
            </w:pPr>
            <w:r/>
            <w:r>
              <w:rPr>
                <w:b w:val="0"/>
                <w:sz w:val="18"/>
              </w:rPr>
              <w:t>Argumentaire site</w:t>
            </w:r>
          </w:p>
        </w:tc>
      </w:tr>
      <w:tr>
        <w:tc>
          <w:tcPr>
            <w:tcW w:type="dxa" w:w="2835"/>
          </w:tcPr>
          <w:p>
            <w:pPr>
              <w:spacing w:after="40"/>
            </w:pPr>
            <w:r/>
            <w:r>
              <w:rPr>
                <w:b w:val="0"/>
                <w:sz w:val="18"/>
              </w:rPr>
              <w:t>V. Hirson — Hauts-de-France</w:t>
            </w:r>
          </w:p>
        </w:tc>
        <w:tc>
          <w:tcPr>
            <w:tcW w:type="dxa" w:w="4819"/>
          </w:tcPr>
          <w:p>
            <w:pPr>
              <w:spacing w:after="40"/>
            </w:pPr>
            <w:r/>
            <w:r>
              <w:rPr>
                <w:b w:val="0"/>
                <w:sz w:val="18"/>
              </w:rPr>
              <w:t>Idem</w:t>
            </w:r>
          </w:p>
        </w:tc>
        <w:tc>
          <w:tcPr>
            <w:tcW w:type="dxa" w:w="1701"/>
          </w:tcPr>
          <w:p>
            <w:pPr>
              <w:spacing w:after="40"/>
            </w:pPr>
            <w:r/>
            <w:r>
              <w:rPr>
                <w:b w:val="0"/>
                <w:sz w:val="18"/>
              </w:rPr>
              <w:t>Argumentaire site</w:t>
            </w:r>
          </w:p>
        </w:tc>
      </w:tr>
      <w:tr>
        <w:tc>
          <w:tcPr>
            <w:tcW w:type="dxa" w:w="2835"/>
          </w:tcPr>
          <w:p>
            <w:pPr>
              <w:spacing w:after="40"/>
            </w:pPr>
            <w:r/>
            <w:r>
              <w:rPr>
                <w:b w:val="0"/>
                <w:sz w:val="18"/>
              </w:rPr>
              <w:t>VI. Écommoy — Pays de la Loire</w:t>
            </w:r>
          </w:p>
        </w:tc>
        <w:tc>
          <w:tcPr>
            <w:tcW w:type="dxa" w:w="4819"/>
          </w:tcPr>
          <w:p>
            <w:pPr>
              <w:spacing w:after="40"/>
            </w:pPr>
            <w:r/>
            <w:r>
              <w:rPr>
                <w:b w:val="0"/>
                <w:sz w:val="18"/>
              </w:rPr>
              <w:t>Idem</w:t>
            </w:r>
          </w:p>
        </w:tc>
        <w:tc>
          <w:tcPr>
            <w:tcW w:type="dxa" w:w="1701"/>
          </w:tcPr>
          <w:p>
            <w:pPr>
              <w:spacing w:after="40"/>
            </w:pPr>
            <w:r/>
            <w:r>
              <w:rPr>
                <w:b w:val="0"/>
                <w:sz w:val="18"/>
              </w:rPr>
              <w:t>Argumentaire site</w:t>
            </w:r>
          </w:p>
        </w:tc>
      </w:tr>
      <w:tr>
        <w:tc>
          <w:tcPr>
            <w:tcW w:type="dxa" w:w="2835"/>
          </w:tcPr>
          <w:p>
            <w:pPr>
              <w:spacing w:after="40"/>
            </w:pPr>
            <w:r/>
            <w:r>
              <w:rPr>
                <w:b w:val="0"/>
                <w:sz w:val="18"/>
              </w:rPr>
              <w:t>VII. Synthèse plateforme</w:t>
            </w:r>
          </w:p>
        </w:tc>
        <w:tc>
          <w:tcPr>
            <w:tcW w:type="dxa" w:w="4819"/>
          </w:tcPr>
          <w:p>
            <w:pPr>
              <w:spacing w:after="40"/>
            </w:pPr>
            <w:r/>
            <w:r>
              <w:rPr>
                <w:b w:val="0"/>
                <w:sz w:val="18"/>
              </w:rPr>
              <w:t>Ce que les trois projets apportent, ensemble, à trois régions et à l’État</w:t>
            </w:r>
          </w:p>
        </w:tc>
        <w:tc>
          <w:tcPr>
            <w:tcW w:type="dxa" w:w="1701"/>
          </w:tcPr>
          <w:p>
            <w:pPr>
              <w:spacing w:after="40"/>
            </w:pPr>
            <w:r/>
            <w:r>
              <w:rPr>
                <w:b w:val="0"/>
                <w:sz w:val="18"/>
              </w:rPr>
              <w:t>Message</w:t>
            </w:r>
          </w:p>
        </w:tc>
      </w:tr>
      <w:tr>
        <w:tc>
          <w:tcPr>
            <w:tcW w:type="dxa" w:w="2835"/>
          </w:tcPr>
          <w:p>
            <w:pPr>
              <w:spacing w:after="40"/>
            </w:pPr>
            <w:r/>
            <w:r>
              <w:rPr>
                <w:b w:val="0"/>
                <w:sz w:val="18"/>
              </w:rPr>
              <w:t>VIII. Feuille de route institutionnelle</w:t>
            </w:r>
          </w:p>
        </w:tc>
        <w:tc>
          <w:tcPr>
            <w:tcW w:type="dxa" w:w="4819"/>
          </w:tcPr>
          <w:p>
            <w:pPr>
              <w:spacing w:after="40"/>
            </w:pPr>
            <w:r/>
            <w:r>
              <w:rPr>
                <w:b w:val="0"/>
                <w:sz w:val="18"/>
              </w:rPr>
              <w:t>Interlocuteurs, demandes, séquencement par site</w:t>
            </w:r>
          </w:p>
        </w:tc>
        <w:tc>
          <w:tcPr>
            <w:tcW w:type="dxa" w:w="1701"/>
          </w:tcPr>
          <w:p>
            <w:pPr>
              <w:spacing w:after="40"/>
            </w:pPr>
            <w:r/>
            <w:r>
              <w:rPr>
                <w:b w:val="0"/>
                <w:sz w:val="18"/>
              </w:rPr>
              <w:t>Action</w:t>
            </w:r>
          </w:p>
        </w:tc>
      </w:tr>
      <w:tr>
        <w:tc>
          <w:tcPr>
            <w:tcW w:type="dxa" w:w="2835"/>
          </w:tcPr>
          <w:p>
            <w:pPr>
              <w:spacing w:after="40"/>
            </w:pPr>
            <w:r/>
            <w:r>
              <w:rPr>
                <w:b w:val="0"/>
                <w:sz w:val="18"/>
              </w:rPr>
              <w:t>Annexes</w:t>
            </w:r>
          </w:p>
        </w:tc>
        <w:tc>
          <w:tcPr>
            <w:tcW w:type="dxa" w:w="4819"/>
          </w:tcPr>
          <w:p>
            <w:pPr>
              <w:spacing w:after="40"/>
            </w:pPr>
            <w:r/>
            <w:r>
              <w:rPr>
                <w:b w:val="0"/>
                <w:sz w:val="18"/>
              </w:rPr>
              <w:t>Points de vigilance, données à consolider, sources</w:t>
            </w:r>
          </w:p>
        </w:tc>
        <w:tc>
          <w:tcPr>
            <w:tcW w:type="dxa" w:w="1701"/>
          </w:tcPr>
          <w:p>
            <w:pPr>
              <w:spacing w:after="40"/>
            </w:pPr>
            <w:r/>
            <w:r>
              <w:rPr>
                <w:b w:val="0"/>
                <w:sz w:val="18"/>
              </w:rPr>
              <w:t>Contrôle</w:t>
            </w:r>
          </w:p>
        </w:tc>
      </w:tr>
    </w:tbl>
    <w:p>
      <w:pPr>
        <w:spacing w:after="80"/>
      </w:pPr>
    </w:p>
    <w:p>
      <w:r>
        <w:br w:type="page"/>
      </w:r>
    </w:p>
    <w:p>
      <w:pPr>
        <w:keepNext/>
        <w:spacing w:before="360" w:after="160"/>
        <w:pBdr>
          <w:bottom w:val="single" w:sz="8" w:space="2" w:color="1F3B57"/>
        </w:pBdr>
      </w:pPr>
      <w:r>
        <w:rPr>
          <w:b/>
          <w:color w:val="1F3B57"/>
          <w:sz w:val="28"/>
        </w:rPr>
        <w:t>PRÉAMBULE ET NOTE DE MÉTHODE</w:t>
      </w:r>
    </w:p>
    <w:p>
      <w:pPr>
        <w:keepNext/>
        <w:spacing w:before="240" w:after="80"/>
      </w:pPr>
      <w:r>
        <w:rPr>
          <w:b/>
          <w:color w:val="1F3B57"/>
          <w:sz w:val="24"/>
        </w:rPr>
        <w:t>Objet du document</w:t>
      </w:r>
    </w:p>
    <w:p>
      <w:pPr>
        <w:jc w:val="both"/>
      </w:pPr>
      <w:r>
        <w:rPr>
          <w:b w:val="0"/>
          <w:i w:val="0"/>
          <w:sz w:val="21"/>
        </w:rPr>
        <w:t xml:space="preserve">Le présent dossier consolide en un document unique l’analyse de l’insertion des trois projets de la plateforme Arbange — </w:t>
      </w:r>
      <w:r>
        <w:rPr>
          <w:b/>
          <w:i w:val="0"/>
          <w:sz w:val="21"/>
        </w:rPr>
        <w:t>Damblain</w:t>
      </w:r>
      <w:r>
        <w:rPr>
          <w:b w:val="0"/>
          <w:i w:val="0"/>
          <w:sz w:val="21"/>
        </w:rPr>
        <w:t xml:space="preserve"> (Vosges, projet Jeferco Pellets Grand Est), </w:t>
      </w:r>
      <w:r>
        <w:rPr>
          <w:b/>
          <w:i w:val="0"/>
          <w:sz w:val="21"/>
        </w:rPr>
        <w:t>Hirson</w:t>
      </w:r>
      <w:r>
        <w:rPr>
          <w:b w:val="0"/>
          <w:i w:val="0"/>
          <w:sz w:val="21"/>
        </w:rPr>
        <w:t xml:space="preserve"> (Aisne, projet Trois Rivières Biopellets) et </w:t>
      </w:r>
      <w:r>
        <w:rPr>
          <w:b/>
          <w:i w:val="0"/>
          <w:sz w:val="21"/>
        </w:rPr>
        <w:t>Écommoy</w:t>
      </w:r>
      <w:r>
        <w:rPr>
          <w:b w:val="0"/>
          <w:i w:val="0"/>
          <w:sz w:val="21"/>
        </w:rPr>
        <w:t xml:space="preserve"> (Sarthe, projet Dynamis) — dans les dynamiques territoriales portées par l’État, les services déconcentrés de l’État, et les collectivités territoriales : régions, départements, établissements publics de coopération intercommunale et communes.</w:t>
      </w:r>
    </w:p>
    <w:p>
      <w:pPr>
        <w:jc w:val="both"/>
      </w:pPr>
      <w:r>
        <w:rPr>
          <w:b w:val="0"/>
          <w:i w:val="0"/>
          <w:sz w:val="21"/>
        </w:rPr>
        <w:t xml:space="preserve">Il répond à un besoin propre à une plateforme multi-sites : chaque projet a jusqu’ici été présenté dans un dossier institutionnel autonome, adressé à un interlocuteur régional distinct. Cette approche site par site est nécessaire dans la relation avec chaque Région, mais elle ne permet pas de piloter une doctrine institutionnelle commune, ni de mesurer ce que la plateforme représente </w:t>
      </w:r>
      <w:r>
        <w:rPr>
          <w:b/>
          <w:i w:val="0"/>
          <w:sz w:val="21"/>
        </w:rPr>
        <w:t>dans son ensemble</w:t>
      </w:r>
      <w:r>
        <w:rPr>
          <w:b w:val="0"/>
          <w:i w:val="0"/>
          <w:sz w:val="21"/>
        </w:rPr>
        <w:t xml:space="preserve"> pour la politique énergétique et industrielle nationale. Le présent document comble cet écart.</w:t>
      </w:r>
    </w:p>
    <w:p>
      <w:pPr>
        <w:jc w:val="both"/>
      </w:pPr>
      <w:r>
        <w:rPr>
          <w:b w:val="0"/>
          <w:i w:val="0"/>
          <w:sz w:val="21"/>
        </w:rPr>
        <w:t xml:space="preserve">Il est à </w:t>
      </w:r>
      <w:r>
        <w:rPr>
          <w:b/>
          <w:i w:val="0"/>
          <w:sz w:val="21"/>
        </w:rPr>
        <w:t>usage strictement interne</w:t>
      </w:r>
      <w:r>
        <w:rPr>
          <w:b w:val="0"/>
          <w:i w:val="0"/>
          <w:sz w:val="21"/>
        </w:rPr>
        <w:t>. Il comporte à ce titre des éléments — points de vigilance, écarts de données entre dossiers, arguments à ne pas utiliser en l’état — qui n’ont pas vocation à figurer dans les versions adressées aux partenaires publics.</w:t>
      </w:r>
    </w:p>
    <w:p>
      <w:pPr>
        <w:keepNext/>
        <w:spacing w:before="240" w:after="80"/>
      </w:pPr>
      <w:r>
        <w:rPr>
          <w:b/>
          <w:color w:val="1F3B57"/>
          <w:sz w:val="24"/>
        </w:rPr>
        <w:t>Architecture retenue</w:t>
      </w:r>
    </w:p>
    <w:p>
      <w:pPr>
        <w:jc w:val="both"/>
      </w:pPr>
      <w:r>
        <w:rPr>
          <w:b w:val="0"/>
          <w:i w:val="0"/>
          <w:sz w:val="21"/>
        </w:rPr>
        <w:t>Le document est construit en trois blocs fonctionnels :</w:t>
      </w:r>
    </w:p>
    <w:p>
      <w:pPr>
        <w:pStyle w:val="ListBullet"/>
        <w:spacing w:after="60"/>
        <w:ind w:left="340"/>
        <w:jc w:val="both"/>
      </w:pPr>
      <w:r>
        <w:rPr>
          <w:b/>
          <w:sz w:val="21"/>
        </w:rPr>
        <w:t>Un socle factuel commun</w:t>
      </w:r>
      <w:r>
        <w:rPr>
          <w:b w:val="0"/>
          <w:sz w:val="21"/>
        </w:rPr>
        <w:t xml:space="preserve"> (Partie I) : les données des trois projets mises en regard, harmonisées et commentées lorsqu’elles divergent entre les dossiers sources.</w:t>
      </w:r>
    </w:p>
    <w:p>
      <w:pPr>
        <w:pStyle w:val="ListBullet"/>
        <w:spacing w:after="60"/>
        <w:ind w:left="340"/>
        <w:jc w:val="both"/>
      </w:pPr>
      <w:r>
        <w:rPr>
          <w:b/>
          <w:sz w:val="21"/>
        </w:rPr>
        <w:t>Un volet national réutilisable</w:t>
      </w:r>
      <w:r>
        <w:rPr>
          <w:b w:val="0"/>
          <w:sz w:val="21"/>
        </w:rPr>
        <w:t xml:space="preserve"> (Partie II) : l’argumentaire relatif aux politiques de l’État — programmation énergétique, stratégie bas-carbone, durabilité européenne, sobriété foncière, souveraineté de la filière granulé, guichets de financement. Ce volet est identique pour les trois sites et peut être repris tel quel dans chaque dossier régional, moyennant l’adaptation des chiffres de capacité.</w:t>
      </w:r>
    </w:p>
    <w:p>
      <w:pPr>
        <w:pStyle w:val="ListBullet"/>
        <w:spacing w:after="60"/>
        <w:ind w:left="340"/>
        <w:jc w:val="both"/>
      </w:pPr>
      <w:r>
        <w:rPr>
          <w:b/>
          <w:sz w:val="21"/>
        </w:rPr>
        <w:t>Une grille d’analyse territoriale</w:t>
      </w:r>
      <w:r>
        <w:rPr>
          <w:b w:val="0"/>
          <w:sz w:val="21"/>
        </w:rPr>
        <w:t xml:space="preserve"> (Partie III) et </w:t>
      </w:r>
      <w:r>
        <w:rPr>
          <w:b/>
          <w:sz w:val="21"/>
        </w:rPr>
        <w:t>trois volets territoriaux</w:t>
      </w:r>
      <w:r>
        <w:rPr>
          <w:b w:val="0"/>
          <w:sz w:val="21"/>
        </w:rPr>
        <w:t xml:space="preserve"> (Parties IV à VI) : la déclinaison, échelon par échelon, des cadres régionaux, départementaux, intercommunaux et communaux dans lesquels chaque projet s’inscrit.</w:t>
      </w:r>
    </w:p>
    <w:p>
      <w:pPr>
        <w:keepNext/>
        <w:spacing w:before="240" w:after="80"/>
      </w:pPr>
      <w:r>
        <w:rPr>
          <w:b/>
          <w:color w:val="1F3B57"/>
          <w:sz w:val="24"/>
        </w:rPr>
        <w:t>Conventions de chiffrage</w:t>
      </w:r>
    </w:p>
    <w:p>
      <w:pPr>
        <w:jc w:val="both"/>
      </w:pPr>
      <w:r>
        <w:rPr>
          <w:b w:val="0"/>
          <w:i w:val="0"/>
          <w:sz w:val="21"/>
        </w:rPr>
        <w:t xml:space="preserve">Les capacités retenues dans l’ensemble du document sont celles arrêtées par la direction : </w:t>
      </w:r>
      <w:r>
        <w:rPr>
          <w:b/>
          <w:i w:val="0"/>
          <w:sz w:val="21"/>
        </w:rPr>
        <w:t>Damblain 120 000 t/an, Hirson 100 000 t/an, Écommoy 92 000 t/an</w:t>
      </w:r>
      <w:r>
        <w:rPr>
          <w:b w:val="0"/>
          <w:i w:val="0"/>
          <w:sz w:val="21"/>
        </w:rPr>
        <w:t xml:space="preserve">, soit </w:t>
      </w:r>
      <w:r>
        <w:rPr>
          <w:b/>
          <w:i w:val="0"/>
          <w:sz w:val="21"/>
        </w:rPr>
        <w:t>312 000 tonnes/an</w:t>
      </w:r>
      <w:r>
        <w:rPr>
          <w:b w:val="0"/>
          <w:i w:val="0"/>
          <w:sz w:val="21"/>
        </w:rPr>
        <w:t xml:space="preserve"> pour la plateforme à périmètre des trois projets. Ces valeurs se substituent aux capacités figurant dans les dossiers sources lorsqu’elles en diffèrent (le dossier Hirson de mai 2026 mentionnait 120 000 t/an, le dossier Écommoy d’avril 2026 mentionnait 100 000 t/an).</w:t>
      </w:r>
    </w:p>
    <w:p>
      <w:pPr>
        <w:jc w:val="both"/>
      </w:pPr>
      <w:r>
        <w:rPr>
          <w:b w:val="0"/>
          <w:i w:val="0"/>
          <w:sz w:val="21"/>
        </w:rPr>
        <w:t xml:space="preserve">L’emploi est retenu de façon homogène à </w:t>
      </w:r>
      <w:r>
        <w:rPr>
          <w:b/>
          <w:i w:val="0"/>
          <w:sz w:val="21"/>
        </w:rPr>
        <w:t>30 emplois directs permanents et 100 emplois indirects par site</w:t>
      </w:r>
      <w:r>
        <w:rPr>
          <w:b w:val="0"/>
          <w:i w:val="0"/>
          <w:sz w:val="21"/>
        </w:rPr>
        <w:t xml:space="preserve">, conformément à l’arbitrage de la direction, soit </w:t>
      </w:r>
      <w:r>
        <w:rPr>
          <w:b/>
          <w:i w:val="0"/>
          <w:sz w:val="21"/>
        </w:rPr>
        <w:t>90 emplois directs et 300 emplois indirects</w:t>
      </w:r>
      <w:r>
        <w:rPr>
          <w:b w:val="0"/>
          <w:i w:val="0"/>
          <w:sz w:val="21"/>
        </w:rPr>
        <w:t xml:space="preserve"> pour la plateforme.</w:t>
      </w:r>
    </w:p>
    <w:p>
      <w:pPr>
        <w:jc w:val="both"/>
      </w:pPr>
      <w:r>
        <w:rPr>
          <w:b w:val="0"/>
          <w:i w:val="0"/>
          <w:sz w:val="21"/>
        </w:rPr>
        <w:t xml:space="preserve">Les besoins en biomasse sont calculés sur la base d’un ratio de l’ordre de </w:t>
      </w:r>
      <w:r>
        <w:rPr>
          <w:b/>
          <w:i w:val="0"/>
          <w:sz w:val="21"/>
        </w:rPr>
        <w:t>1,7 tonne de bois entrant par tonne de granulés produite</w:t>
      </w:r>
      <w:r>
        <w:rPr>
          <w:b w:val="0"/>
          <w:i w:val="0"/>
          <w:sz w:val="21"/>
        </w:rPr>
        <w:t>, cohérent avec le ratio explicité dans le dossier Écommoy (170 000 t de bois pour 100 000 t de granulés).</w:t>
      </w:r>
    </w:p>
    <w:p>
      <w:pPr>
        <w:jc w:val="both"/>
      </w:pPr>
      <w:r>
        <w:rPr>
          <w:b w:val="0"/>
          <w:i w:val="0"/>
          <w:sz w:val="21"/>
        </w:rPr>
        <w:t>Les émissions évitées sont recalculées selon une méthode unique et explicite, exposée au § 2.3, afin que les trois sites soient comparables et que la méthode soit opposable en instruction. Les valeurs obtenues diffèrent de certaines valeurs figurant dans les dossiers sources ; l’écart est signalé et commenté en annexe.</w:t>
      </w:r>
    </w:p>
    <w:p>
      <w:pPr>
        <w:keepNext/>
        <w:spacing w:before="240" w:after="80"/>
      </w:pPr>
      <w:r>
        <w:rPr>
          <w:b/>
          <w:color w:val="1F3B57"/>
          <w:sz w:val="24"/>
        </w:rPr>
        <w:t>Sources</w:t>
      </w:r>
    </w:p>
    <w:p>
      <w:pPr>
        <w:jc w:val="both"/>
      </w:pPr>
      <w:r>
        <w:rPr>
          <w:b w:val="0"/>
          <w:i w:val="0"/>
          <w:sz w:val="21"/>
        </w:rPr>
        <w:t>Le document s’appuie sur les trois dossiers institutionnels existants (Damblain, juin 2026 ; Hirson, mai 2026 ; Écommoy, avril 2026), sur le Company Deck Arbange de mai 2026, et sur une vérification documentaire des cadres publics réalisée en septembre 2026. Les références réglementaires et programmatiques ont été réactualisées : plusieurs cadres nationaux ont évolué depuis la rédaction des dossiers sources — au premier rang desquels la publication de la troisième programmation pluriannuelle de l’énergie en février 2026 et la réforme de MaPrimeRénov’ au 1er janvier 2026. Les sources sont listées en annexe C.</w:t>
      </w:r>
    </w:p>
    <w:p>
      <w:r>
        <w:br w:type="page"/>
      </w:r>
    </w:p>
    <w:p>
      <w:pPr>
        <w:keepNext/>
        <w:spacing w:before="360" w:after="160"/>
        <w:pBdr>
          <w:bottom w:val="single" w:sz="8" w:space="2" w:color="1F3B57"/>
        </w:pBdr>
      </w:pPr>
      <w:r>
        <w:rPr>
          <w:b/>
          <w:color w:val="1F3B57"/>
          <w:sz w:val="28"/>
        </w:rPr>
        <w:t>PARTIE I — LA PLATEFORME ET SES TROIS PROJETS</w:t>
      </w:r>
    </w:p>
    <w:p>
      <w:pPr>
        <w:keepNext/>
        <w:spacing w:before="240" w:after="80"/>
      </w:pPr>
      <w:r>
        <w:rPr>
          <w:b/>
          <w:color w:val="1F3B57"/>
          <w:sz w:val="24"/>
        </w:rPr>
        <w:t>1.1 Trois territoires différents, une même logique industrielle</w:t>
      </w:r>
    </w:p>
    <w:p>
      <w:pPr>
        <w:jc w:val="both"/>
      </w:pPr>
      <w:r>
        <w:rPr>
          <w:b w:val="0"/>
          <w:i w:val="0"/>
          <w:sz w:val="21"/>
        </w:rPr>
        <w:t xml:space="preserve">Les trois projets partagent une structure industrielle et économique identique : une unité de granulation de grande capacité, implantée sur un foncier </w:t>
      </w:r>
      <w:r>
        <w:rPr>
          <w:b/>
          <w:i w:val="0"/>
          <w:sz w:val="21"/>
        </w:rPr>
        <w:t>déjà artificialisé</w:t>
      </w:r>
      <w:r>
        <w:rPr>
          <w:b w:val="0"/>
          <w:i w:val="0"/>
          <w:sz w:val="21"/>
        </w:rPr>
        <w:t xml:space="preserve">, alimentée en </w:t>
      </w:r>
      <w:r>
        <w:rPr>
          <w:b/>
          <w:i w:val="0"/>
          <w:sz w:val="21"/>
        </w:rPr>
        <w:t>circuit court dans un rayon d’environ 150 kilomètres</w:t>
      </w:r>
      <w:r>
        <w:rPr>
          <w:b w:val="0"/>
          <w:i w:val="0"/>
          <w:sz w:val="21"/>
        </w:rPr>
        <w:t xml:space="preserve"> par des connexes de scierie et des bois qui ne trouvent pas de débouché en bois d’œuvre, produisant des granulés certifiés ENplus destinés à un débouché majoritairement industriel et complémentairement résidentiel, et créant une trentaine d’emplois industriels permanents dans un bassin qui en manque.</w:t>
      </w:r>
    </w:p>
    <w:p>
      <w:pPr>
        <w:jc w:val="both"/>
      </w:pPr>
      <w:r>
        <w:rPr>
          <w:b w:val="0"/>
          <w:i w:val="0"/>
          <w:sz w:val="21"/>
        </w:rPr>
        <w:t>Ce qui les distingue tient à trois variables, et ces trois variables commandent l’argumentaire institutionnel à déployer sur chacun :</w:t>
      </w:r>
    </w:p>
    <w:p>
      <w:pPr>
        <w:pStyle w:val="ListBullet"/>
        <w:spacing w:after="60"/>
        <w:ind w:left="340"/>
        <w:jc w:val="both"/>
      </w:pPr>
      <w:r>
        <w:rPr>
          <w:b/>
          <w:sz w:val="21"/>
        </w:rPr>
        <w:t>La nature du site repris.</w:t>
      </w:r>
      <w:r>
        <w:rPr>
          <w:b w:val="0"/>
          <w:sz w:val="21"/>
        </w:rPr>
        <w:t xml:space="preserve"> Damblain est une ancienne emprise militaire de l’OTAN reconvertie en zone d’activité par le Département ; Hirson est un site ferroviaire et industriel communal, la Rotonde de Buire ; Écommoy est une friche industrielle privée, l’ancienne usine de panneaux BELIPA. Trois récits de reconversion, trois familles de dispositifs publics mobilisables.</w:t>
      </w:r>
    </w:p>
    <w:p>
      <w:pPr>
        <w:pStyle w:val="ListBullet"/>
        <w:spacing w:after="60"/>
        <w:ind w:left="340"/>
        <w:jc w:val="both"/>
      </w:pPr>
      <w:r>
        <w:rPr>
          <w:b/>
          <w:sz w:val="21"/>
        </w:rPr>
        <w:t>La profondeur de la difficulté territoriale.</w:t>
      </w:r>
      <w:r>
        <w:rPr>
          <w:b w:val="0"/>
          <w:sz w:val="21"/>
        </w:rPr>
        <w:t xml:space="preserve"> Hirson présente un profil socio-économique parmi les plus dégradés de France métropolitaine ; Damblain est une commune rurale de 250 habitants en déprise démographique longue mais adossée à un actif logistique exceptionnel ; Écommoy est une commune périurbaine de près de 5 000 habitants, dont la vulnérabilité est plus latente que déclarée. L’argument « emploi » n’a pas le même poids ni le même registre dans les trois cas.</w:t>
      </w:r>
    </w:p>
    <w:p>
      <w:pPr>
        <w:pStyle w:val="ListBullet"/>
        <w:spacing w:after="60"/>
        <w:ind w:left="340"/>
        <w:jc w:val="both"/>
      </w:pPr>
      <w:r>
        <w:rPr>
          <w:b/>
          <w:sz w:val="21"/>
        </w:rPr>
        <w:t>La configuration énergétique.</w:t>
      </w:r>
      <w:r>
        <w:rPr>
          <w:b w:val="0"/>
          <w:sz w:val="21"/>
        </w:rPr>
        <w:t xml:space="preserve"> Damblain et Hirson reposent sur une chaudière biomasse ; Écommoy (Dynamis) est le seul des trois à intégrer une </w:t>
      </w:r>
      <w:r>
        <w:rPr>
          <w:b/>
          <w:sz w:val="21"/>
        </w:rPr>
        <w:t>chaudière CSR</w:t>
      </w:r>
      <w:r>
        <w:rPr>
          <w:b w:val="0"/>
          <w:sz w:val="21"/>
        </w:rPr>
        <w:t>, avec une autorisation environnementale qui la couvre explicitement. Cette différence est déterminante : elle change les rubriques ICPE applicables, les guichets de financement mobilisables et le registre d’acceptabilité locale.</w:t>
      </w:r>
    </w:p>
    <w:p>
      <w:pPr>
        <w:keepNext/>
        <w:spacing w:before="240" w:after="80"/>
      </w:pPr>
      <w:r>
        <w:rPr>
          <w:b/>
          <w:color w:val="1F3B57"/>
          <w:sz w:val="24"/>
        </w:rPr>
        <w:t>1.2 Tableau comparatif des données clés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fill="1F3B57"/>
          </w:tcPr>
          <w:p>
            <w:r/>
            <w:r>
              <w:rPr>
                <w:b/>
                <w:color w:val="FFFFFF"/>
                <w:sz w:val="16"/>
              </w:rPr>
              <w:t>Paramètre</w:t>
            </w:r>
          </w:p>
        </w:tc>
        <w:tc>
          <w:tcPr>
            <w:tcW w:type="dxa" w:w="2494"/>
            <w:shd w:val="clear" w:fill="1F3B57"/>
          </w:tcPr>
          <w:p>
            <w:r/>
            <w:r>
              <w:rPr>
                <w:b/>
                <w:color w:val="FFFFFF"/>
                <w:sz w:val="16"/>
              </w:rPr>
              <w:t>DAMBLAIN (88)</w:t>
            </w:r>
          </w:p>
        </w:tc>
        <w:tc>
          <w:tcPr>
            <w:tcW w:type="dxa" w:w="2381"/>
            <w:shd w:val="clear" w:fill="1F3B57"/>
          </w:tcPr>
          <w:p>
            <w:r/>
            <w:r>
              <w:rPr>
                <w:b/>
                <w:color w:val="FFFFFF"/>
                <w:sz w:val="16"/>
              </w:rPr>
              <w:t>HIRSON (02)</w:t>
            </w:r>
          </w:p>
        </w:tc>
        <w:tc>
          <w:tcPr>
            <w:tcW w:type="dxa" w:w="2438"/>
            <w:shd w:val="clear" w:fill="1F3B57"/>
          </w:tcPr>
          <w:p>
            <w:r/>
            <w:r>
              <w:rPr>
                <w:b/>
                <w:color w:val="FFFFFF"/>
                <w:sz w:val="16"/>
              </w:rPr>
              <w:t>ÉCOMMOY (72)</w:t>
            </w:r>
          </w:p>
        </w:tc>
      </w:tr>
      <w:tr>
        <w:tc>
          <w:tcPr>
            <w:tcW w:type="dxa" w:w="2041"/>
          </w:tcPr>
          <w:p>
            <w:pPr>
              <w:spacing w:after="40"/>
            </w:pPr>
            <w:r/>
            <w:r>
              <w:rPr>
                <w:b w:val="0"/>
                <w:sz w:val="16"/>
              </w:rPr>
              <w:t>Société de projet</w:t>
            </w:r>
          </w:p>
        </w:tc>
        <w:tc>
          <w:tcPr>
            <w:tcW w:type="dxa" w:w="2494"/>
          </w:tcPr>
          <w:p>
            <w:pPr>
              <w:spacing w:after="40"/>
            </w:pPr>
            <w:r/>
            <w:r>
              <w:rPr>
                <w:b w:val="0"/>
                <w:sz w:val="16"/>
              </w:rPr>
              <w:t>Jeferco Pellets Grand Est SAS</w:t>
            </w:r>
          </w:p>
        </w:tc>
        <w:tc>
          <w:tcPr>
            <w:tcW w:type="dxa" w:w="2381"/>
          </w:tcPr>
          <w:p>
            <w:pPr>
              <w:spacing w:after="40"/>
            </w:pPr>
            <w:r/>
            <w:r>
              <w:rPr>
                <w:b w:val="0"/>
                <w:sz w:val="16"/>
              </w:rPr>
              <w:t>Trois Rivières Biopellets</w:t>
            </w:r>
          </w:p>
        </w:tc>
        <w:tc>
          <w:tcPr>
            <w:tcW w:type="dxa" w:w="2438"/>
          </w:tcPr>
          <w:p>
            <w:pPr>
              <w:spacing w:after="40"/>
            </w:pPr>
            <w:r/>
            <w:r>
              <w:rPr>
                <w:b w:val="0"/>
                <w:sz w:val="16"/>
              </w:rPr>
              <w:t>Dynamis</w:t>
            </w:r>
          </w:p>
        </w:tc>
      </w:tr>
      <w:tr>
        <w:tc>
          <w:tcPr>
            <w:tcW w:type="dxa" w:w="2041"/>
          </w:tcPr>
          <w:p>
            <w:pPr>
              <w:spacing w:after="40"/>
            </w:pPr>
            <w:r/>
            <w:r>
              <w:rPr>
                <w:b w:val="0"/>
                <w:sz w:val="16"/>
              </w:rPr>
              <w:t>Région</w:t>
            </w:r>
          </w:p>
        </w:tc>
        <w:tc>
          <w:tcPr>
            <w:tcW w:type="dxa" w:w="2494"/>
          </w:tcPr>
          <w:p>
            <w:pPr>
              <w:spacing w:after="40"/>
            </w:pPr>
            <w:r/>
            <w:r>
              <w:rPr>
                <w:b w:val="0"/>
                <w:sz w:val="16"/>
              </w:rPr>
              <w:t>Grand Est</w:t>
            </w:r>
          </w:p>
        </w:tc>
        <w:tc>
          <w:tcPr>
            <w:tcW w:type="dxa" w:w="2381"/>
          </w:tcPr>
          <w:p>
            <w:pPr>
              <w:spacing w:after="40"/>
            </w:pPr>
            <w:r/>
            <w:r>
              <w:rPr>
                <w:b w:val="0"/>
                <w:sz w:val="16"/>
              </w:rPr>
              <w:t>Hauts-de-France</w:t>
            </w:r>
          </w:p>
        </w:tc>
        <w:tc>
          <w:tcPr>
            <w:tcW w:type="dxa" w:w="2438"/>
          </w:tcPr>
          <w:p>
            <w:pPr>
              <w:spacing w:after="40"/>
            </w:pPr>
            <w:r/>
            <w:r>
              <w:rPr>
                <w:b w:val="0"/>
                <w:sz w:val="16"/>
              </w:rPr>
              <w:t>Pays de la Loire</w:t>
            </w:r>
          </w:p>
        </w:tc>
      </w:tr>
      <w:tr>
        <w:tc>
          <w:tcPr>
            <w:tcW w:type="dxa" w:w="2041"/>
          </w:tcPr>
          <w:p>
            <w:pPr>
              <w:spacing w:after="40"/>
            </w:pPr>
            <w:r/>
            <w:r>
              <w:rPr>
                <w:b w:val="0"/>
                <w:sz w:val="16"/>
              </w:rPr>
              <w:t>EPCI</w:t>
            </w:r>
          </w:p>
        </w:tc>
        <w:tc>
          <w:tcPr>
            <w:tcW w:type="dxa" w:w="2494"/>
          </w:tcPr>
          <w:p>
            <w:pPr>
              <w:spacing w:after="40"/>
            </w:pPr>
            <w:r/>
            <w:r>
              <w:rPr>
                <w:b w:val="0"/>
                <w:sz w:val="16"/>
              </w:rPr>
              <w:t>CC de l’Ouest Vosgien (70 communes, 24 512 hab.)</w:t>
            </w:r>
          </w:p>
        </w:tc>
        <w:tc>
          <w:tcPr>
            <w:tcW w:type="dxa" w:w="2381"/>
          </w:tcPr>
          <w:p>
            <w:pPr>
              <w:spacing w:after="40"/>
            </w:pPr>
            <w:r/>
            <w:r>
              <w:rPr>
                <w:b w:val="0"/>
                <w:sz w:val="16"/>
              </w:rPr>
              <w:t>CC du Pays des Trois Rivières (26 communes)</w:t>
            </w:r>
          </w:p>
        </w:tc>
        <w:tc>
          <w:tcPr>
            <w:tcW w:type="dxa" w:w="2438"/>
          </w:tcPr>
          <w:p>
            <w:pPr>
              <w:spacing w:after="40"/>
            </w:pPr>
            <w:r/>
            <w:r>
              <w:rPr>
                <w:b w:val="0"/>
                <w:sz w:val="16"/>
              </w:rPr>
              <w:t>CC Orée de Bercé-Bélinois (8 communes, 19 486 hab.)</w:t>
            </w:r>
          </w:p>
        </w:tc>
      </w:tr>
      <w:tr>
        <w:tc>
          <w:tcPr>
            <w:tcW w:type="dxa" w:w="2041"/>
          </w:tcPr>
          <w:p>
            <w:pPr>
              <w:spacing w:after="40"/>
            </w:pPr>
            <w:r/>
            <w:r>
              <w:rPr>
                <w:b w:val="0"/>
                <w:sz w:val="16"/>
              </w:rPr>
              <w:t>Population communale</w:t>
            </w:r>
          </w:p>
        </w:tc>
        <w:tc>
          <w:tcPr>
            <w:tcW w:type="dxa" w:w="2494"/>
          </w:tcPr>
          <w:p>
            <w:pPr>
              <w:spacing w:after="40"/>
            </w:pPr>
            <w:r/>
            <w:r>
              <w:rPr>
                <w:b w:val="0"/>
                <w:sz w:val="16"/>
              </w:rPr>
              <w:t>≈ 250 hab. (−50 % depuis 1968)</w:t>
            </w:r>
          </w:p>
        </w:tc>
        <w:tc>
          <w:tcPr>
            <w:tcW w:type="dxa" w:w="2381"/>
          </w:tcPr>
          <w:p>
            <w:pPr>
              <w:spacing w:after="40"/>
            </w:pPr>
            <w:r/>
            <w:r>
              <w:rPr>
                <w:b w:val="0"/>
                <w:sz w:val="16"/>
              </w:rPr>
              <w:t>8 565 hab. (2022), en baisse continue depuis 1975</w:t>
            </w:r>
          </w:p>
        </w:tc>
        <w:tc>
          <w:tcPr>
            <w:tcW w:type="dxa" w:w="2438"/>
          </w:tcPr>
          <w:p>
            <w:pPr>
              <w:spacing w:after="40"/>
            </w:pPr>
            <w:r/>
            <w:r>
              <w:rPr>
                <w:b w:val="0"/>
                <w:sz w:val="16"/>
              </w:rPr>
              <w:t>4 868 hab. (2023)</w:t>
            </w:r>
          </w:p>
        </w:tc>
      </w:tr>
      <w:tr>
        <w:tc>
          <w:tcPr>
            <w:tcW w:type="dxa" w:w="2041"/>
          </w:tcPr>
          <w:p>
            <w:pPr>
              <w:spacing w:after="40"/>
            </w:pPr>
            <w:r/>
            <w:r>
              <w:rPr>
                <w:b w:val="0"/>
                <w:sz w:val="16"/>
              </w:rPr>
              <w:t>Nature du site</w:t>
            </w:r>
          </w:p>
        </w:tc>
        <w:tc>
          <w:tcPr>
            <w:tcW w:type="dxa" w:w="2494"/>
          </w:tcPr>
          <w:p>
            <w:pPr>
              <w:spacing w:after="40"/>
            </w:pPr>
            <w:r/>
            <w:r>
              <w:rPr>
                <w:b w:val="0"/>
                <w:sz w:val="16"/>
              </w:rPr>
              <w:t>Ancienne base aérienne OTAN — ZA Cap Vosges (302 ha, dont ≈ 20 ha pour le projet)</w:t>
            </w:r>
          </w:p>
        </w:tc>
        <w:tc>
          <w:tcPr>
            <w:tcW w:type="dxa" w:w="2381"/>
          </w:tcPr>
          <w:p>
            <w:pPr>
              <w:spacing w:after="40"/>
            </w:pPr>
            <w:r/>
            <w:r>
              <w:rPr>
                <w:b w:val="0"/>
                <w:sz w:val="16"/>
              </w:rPr>
              <w:t>Rotonde de Buire — ancien site ferroviaire (3,56 ha)</w:t>
            </w:r>
          </w:p>
        </w:tc>
        <w:tc>
          <w:tcPr>
            <w:tcW w:type="dxa" w:w="2438"/>
          </w:tcPr>
          <w:p>
            <w:pPr>
              <w:spacing w:after="40"/>
            </w:pPr>
            <w:r/>
            <w:r>
              <w:rPr>
                <w:b w:val="0"/>
                <w:sz w:val="16"/>
              </w:rPr>
              <w:t>Friche industrielle BELIPA (8,5 ha, 8 500 m² couverts)</w:t>
            </w:r>
          </w:p>
        </w:tc>
      </w:tr>
      <w:tr>
        <w:tc>
          <w:tcPr>
            <w:tcW w:type="dxa" w:w="2041"/>
          </w:tcPr>
          <w:p>
            <w:pPr>
              <w:spacing w:after="40"/>
            </w:pPr>
            <w:r/>
            <w:r>
              <w:rPr>
                <w:b w:val="0"/>
                <w:sz w:val="16"/>
              </w:rPr>
              <w:t>Propriétaire d’origine</w:t>
            </w:r>
          </w:p>
        </w:tc>
        <w:tc>
          <w:tcPr>
            <w:tcW w:type="dxa" w:w="2494"/>
          </w:tcPr>
          <w:p>
            <w:pPr>
              <w:spacing w:after="40"/>
            </w:pPr>
            <w:r/>
            <w:r>
              <w:rPr>
                <w:b w:val="0"/>
                <w:sz w:val="16"/>
              </w:rPr>
              <w:t>Département des Vosges (acquis 2005, 34 M€ d’aménagement)</w:t>
            </w:r>
          </w:p>
        </w:tc>
        <w:tc>
          <w:tcPr>
            <w:tcW w:type="dxa" w:w="2381"/>
          </w:tcPr>
          <w:p>
            <w:pPr>
              <w:spacing w:after="40"/>
            </w:pPr>
            <w:r/>
            <w:r>
              <w:rPr>
                <w:b w:val="0"/>
                <w:sz w:val="16"/>
              </w:rPr>
              <w:t>Commune d’Hirson</w:t>
            </w:r>
          </w:p>
        </w:tc>
        <w:tc>
          <w:tcPr>
            <w:tcW w:type="dxa" w:w="2438"/>
          </w:tcPr>
          <w:p>
            <w:pPr>
              <w:spacing w:after="40"/>
            </w:pPr>
            <w:r/>
            <w:r>
              <w:rPr>
                <w:b w:val="0"/>
                <w:sz w:val="16"/>
              </w:rPr>
              <w:t>Privé (parcelles AL65 et AL79)</w:t>
            </w:r>
          </w:p>
        </w:tc>
      </w:tr>
      <w:tr>
        <w:tc>
          <w:tcPr>
            <w:tcW w:type="dxa" w:w="2041"/>
          </w:tcPr>
          <w:p>
            <w:pPr>
              <w:spacing w:after="40"/>
            </w:pPr>
            <w:r/>
            <w:r>
              <w:rPr>
                <w:b w:val="0"/>
                <w:sz w:val="16"/>
              </w:rPr>
              <w:t>Maîtrise foncière</w:t>
            </w:r>
          </w:p>
        </w:tc>
        <w:tc>
          <w:tcPr>
            <w:tcW w:type="dxa" w:w="2494"/>
          </w:tcPr>
          <w:p>
            <w:pPr>
              <w:spacing w:after="40"/>
            </w:pPr>
            <w:r/>
            <w:r>
              <w:rPr>
                <w:b w:val="0"/>
                <w:sz w:val="16"/>
              </w:rPr>
              <w:t>Vente contractualisée au bénéfice du SPV</w:t>
            </w:r>
          </w:p>
        </w:tc>
        <w:tc>
          <w:tcPr>
            <w:tcW w:type="dxa" w:w="2381"/>
          </w:tcPr>
          <w:p>
            <w:pPr>
              <w:spacing w:after="40"/>
            </w:pPr>
            <w:r/>
            <w:r>
              <w:rPr>
                <w:b w:val="0"/>
                <w:sz w:val="16"/>
              </w:rPr>
              <w:t>Délibération du conseil municipal — 1,12 M€ HT, proposition du 10/12/2025</w:t>
            </w:r>
          </w:p>
        </w:tc>
        <w:tc>
          <w:tcPr>
            <w:tcW w:type="dxa" w:w="2438"/>
          </w:tcPr>
          <w:p>
            <w:pPr>
              <w:spacing w:after="40"/>
            </w:pPr>
            <w:r/>
            <w:r>
              <w:rPr>
                <w:b w:val="0"/>
                <w:sz w:val="16"/>
              </w:rPr>
              <w:t>Acquisition des parcelles AL65 et AL79 par le SPV — bornage de décembre 2025</w:t>
            </w:r>
          </w:p>
        </w:tc>
      </w:tr>
      <w:tr>
        <w:tc>
          <w:tcPr>
            <w:tcW w:type="dxa" w:w="2041"/>
          </w:tcPr>
          <w:p>
            <w:pPr>
              <w:spacing w:after="40"/>
            </w:pPr>
            <w:r/>
            <w:r>
              <w:rPr>
                <w:b/>
                <w:sz w:val="16"/>
              </w:rPr>
              <w:t>Capacité retenue</w:t>
            </w:r>
          </w:p>
        </w:tc>
        <w:tc>
          <w:tcPr>
            <w:tcW w:type="dxa" w:w="2494"/>
          </w:tcPr>
          <w:p>
            <w:pPr>
              <w:spacing w:after="40"/>
            </w:pPr>
            <w:r/>
            <w:r>
              <w:rPr>
                <w:b/>
                <w:sz w:val="16"/>
              </w:rPr>
              <w:t>120 000 t/an</w:t>
            </w:r>
          </w:p>
        </w:tc>
        <w:tc>
          <w:tcPr>
            <w:tcW w:type="dxa" w:w="2381"/>
          </w:tcPr>
          <w:p>
            <w:pPr>
              <w:spacing w:after="40"/>
            </w:pPr>
            <w:r/>
            <w:r>
              <w:rPr>
                <w:b/>
                <w:sz w:val="16"/>
              </w:rPr>
              <w:t>100 000 t/an</w:t>
            </w:r>
          </w:p>
        </w:tc>
        <w:tc>
          <w:tcPr>
            <w:tcW w:type="dxa" w:w="2438"/>
          </w:tcPr>
          <w:p>
            <w:pPr>
              <w:spacing w:after="40"/>
            </w:pPr>
            <w:r/>
            <w:r>
              <w:rPr>
                <w:b/>
                <w:sz w:val="16"/>
              </w:rPr>
              <w:t>92 000 t/an</w:t>
            </w:r>
          </w:p>
        </w:tc>
      </w:tr>
      <w:tr>
        <w:tc>
          <w:tcPr>
            <w:tcW w:type="dxa" w:w="2041"/>
          </w:tcPr>
          <w:p>
            <w:pPr>
              <w:spacing w:after="40"/>
            </w:pPr>
            <w:r/>
            <w:r>
              <w:rPr>
                <w:b w:val="0"/>
                <w:sz w:val="16"/>
              </w:rPr>
              <w:t>Besoin biomasse (≈ 1,7 t/t)</w:t>
            </w:r>
          </w:p>
        </w:tc>
        <w:tc>
          <w:tcPr>
            <w:tcW w:type="dxa" w:w="2494"/>
          </w:tcPr>
          <w:p>
            <w:pPr>
              <w:spacing w:after="40"/>
            </w:pPr>
            <w:r/>
            <w:r>
              <w:rPr>
                <w:b w:val="0"/>
                <w:sz w:val="16"/>
              </w:rPr>
              <w:t>≈ 204 000 t/an</w:t>
            </w:r>
          </w:p>
        </w:tc>
        <w:tc>
          <w:tcPr>
            <w:tcW w:type="dxa" w:w="2381"/>
          </w:tcPr>
          <w:p>
            <w:pPr>
              <w:spacing w:after="40"/>
            </w:pPr>
            <w:r/>
            <w:r>
              <w:rPr>
                <w:b w:val="0"/>
                <w:sz w:val="16"/>
              </w:rPr>
              <w:t>≈ 170 000 t/an</w:t>
            </w:r>
          </w:p>
        </w:tc>
        <w:tc>
          <w:tcPr>
            <w:tcW w:type="dxa" w:w="2438"/>
          </w:tcPr>
          <w:p>
            <w:pPr>
              <w:spacing w:after="40"/>
            </w:pPr>
            <w:r/>
            <w:r>
              <w:rPr>
                <w:b w:val="0"/>
                <w:sz w:val="16"/>
              </w:rPr>
              <w:t>≈ 156 000 t/an</w:t>
            </w:r>
          </w:p>
        </w:tc>
      </w:tr>
      <w:tr>
        <w:tc>
          <w:tcPr>
            <w:tcW w:type="dxa" w:w="2041"/>
          </w:tcPr>
          <w:p>
            <w:pPr>
              <w:spacing w:after="40"/>
            </w:pPr>
            <w:r/>
            <w:r>
              <w:rPr>
                <w:b w:val="0"/>
                <w:sz w:val="16"/>
              </w:rPr>
              <w:t>Énergie de séchage</w:t>
            </w:r>
          </w:p>
        </w:tc>
        <w:tc>
          <w:tcPr>
            <w:tcW w:type="dxa" w:w="2494"/>
          </w:tcPr>
          <w:p>
            <w:pPr>
              <w:spacing w:after="40"/>
            </w:pPr>
            <w:r/>
            <w:r>
              <w:rPr>
                <w:b w:val="0"/>
                <w:sz w:val="16"/>
              </w:rPr>
              <w:t>Chaudière biomasse — autoconsommation de 30 % des écorces issues des bois ronds</w:t>
            </w:r>
          </w:p>
        </w:tc>
        <w:tc>
          <w:tcPr>
            <w:tcW w:type="dxa" w:w="2381"/>
          </w:tcPr>
          <w:p>
            <w:pPr>
              <w:spacing w:after="40"/>
            </w:pPr>
            <w:r/>
            <w:r>
              <w:rPr>
                <w:b w:val="0"/>
                <w:sz w:val="16"/>
              </w:rPr>
              <w:t>Chaudière biomasse — idem</w:t>
            </w:r>
          </w:p>
        </w:tc>
        <w:tc>
          <w:tcPr>
            <w:tcW w:type="dxa" w:w="2438"/>
          </w:tcPr>
          <w:p>
            <w:pPr>
              <w:spacing w:after="40"/>
            </w:pPr>
            <w:r/>
            <w:r>
              <w:rPr>
                <w:b/>
                <w:sz w:val="16"/>
              </w:rPr>
              <w:t>Chaudière CSR</w:t>
            </w:r>
            <w:r>
              <w:rPr>
                <w:b w:val="0"/>
                <w:sz w:val="16"/>
              </w:rPr>
              <w:t xml:space="preserve"> (option partenariat opérateur énergéticien), alternative biomasse</w:t>
            </w:r>
          </w:p>
        </w:tc>
      </w:tr>
      <w:tr>
        <w:tc>
          <w:tcPr>
            <w:tcW w:type="dxa" w:w="2041"/>
          </w:tcPr>
          <w:p>
            <w:pPr>
              <w:spacing w:after="40"/>
            </w:pPr>
            <w:r/>
            <w:r>
              <w:rPr>
                <w:b w:val="0"/>
                <w:sz w:val="16"/>
              </w:rPr>
              <w:t>Logistique</w:t>
            </w:r>
          </w:p>
        </w:tc>
        <w:tc>
          <w:tcPr>
            <w:tcW w:type="dxa" w:w="2494"/>
          </w:tcPr>
          <w:p>
            <w:pPr>
              <w:spacing w:after="40"/>
            </w:pPr>
            <w:r/>
            <w:r>
              <w:rPr>
                <w:b w:val="0"/>
                <w:sz w:val="16"/>
              </w:rPr>
              <w:t>Embranchement ferroviaire dédié (expédition majoritairement fer) + A31</w:t>
            </w:r>
          </w:p>
        </w:tc>
        <w:tc>
          <w:tcPr>
            <w:tcW w:type="dxa" w:w="2381"/>
          </w:tcPr>
          <w:p>
            <w:pPr>
              <w:spacing w:after="40"/>
            </w:pPr>
            <w:r/>
            <w:r>
              <w:rPr>
                <w:b w:val="0"/>
                <w:sz w:val="16"/>
              </w:rPr>
              <w:t>Route (RD 1043) ; raccordement ferroviaire en phase 2</w:t>
            </w:r>
          </w:p>
        </w:tc>
        <w:tc>
          <w:tcPr>
            <w:tcW w:type="dxa" w:w="2438"/>
          </w:tcPr>
          <w:p>
            <w:pPr>
              <w:spacing w:after="40"/>
            </w:pPr>
            <w:r/>
            <w:r>
              <w:rPr>
                <w:b w:val="0"/>
                <w:sz w:val="16"/>
              </w:rPr>
              <w:t>Route — nœud A11 / A10 / A28 / A81, A28 à moins d’1 km</w:t>
            </w:r>
          </w:p>
        </w:tc>
      </w:tr>
      <w:tr>
        <w:tc>
          <w:tcPr>
            <w:tcW w:type="dxa" w:w="2041"/>
          </w:tcPr>
          <w:p>
            <w:pPr>
              <w:spacing w:after="40"/>
            </w:pPr>
            <w:r/>
            <w:r>
              <w:rPr>
                <w:b w:val="0"/>
                <w:sz w:val="16"/>
              </w:rPr>
              <w:t>Permis de construire</w:t>
            </w:r>
          </w:p>
        </w:tc>
        <w:tc>
          <w:tcPr>
            <w:tcW w:type="dxa" w:w="2494"/>
          </w:tcPr>
          <w:p>
            <w:pPr>
              <w:spacing w:after="40"/>
            </w:pPr>
            <w:r/>
            <w:r>
              <w:rPr>
                <w:b w:val="0"/>
                <w:sz w:val="16"/>
              </w:rPr>
              <w:t>Obtenu, transféré au SPV, purgé de recours</w:t>
            </w:r>
          </w:p>
        </w:tc>
        <w:tc>
          <w:tcPr>
            <w:tcW w:type="dxa" w:w="2381"/>
          </w:tcPr>
          <w:p>
            <w:pPr>
              <w:spacing w:after="40"/>
            </w:pPr>
            <w:r/>
            <w:r>
              <w:rPr>
                <w:b w:val="0"/>
                <w:sz w:val="16"/>
              </w:rPr>
              <w:t>En cours d’instruction (dépôt Q2 2026)</w:t>
            </w:r>
          </w:p>
        </w:tc>
        <w:tc>
          <w:tcPr>
            <w:tcW w:type="dxa" w:w="2438"/>
          </w:tcPr>
          <w:p>
            <w:pPr>
              <w:spacing w:after="40"/>
            </w:pPr>
            <w:r/>
            <w:r>
              <w:rPr>
                <w:b w:val="0"/>
                <w:sz w:val="16"/>
              </w:rPr>
              <w:t>Obtenu le 09/04/2024, transféré le 08/12/2025, purgé de recours</w:t>
            </w:r>
          </w:p>
        </w:tc>
      </w:tr>
      <w:tr>
        <w:tc>
          <w:tcPr>
            <w:tcW w:type="dxa" w:w="2041"/>
          </w:tcPr>
          <w:p>
            <w:pPr>
              <w:spacing w:after="40"/>
            </w:pPr>
            <w:r/>
            <w:r>
              <w:rPr>
                <w:b w:val="0"/>
                <w:sz w:val="16"/>
              </w:rPr>
              <w:t>Autorisation environnementale (ICPE)</w:t>
            </w:r>
          </w:p>
        </w:tc>
        <w:tc>
          <w:tcPr>
            <w:tcW w:type="dxa" w:w="2494"/>
          </w:tcPr>
          <w:p>
            <w:pPr>
              <w:spacing w:after="40"/>
            </w:pPr>
            <w:r/>
            <w:r>
              <w:rPr>
                <w:b w:val="0"/>
                <w:sz w:val="16"/>
              </w:rPr>
              <w:t>Obtenue, transférée, purgée de recours</w:t>
            </w:r>
          </w:p>
        </w:tc>
        <w:tc>
          <w:tcPr>
            <w:tcW w:type="dxa" w:w="2381"/>
          </w:tcPr>
          <w:p>
            <w:pPr>
              <w:spacing w:after="40"/>
            </w:pPr>
            <w:r/>
            <w:r>
              <w:rPr>
                <w:b w:val="0"/>
                <w:sz w:val="16"/>
              </w:rPr>
              <w:t>En cours d’instruction (Q3 2026)</w:t>
            </w:r>
          </w:p>
        </w:tc>
        <w:tc>
          <w:tcPr>
            <w:tcW w:type="dxa" w:w="2438"/>
          </w:tcPr>
          <w:p>
            <w:pPr>
              <w:spacing w:after="40"/>
            </w:pPr>
            <w:r/>
            <w:r>
              <w:rPr>
                <w:b w:val="0"/>
                <w:sz w:val="16"/>
              </w:rPr>
              <w:t>Obtenue en juin 2024, transférée le 13/11/2025, purgée de recours</w:t>
            </w:r>
          </w:p>
        </w:tc>
      </w:tr>
      <w:tr>
        <w:tc>
          <w:tcPr>
            <w:tcW w:type="dxa" w:w="2041"/>
          </w:tcPr>
          <w:p>
            <w:pPr>
              <w:spacing w:after="40"/>
            </w:pPr>
            <w:r/>
            <w:r>
              <w:rPr>
                <w:b w:val="0"/>
                <w:sz w:val="16"/>
              </w:rPr>
              <w:t>CAPEX</w:t>
            </w:r>
          </w:p>
        </w:tc>
        <w:tc>
          <w:tcPr>
            <w:tcW w:type="dxa" w:w="2494"/>
          </w:tcPr>
          <w:p>
            <w:pPr>
              <w:spacing w:after="40"/>
            </w:pPr>
            <w:r/>
            <w:r>
              <w:rPr>
                <w:b w:val="0"/>
                <w:sz w:val="16"/>
              </w:rPr>
              <w:t>≈ 67 M€</w:t>
            </w:r>
          </w:p>
        </w:tc>
        <w:tc>
          <w:tcPr>
            <w:tcW w:type="dxa" w:w="2381"/>
          </w:tcPr>
          <w:p>
            <w:pPr>
              <w:spacing w:after="40"/>
            </w:pPr>
            <w:r/>
            <w:r>
              <w:rPr>
                <w:b w:val="0"/>
                <w:sz w:val="16"/>
              </w:rPr>
              <w:t>≈ 48 M€</w:t>
            </w:r>
          </w:p>
        </w:tc>
        <w:tc>
          <w:tcPr>
            <w:tcW w:type="dxa" w:w="2438"/>
          </w:tcPr>
          <w:p>
            <w:pPr>
              <w:spacing w:after="40"/>
            </w:pPr>
            <w:r/>
            <w:r>
              <w:rPr>
                <w:b w:val="0"/>
                <w:sz w:val="16"/>
              </w:rPr>
              <w:t>≈ 56 M€</w:t>
            </w:r>
          </w:p>
        </w:tc>
      </w:tr>
      <w:tr>
        <w:tc>
          <w:tcPr>
            <w:tcW w:type="dxa" w:w="2041"/>
          </w:tcPr>
          <w:p>
            <w:pPr>
              <w:spacing w:after="40"/>
            </w:pPr>
            <w:r/>
            <w:r>
              <w:rPr>
                <w:b w:val="0"/>
                <w:sz w:val="16"/>
              </w:rPr>
              <w:t>Emplois directs / indirects</w:t>
            </w:r>
          </w:p>
        </w:tc>
        <w:tc>
          <w:tcPr>
            <w:tcW w:type="dxa" w:w="2494"/>
          </w:tcPr>
          <w:p>
            <w:pPr>
              <w:spacing w:after="40"/>
            </w:pPr>
            <w:r/>
            <w:r>
              <w:rPr>
                <w:b w:val="0"/>
                <w:sz w:val="16"/>
              </w:rPr>
              <w:t>30 / 100</w:t>
            </w:r>
          </w:p>
        </w:tc>
        <w:tc>
          <w:tcPr>
            <w:tcW w:type="dxa" w:w="2381"/>
          </w:tcPr>
          <w:p>
            <w:pPr>
              <w:spacing w:after="40"/>
            </w:pPr>
            <w:r/>
            <w:r>
              <w:rPr>
                <w:b w:val="0"/>
                <w:sz w:val="16"/>
              </w:rPr>
              <w:t>30 / 100</w:t>
            </w:r>
          </w:p>
        </w:tc>
        <w:tc>
          <w:tcPr>
            <w:tcW w:type="dxa" w:w="2438"/>
          </w:tcPr>
          <w:p>
            <w:pPr>
              <w:spacing w:after="40"/>
            </w:pPr>
            <w:r/>
            <w:r>
              <w:rPr>
                <w:b w:val="0"/>
                <w:sz w:val="16"/>
              </w:rPr>
              <w:t>30 / 100</w:t>
            </w:r>
          </w:p>
        </w:tc>
      </w:tr>
      <w:tr>
        <w:tc>
          <w:tcPr>
            <w:tcW w:type="dxa" w:w="2041"/>
          </w:tcPr>
          <w:p>
            <w:pPr>
              <w:spacing w:after="40"/>
            </w:pPr>
            <w:r/>
            <w:r>
              <w:rPr>
                <w:b w:val="0"/>
                <w:sz w:val="16"/>
              </w:rPr>
              <w:t>Closing financier visé</w:t>
            </w:r>
          </w:p>
        </w:tc>
        <w:tc>
          <w:tcPr>
            <w:tcW w:type="dxa" w:w="2494"/>
          </w:tcPr>
          <w:p>
            <w:pPr>
              <w:spacing w:after="40"/>
            </w:pPr>
            <w:r/>
            <w:r>
              <w:rPr>
                <w:b w:val="0"/>
                <w:sz w:val="16"/>
              </w:rPr>
              <w:t>Mi-2026</w:t>
            </w:r>
          </w:p>
        </w:tc>
        <w:tc>
          <w:tcPr>
            <w:tcW w:type="dxa" w:w="2381"/>
          </w:tcPr>
          <w:p>
            <w:pPr>
              <w:spacing w:after="40"/>
            </w:pPr>
            <w:r/>
            <w:r>
              <w:rPr>
                <w:b w:val="0"/>
                <w:sz w:val="16"/>
              </w:rPr>
              <w:t>Q1 2028</w:t>
            </w:r>
          </w:p>
        </w:tc>
        <w:tc>
          <w:tcPr>
            <w:tcW w:type="dxa" w:w="2438"/>
          </w:tcPr>
          <w:p>
            <w:pPr>
              <w:spacing w:after="40"/>
            </w:pPr>
            <w:r/>
            <w:r>
              <w:rPr>
                <w:b w:val="0"/>
                <w:sz w:val="16"/>
              </w:rPr>
              <w:t>À l’issue du bridge de pré-construction</w:t>
            </w:r>
          </w:p>
        </w:tc>
      </w:tr>
      <w:tr>
        <w:tc>
          <w:tcPr>
            <w:tcW w:type="dxa" w:w="2041"/>
          </w:tcPr>
          <w:p>
            <w:pPr>
              <w:spacing w:after="40"/>
            </w:pPr>
            <w:r/>
            <w:r>
              <w:rPr>
                <w:b w:val="0"/>
                <w:sz w:val="16"/>
              </w:rPr>
              <w:t>Mise en service (COD)</w:t>
            </w:r>
          </w:p>
        </w:tc>
        <w:tc>
          <w:tcPr>
            <w:tcW w:type="dxa" w:w="2494"/>
          </w:tcPr>
          <w:p>
            <w:pPr>
              <w:spacing w:after="40"/>
            </w:pPr>
            <w:r/>
            <w:r>
              <w:rPr>
                <w:b w:val="0"/>
                <w:sz w:val="16"/>
              </w:rPr>
              <w:t>Septembre 2028</w:t>
            </w:r>
          </w:p>
        </w:tc>
        <w:tc>
          <w:tcPr>
            <w:tcW w:type="dxa" w:w="2381"/>
          </w:tcPr>
          <w:p>
            <w:pPr>
              <w:spacing w:after="40"/>
            </w:pPr>
            <w:r/>
            <w:r>
              <w:rPr>
                <w:b w:val="0"/>
                <w:sz w:val="16"/>
              </w:rPr>
              <w:t>Q2-Q3 2030</w:t>
            </w:r>
          </w:p>
        </w:tc>
        <w:tc>
          <w:tcPr>
            <w:tcW w:type="dxa" w:w="2438"/>
          </w:tcPr>
          <w:p>
            <w:pPr>
              <w:spacing w:after="40"/>
            </w:pPr>
            <w:r/>
            <w:r>
              <w:rPr>
                <w:b w:val="0"/>
                <w:sz w:val="16"/>
              </w:rPr>
              <w:t>T2-T3 2029</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fill="EEF3F8"/>
          </w:tcPr>
          <w:p>
            <w:r/>
            <w:r>
              <w:rPr>
                <w:b/>
                <w:color w:val="1F3B57"/>
                <w:sz w:val="20"/>
              </w:rPr>
              <w:t>Lecture institutionnelle du tableau</w:t>
            </w:r>
          </w:p>
          <w:p>
            <w:pPr>
              <w:jc w:val="both"/>
            </w:pPr>
            <w:r>
              <w:rPr>
                <w:b w:val="0"/>
                <w:sz w:val="19"/>
              </w:rPr>
              <w:t xml:space="preserve">Trois projets, trois stades de maturité. Damblain et Écommoy sont </w:t>
            </w:r>
            <w:r>
              <w:rPr>
                <w:b/>
                <w:sz w:val="19"/>
              </w:rPr>
              <w:t>entièrement autorisés et purgés de recours</w:t>
            </w:r>
            <w:r>
              <w:rPr>
                <w:b w:val="0"/>
                <w:sz w:val="19"/>
              </w:rPr>
              <w:t xml:space="preserve"> : c’est leur actif institutionnel le plus fort, et il doit être placé en tête de tout échange avec un financeur public. Hirson est en cours d’instruction : l’argumentaire institutionnel y sert un autre objectif — sécuriser l’instruction et préparer le terrain politique, non pas valoriser un acquis. Les demandes adressées aux partenaires publics doivent être calibrées en conséquence.</w:t>
            </w:r>
          </w:p>
        </w:tc>
      </w:tr>
    </w:tbl>
    <w:p>
      <w:pPr>
        <w:spacing w:after="80"/>
      </w:pPr>
    </w:p>
    <w:p>
      <w:pPr>
        <w:keepNext/>
        <w:spacing w:before="240" w:after="80"/>
      </w:pPr>
      <w:r>
        <w:rPr>
          <w:b/>
          <w:color w:val="1F3B57"/>
          <w:sz w:val="24"/>
        </w:rPr>
        <w:t>1.3 Ce que la plateforme représente, consolidée</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1F3B57"/>
          </w:tcPr>
          <w:p>
            <w:r/>
            <w:r>
              <w:rPr>
                <w:b/>
                <w:color w:val="FFFFFF"/>
                <w:sz w:val="18"/>
              </w:rPr>
              <w:t>Agrégat plateforme (3 projets)</w:t>
            </w:r>
          </w:p>
        </w:tc>
        <w:tc>
          <w:tcPr>
            <w:tcW w:type="dxa" w:w="2268"/>
            <w:shd w:val="clear" w:fill="1F3B57"/>
          </w:tcPr>
          <w:p>
            <w:r/>
            <w:r>
              <w:rPr>
                <w:b/>
                <w:color w:val="FFFFFF"/>
                <w:sz w:val="18"/>
              </w:rPr>
              <w:t>Valeur</w:t>
            </w:r>
          </w:p>
        </w:tc>
        <w:tc>
          <w:tcPr>
            <w:tcW w:type="dxa" w:w="4252"/>
            <w:shd w:val="clear" w:fill="1F3B57"/>
          </w:tcPr>
          <w:p>
            <w:r/>
            <w:r>
              <w:rPr>
                <w:b/>
                <w:color w:val="FFFFFF"/>
                <w:sz w:val="18"/>
              </w:rPr>
              <w:t>Mise en perspective</w:t>
            </w:r>
          </w:p>
        </w:tc>
      </w:tr>
      <w:tr>
        <w:tc>
          <w:tcPr>
            <w:tcW w:type="dxa" w:w="2835"/>
          </w:tcPr>
          <w:p>
            <w:pPr>
              <w:spacing w:after="40"/>
            </w:pPr>
            <w:r/>
            <w:r>
              <w:rPr>
                <w:b w:val="0"/>
                <w:sz w:val="18"/>
              </w:rPr>
              <w:t>Capacité de production</w:t>
            </w:r>
          </w:p>
        </w:tc>
        <w:tc>
          <w:tcPr>
            <w:tcW w:type="dxa" w:w="2268"/>
          </w:tcPr>
          <w:p>
            <w:pPr>
              <w:spacing w:after="40"/>
            </w:pPr>
            <w:r/>
            <w:r>
              <w:rPr>
                <w:b w:val="0"/>
                <w:sz w:val="18"/>
              </w:rPr>
              <w:t>312 000 t/an</w:t>
            </w:r>
          </w:p>
        </w:tc>
        <w:tc>
          <w:tcPr>
            <w:tcW w:type="dxa" w:w="4252"/>
          </w:tcPr>
          <w:p>
            <w:pPr>
              <w:spacing w:after="40"/>
            </w:pPr>
            <w:r/>
            <w:r>
              <w:rPr>
                <w:b w:val="0"/>
                <w:sz w:val="18"/>
              </w:rPr>
              <w:t>≈ 13 % de la consommation française de granulés (≈ 2,4 Mt en 2025)</w:t>
            </w:r>
          </w:p>
        </w:tc>
      </w:tr>
      <w:tr>
        <w:tc>
          <w:tcPr>
            <w:tcW w:type="dxa" w:w="2835"/>
          </w:tcPr>
          <w:p>
            <w:pPr>
              <w:spacing w:after="40"/>
            </w:pPr>
            <w:r/>
            <w:r>
              <w:rPr>
                <w:b w:val="0"/>
                <w:sz w:val="18"/>
              </w:rPr>
              <w:t>Biomasse mobilisée</w:t>
            </w:r>
          </w:p>
        </w:tc>
        <w:tc>
          <w:tcPr>
            <w:tcW w:type="dxa" w:w="2268"/>
          </w:tcPr>
          <w:p>
            <w:pPr>
              <w:spacing w:after="40"/>
            </w:pPr>
            <w:r/>
            <w:r>
              <w:rPr>
                <w:b w:val="0"/>
                <w:sz w:val="18"/>
              </w:rPr>
              <w:t>≈ 530 000 t/an de bois entrant</w:t>
            </w:r>
          </w:p>
        </w:tc>
        <w:tc>
          <w:tcPr>
            <w:tcW w:type="dxa" w:w="4252"/>
          </w:tcPr>
          <w:p>
            <w:pPr>
              <w:spacing w:after="40"/>
            </w:pPr>
            <w:r/>
            <w:r>
              <w:rPr>
                <w:b w:val="0"/>
                <w:sz w:val="18"/>
              </w:rPr>
              <w:t>Trois bassins d’approvisionnement distincts de 150 km, sans concurrence entre sites</w:t>
            </w:r>
          </w:p>
        </w:tc>
      </w:tr>
      <w:tr>
        <w:tc>
          <w:tcPr>
            <w:tcW w:type="dxa" w:w="2835"/>
          </w:tcPr>
          <w:p>
            <w:pPr>
              <w:spacing w:after="40"/>
            </w:pPr>
            <w:r/>
            <w:r>
              <w:rPr>
                <w:b w:val="0"/>
                <w:sz w:val="18"/>
              </w:rPr>
              <w:t>Investissement industriel</w:t>
            </w:r>
          </w:p>
        </w:tc>
        <w:tc>
          <w:tcPr>
            <w:tcW w:type="dxa" w:w="2268"/>
          </w:tcPr>
          <w:p>
            <w:pPr>
              <w:spacing w:after="40"/>
            </w:pPr>
            <w:r/>
            <w:r>
              <w:rPr>
                <w:b w:val="0"/>
                <w:sz w:val="18"/>
              </w:rPr>
              <w:t>≈ 171 M€ de CAPEX</w:t>
            </w:r>
          </w:p>
        </w:tc>
        <w:tc>
          <w:tcPr>
            <w:tcW w:type="dxa" w:w="4252"/>
          </w:tcPr>
          <w:p>
            <w:pPr>
              <w:spacing w:after="40"/>
            </w:pPr>
            <w:r/>
            <w:r>
              <w:rPr>
                <w:b w:val="0"/>
                <w:sz w:val="18"/>
              </w:rPr>
              <w:t>Réparti sur trois régions et trois départements</w:t>
            </w:r>
          </w:p>
        </w:tc>
      </w:tr>
      <w:tr>
        <w:tc>
          <w:tcPr>
            <w:tcW w:type="dxa" w:w="2835"/>
          </w:tcPr>
          <w:p>
            <w:pPr>
              <w:spacing w:after="40"/>
            </w:pPr>
            <w:r/>
            <w:r>
              <w:rPr>
                <w:b w:val="0"/>
                <w:sz w:val="18"/>
              </w:rPr>
              <w:t>Emplois directs</w:t>
            </w:r>
          </w:p>
        </w:tc>
        <w:tc>
          <w:tcPr>
            <w:tcW w:type="dxa" w:w="2268"/>
          </w:tcPr>
          <w:p>
            <w:pPr>
              <w:spacing w:after="40"/>
            </w:pPr>
            <w:r/>
            <w:r>
              <w:rPr>
                <w:b w:val="0"/>
                <w:sz w:val="18"/>
              </w:rPr>
              <w:t>90 emplois permanents</w:t>
            </w:r>
          </w:p>
        </w:tc>
        <w:tc>
          <w:tcPr>
            <w:tcW w:type="dxa" w:w="4252"/>
          </w:tcPr>
          <w:p>
            <w:pPr>
              <w:spacing w:after="40"/>
            </w:pPr>
            <w:r/>
            <w:r>
              <w:rPr>
                <w:b w:val="0"/>
                <w:sz w:val="18"/>
              </w:rPr>
              <w:t>Dont une majorité de postes techniques en 3x8 ou 4x8</w:t>
            </w:r>
          </w:p>
        </w:tc>
      </w:tr>
      <w:tr>
        <w:tc>
          <w:tcPr>
            <w:tcW w:type="dxa" w:w="2835"/>
          </w:tcPr>
          <w:p>
            <w:pPr>
              <w:spacing w:after="40"/>
            </w:pPr>
            <w:r/>
            <w:r>
              <w:rPr>
                <w:b w:val="0"/>
                <w:sz w:val="18"/>
              </w:rPr>
              <w:t>Emplois indirects</w:t>
            </w:r>
          </w:p>
        </w:tc>
        <w:tc>
          <w:tcPr>
            <w:tcW w:type="dxa" w:w="2268"/>
          </w:tcPr>
          <w:p>
            <w:pPr>
              <w:spacing w:after="40"/>
            </w:pPr>
            <w:r/>
            <w:r>
              <w:rPr>
                <w:b w:val="0"/>
                <w:sz w:val="18"/>
              </w:rPr>
              <w:t>≈ 300 emplois</w:t>
            </w:r>
          </w:p>
        </w:tc>
        <w:tc>
          <w:tcPr>
            <w:tcW w:type="dxa" w:w="4252"/>
          </w:tcPr>
          <w:p>
            <w:pPr>
              <w:spacing w:after="40"/>
            </w:pPr>
            <w:r/>
            <w:r>
              <w:rPr>
                <w:b w:val="0"/>
                <w:sz w:val="18"/>
              </w:rPr>
              <w:t>Scieries, exploitants forestiers, déchiquetage, transport amont et aval, maintenance, négoce</w:t>
            </w:r>
          </w:p>
        </w:tc>
      </w:tr>
      <w:tr>
        <w:tc>
          <w:tcPr>
            <w:tcW w:type="dxa" w:w="2835"/>
          </w:tcPr>
          <w:p>
            <w:pPr>
              <w:spacing w:after="40"/>
            </w:pPr>
            <w:r/>
            <w:r>
              <w:rPr>
                <w:b w:val="0"/>
                <w:sz w:val="18"/>
              </w:rPr>
              <w:t>Foncier consommé sur espaces naturels, agricoles ou forestiers</w:t>
            </w:r>
          </w:p>
        </w:tc>
        <w:tc>
          <w:tcPr>
            <w:tcW w:type="dxa" w:w="2268"/>
          </w:tcPr>
          <w:p>
            <w:pPr>
              <w:spacing w:after="40"/>
            </w:pPr>
            <w:r/>
            <w:r>
              <w:rPr>
                <w:b w:val="0"/>
                <w:sz w:val="18"/>
              </w:rPr>
              <w:t>0 m²</w:t>
            </w:r>
          </w:p>
        </w:tc>
        <w:tc>
          <w:tcPr>
            <w:tcW w:type="dxa" w:w="4252"/>
          </w:tcPr>
          <w:p>
            <w:pPr>
              <w:spacing w:after="40"/>
            </w:pPr>
            <w:r/>
            <w:r>
              <w:rPr>
                <w:b w:val="0"/>
                <w:sz w:val="18"/>
              </w:rPr>
              <w:t>Trois opérations de recyclage foncier — argument ZAN intégral</w:t>
            </w:r>
          </w:p>
        </w:tc>
      </w:tr>
      <w:tr>
        <w:tc>
          <w:tcPr>
            <w:tcW w:type="dxa" w:w="2835"/>
          </w:tcPr>
          <w:p>
            <w:pPr>
              <w:spacing w:after="40"/>
            </w:pPr>
            <w:r/>
            <w:r>
              <w:rPr>
                <w:b w:val="0"/>
                <w:sz w:val="18"/>
              </w:rPr>
              <w:t>Régions concernées</w:t>
            </w:r>
          </w:p>
        </w:tc>
        <w:tc>
          <w:tcPr>
            <w:tcW w:type="dxa" w:w="2268"/>
          </w:tcPr>
          <w:p>
            <w:pPr>
              <w:spacing w:after="40"/>
            </w:pPr>
            <w:r/>
            <w:r>
              <w:rPr>
                <w:b w:val="0"/>
                <w:sz w:val="18"/>
              </w:rPr>
              <w:t>3 (Grand Est, Hauts-de-France, Pays de la Loire)</w:t>
            </w:r>
          </w:p>
        </w:tc>
        <w:tc>
          <w:tcPr>
            <w:tcW w:type="dxa" w:w="4252"/>
          </w:tcPr>
          <w:p>
            <w:pPr>
              <w:spacing w:after="40"/>
            </w:pPr>
            <w:r/>
            <w:r>
              <w:rPr>
                <w:b w:val="0"/>
                <w:sz w:val="18"/>
              </w:rPr>
              <w:t>Trois SRADDET, trois SRDEII, trois programmes FEDER</w:t>
            </w:r>
          </w:p>
        </w:tc>
      </w:tr>
    </w:tbl>
    <w:p>
      <w:pPr>
        <w:spacing w:after="80"/>
      </w:pPr>
    </w:p>
    <w:p>
      <w:pPr>
        <w:keepNext/>
        <w:spacing w:before="240" w:after="80"/>
      </w:pPr>
      <w:r>
        <w:rPr>
          <w:b/>
          <w:color w:val="1F3B57"/>
          <w:sz w:val="24"/>
        </w:rPr>
        <w:t>1.4 Le modèle industriel commun — ce qu’il faut savoir en expliquer</w:t>
      </w:r>
    </w:p>
    <w:p>
      <w:pPr>
        <w:jc w:val="both"/>
      </w:pPr>
      <w:r>
        <w:rPr>
          <w:b w:val="0"/>
          <w:i w:val="0"/>
          <w:sz w:val="21"/>
        </w:rPr>
        <w:t xml:space="preserve">Un interlocuteur institutionnel — chargé de mission d’une Région, sous-préfet, DDT, service économique d’un EPCI — n’est pas un ingénieur process. L’explication doit tenir en six étapes et une idée directrice : </w:t>
      </w:r>
      <w:r>
        <w:rPr>
          <w:b/>
          <w:i w:val="0"/>
          <w:sz w:val="21"/>
        </w:rPr>
        <w:t>l’usine ne coupe pas d’arbres, elle valorise ce que la filière bois ne sait pas valoriser autrement</w:t>
      </w:r>
      <w:r>
        <w:rPr>
          <w:b w:val="0"/>
          <w:i w:val="0"/>
          <w:sz w:val="21"/>
        </w:rPr>
        <w:t>.</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F3B57"/>
          </w:tcPr>
          <w:p>
            <w:r/>
            <w:r>
              <w:rPr>
                <w:b/>
                <w:color w:val="FFFFFF"/>
                <w:sz w:val="17"/>
              </w:rPr>
              <w:t>Étape</w:t>
            </w:r>
          </w:p>
        </w:tc>
        <w:tc>
          <w:tcPr>
            <w:tcW w:type="dxa" w:w="3969"/>
            <w:shd w:val="clear" w:fill="1F3B57"/>
          </w:tcPr>
          <w:p>
            <w:r/>
            <w:r>
              <w:rPr>
                <w:b/>
                <w:color w:val="FFFFFF"/>
                <w:sz w:val="17"/>
              </w:rPr>
              <w:t>Ce qui se passe</w:t>
            </w:r>
          </w:p>
        </w:tc>
        <w:tc>
          <w:tcPr>
            <w:tcW w:type="dxa" w:w="3572"/>
            <w:shd w:val="clear" w:fill="1F3B57"/>
          </w:tcPr>
          <w:p>
            <w:r/>
            <w:r>
              <w:rPr>
                <w:b/>
                <w:color w:val="FFFFFF"/>
                <w:sz w:val="17"/>
              </w:rPr>
              <w:t>Ce qu’il faut en dire en réunion</w:t>
            </w:r>
          </w:p>
        </w:tc>
      </w:tr>
      <w:tr>
        <w:tc>
          <w:tcPr>
            <w:tcW w:type="dxa" w:w="1814"/>
          </w:tcPr>
          <w:p>
            <w:pPr>
              <w:spacing w:after="40"/>
            </w:pPr>
            <w:r/>
            <w:r>
              <w:rPr>
                <w:b w:val="0"/>
                <w:sz w:val="17"/>
              </w:rPr>
              <w:t>1. Réception et contrôle</w:t>
            </w:r>
          </w:p>
        </w:tc>
        <w:tc>
          <w:tcPr>
            <w:tcW w:type="dxa" w:w="3969"/>
          </w:tcPr>
          <w:p>
            <w:pPr>
              <w:spacing w:after="40"/>
            </w:pPr>
            <w:r/>
            <w:r>
              <w:rPr>
                <w:b w:val="0"/>
                <w:sz w:val="17"/>
              </w:rPr>
              <w:t>Bois ronds d’éclaircie, connexes de scierie (sciures, copeaux, délignures, écorces), bois de faible diamètre, houppiers, plaquettes forestières, bois scolytés et coupes sanitaires. Contrôle d’humidité, de granulométrie et de certification PEFC/FSC.</w:t>
            </w:r>
          </w:p>
        </w:tc>
        <w:tc>
          <w:tcPr>
            <w:tcW w:type="dxa" w:w="3572"/>
          </w:tcPr>
          <w:p>
            <w:pPr>
              <w:spacing w:after="40"/>
            </w:pPr>
            <w:r/>
            <w:r>
              <w:rPr>
                <w:b w:val="0"/>
                <w:sz w:val="17"/>
              </w:rPr>
              <w:t xml:space="preserve">La matière première est un </w:t>
            </w:r>
            <w:r>
              <w:rPr>
                <w:b/>
                <w:sz w:val="17"/>
              </w:rPr>
              <w:t>sous-produit ou un bois sans débouché d’œuvre</w:t>
            </w:r>
            <w:r>
              <w:rPr>
                <w:b w:val="0"/>
                <w:sz w:val="17"/>
              </w:rPr>
              <w:t>. Le projet ne concurrence pas la scierie : il lui achète ses connexes.</w:t>
            </w:r>
          </w:p>
        </w:tc>
      </w:tr>
      <w:tr>
        <w:tc>
          <w:tcPr>
            <w:tcW w:type="dxa" w:w="1814"/>
          </w:tcPr>
          <w:p>
            <w:pPr>
              <w:spacing w:after="40"/>
            </w:pPr>
            <w:r/>
            <w:r>
              <w:rPr>
                <w:b w:val="0"/>
                <w:sz w:val="17"/>
              </w:rPr>
              <w:t>2. Broyage et déchiquetage</w:t>
            </w:r>
          </w:p>
        </w:tc>
        <w:tc>
          <w:tcPr>
            <w:tcW w:type="dxa" w:w="3969"/>
          </w:tcPr>
          <w:p>
            <w:pPr>
              <w:spacing w:after="40"/>
            </w:pPr>
            <w:r/>
            <w:r>
              <w:rPr>
                <w:b w:val="0"/>
                <w:sz w:val="17"/>
              </w:rPr>
              <w:t>Broyeur lent, séparateurs, tri optique pour retirer pierres, métaux et plastiques.</w:t>
            </w:r>
          </w:p>
        </w:tc>
        <w:tc>
          <w:tcPr>
            <w:tcW w:type="dxa" w:w="3572"/>
          </w:tcPr>
          <w:p>
            <w:pPr>
              <w:spacing w:after="40"/>
            </w:pPr>
            <w:r/>
            <w:r>
              <w:rPr>
                <w:b w:val="0"/>
                <w:sz w:val="17"/>
              </w:rPr>
              <w:t>Étape de préparation ; enjeu de propreté de la matière et de sécurité incendie.</w:t>
            </w:r>
          </w:p>
        </w:tc>
      </w:tr>
      <w:tr>
        <w:tc>
          <w:tcPr>
            <w:tcW w:type="dxa" w:w="1814"/>
          </w:tcPr>
          <w:p>
            <w:pPr>
              <w:spacing w:after="40"/>
            </w:pPr>
            <w:r/>
            <w:r>
              <w:rPr>
                <w:b w:val="0"/>
                <w:sz w:val="17"/>
              </w:rPr>
              <w:t>3. Séchage</w:t>
            </w:r>
          </w:p>
        </w:tc>
        <w:tc>
          <w:tcPr>
            <w:tcW w:type="dxa" w:w="3969"/>
          </w:tcPr>
          <w:p>
            <w:pPr>
              <w:spacing w:after="40"/>
            </w:pPr>
            <w:r/>
            <w:r>
              <w:rPr>
                <w:b w:val="0"/>
                <w:sz w:val="17"/>
              </w:rPr>
              <w:t>Séchage jusqu’à moins de 10 % d’humidité. Étape la plus énergivore du process.</w:t>
            </w:r>
          </w:p>
        </w:tc>
        <w:tc>
          <w:tcPr>
            <w:tcW w:type="dxa" w:w="3572"/>
          </w:tcPr>
          <w:p>
            <w:pPr>
              <w:spacing w:after="40"/>
            </w:pPr>
            <w:r/>
            <w:r>
              <w:rPr>
                <w:b/>
                <w:sz w:val="17"/>
              </w:rPr>
              <w:t>C’est le cœur du sujet énergétique.</w:t>
            </w:r>
            <w:r>
              <w:rPr>
                <w:b w:val="0"/>
                <w:sz w:val="17"/>
              </w:rPr>
              <w:t xml:space="preserve"> C’est là que se joue la performance carbone et l’éligibilité aux aides chaleur.</w:t>
            </w:r>
          </w:p>
        </w:tc>
      </w:tr>
      <w:tr>
        <w:tc>
          <w:tcPr>
            <w:tcW w:type="dxa" w:w="1814"/>
          </w:tcPr>
          <w:p>
            <w:pPr>
              <w:spacing w:after="40"/>
            </w:pPr>
            <w:r/>
            <w:r>
              <w:rPr>
                <w:b w:val="0"/>
                <w:sz w:val="17"/>
              </w:rPr>
              <w:t>4. Granulation</w:t>
            </w:r>
          </w:p>
        </w:tc>
        <w:tc>
          <w:tcPr>
            <w:tcW w:type="dxa" w:w="3969"/>
          </w:tcPr>
          <w:p>
            <w:pPr>
              <w:spacing w:after="40"/>
            </w:pPr>
            <w:r/>
            <w:r>
              <w:rPr>
                <w:b w:val="0"/>
                <w:sz w:val="17"/>
              </w:rPr>
              <w:t>Compression à travers filières, cylindres de 6 ou 8 mm, norme ISO 17225-2 (ENplus A1/A2/B).</w:t>
            </w:r>
          </w:p>
        </w:tc>
        <w:tc>
          <w:tcPr>
            <w:tcW w:type="dxa" w:w="3572"/>
          </w:tcPr>
          <w:p>
            <w:pPr>
              <w:spacing w:after="40"/>
            </w:pPr>
            <w:r/>
            <w:r>
              <w:rPr>
                <w:b w:val="0"/>
                <w:sz w:val="17"/>
              </w:rPr>
              <w:t>Produit normé, tracé, contrôlé — pas un combustible générique.</w:t>
            </w:r>
          </w:p>
        </w:tc>
      </w:tr>
      <w:tr>
        <w:tc>
          <w:tcPr>
            <w:tcW w:type="dxa" w:w="1814"/>
          </w:tcPr>
          <w:p>
            <w:pPr>
              <w:spacing w:after="40"/>
            </w:pPr>
            <w:r/>
            <w:r>
              <w:rPr>
                <w:b w:val="0"/>
                <w:sz w:val="17"/>
              </w:rPr>
              <w:t>5. Refroidissement, criblage, contrôle qualité</w:t>
            </w:r>
          </w:p>
        </w:tc>
        <w:tc>
          <w:tcPr>
            <w:tcW w:type="dxa" w:w="3969"/>
          </w:tcPr>
          <w:p>
            <w:pPr>
              <w:spacing w:after="40"/>
            </w:pPr>
            <w:r/>
            <w:r>
              <w:rPr>
                <w:b w:val="0"/>
                <w:sz w:val="17"/>
              </w:rPr>
              <w:t>Contrôle continu du pouvoir calorifique, du taux de cendres, de l’humidité et de la durabilité mécanique.</w:t>
            </w:r>
          </w:p>
        </w:tc>
        <w:tc>
          <w:tcPr>
            <w:tcW w:type="dxa" w:w="3572"/>
          </w:tcPr>
          <w:p>
            <w:pPr>
              <w:spacing w:after="40"/>
            </w:pPr>
            <w:r/>
            <w:r>
              <w:rPr>
                <w:b w:val="0"/>
                <w:sz w:val="17"/>
              </w:rPr>
              <w:t>La certification ENplus est une exigence de marché autant qu’une garantie publique.</w:t>
            </w:r>
          </w:p>
        </w:tc>
      </w:tr>
      <w:tr>
        <w:tc>
          <w:tcPr>
            <w:tcW w:type="dxa" w:w="1814"/>
          </w:tcPr>
          <w:p>
            <w:pPr>
              <w:spacing w:after="40"/>
            </w:pPr>
            <w:r/>
            <w:r>
              <w:rPr>
                <w:b w:val="0"/>
                <w:sz w:val="17"/>
              </w:rPr>
              <w:t>6. Stockage et expédition</w:t>
            </w:r>
          </w:p>
        </w:tc>
        <w:tc>
          <w:tcPr>
            <w:tcW w:type="dxa" w:w="3969"/>
          </w:tcPr>
          <w:p>
            <w:pPr>
              <w:spacing w:after="40"/>
            </w:pPr>
            <w:r/>
            <w:r>
              <w:rPr>
                <w:b w:val="0"/>
                <w:sz w:val="17"/>
              </w:rPr>
              <w:t>Vrac soufflé et sacs palettisés ; fer à Damblain, route sur les trois sites.</w:t>
            </w:r>
          </w:p>
        </w:tc>
        <w:tc>
          <w:tcPr>
            <w:tcW w:type="dxa" w:w="3572"/>
          </w:tcPr>
          <w:p>
            <w:pPr>
              <w:spacing w:after="40"/>
            </w:pPr>
            <w:r/>
            <w:r>
              <w:rPr>
                <w:b w:val="0"/>
                <w:sz w:val="17"/>
              </w:rPr>
              <w:t>Le report modal ferroviaire est un argument SRADDET sur Damblain et un engagement de phase 2 sur Hirson.</w:t>
            </w:r>
          </w:p>
        </w:tc>
      </w:tr>
    </w:tbl>
    <w:p>
      <w:pPr>
        <w:spacing w:after="80"/>
      </w:pPr>
    </w:p>
    <w:p>
      <w:pPr>
        <w:keepNext/>
        <w:spacing w:before="180" w:after="60"/>
      </w:pPr>
      <w:r>
        <w:rPr>
          <w:b/>
          <w:color w:val="2E6B3E"/>
          <w:sz w:val="21"/>
        </w:rPr>
        <w:t>L’énergie de séchage : biomasse à Damblain et Hirson, CSR à Écommoy</w:t>
      </w:r>
    </w:p>
    <w:p>
      <w:pPr>
        <w:jc w:val="both"/>
      </w:pPr>
      <w:r>
        <w:rPr>
          <w:b w:val="0"/>
          <w:i w:val="0"/>
          <w:sz w:val="21"/>
        </w:rPr>
        <w:t>Le séchage de la biomasse est l’opération la plus énergivore du procédé. Sa configuration détermine à la fois la performance environnementale de l’usine, son régime réglementaire et les dispositifs de soutien public auxquels elle peut prétendre. Deux configurations coexistent au sein de la plateforme :</w:t>
      </w:r>
    </w:p>
    <w:p>
      <w:pPr>
        <w:pStyle w:val="ListBullet"/>
        <w:spacing w:after="60"/>
        <w:ind w:left="340"/>
        <w:jc w:val="both"/>
      </w:pPr>
      <w:r>
        <w:rPr>
          <w:b/>
          <w:sz w:val="21"/>
        </w:rPr>
        <w:t>Damblain et Hirson — chaudière biomasse.</w:t>
      </w:r>
      <w:r>
        <w:rPr>
          <w:b w:val="0"/>
          <w:sz w:val="21"/>
        </w:rPr>
        <w:t xml:space="preserve"> La chaleur nécessaire à la bande séchante est produite par une chaudière biomasse intégrée. </w:t>
      </w:r>
      <w:r>
        <w:rPr>
          <w:b/>
          <w:sz w:val="21"/>
        </w:rPr>
        <w:t>Environ 30 % des écorces produites lors de l’écorçage des bois ronds réceptionnés sont autoconsommées dans cette chaudière.</w:t>
      </w:r>
      <w:r>
        <w:rPr>
          <w:b w:val="0"/>
          <w:sz w:val="21"/>
        </w:rPr>
        <w:t xml:space="preserve"> L’écorce, fraction à faible valeur et à taux de cendres élevé, impropre à la fabrication du granulé certifié, devient ainsi le combustible du séchage : c’est un cas d’école de valorisation en cascade interne, à faire valoir explicitement auprès de l’ADEME et des services régionaux.</w:t>
      </w:r>
    </w:p>
    <w:p>
      <w:pPr>
        <w:pStyle w:val="ListBullet"/>
        <w:spacing w:after="60"/>
        <w:ind w:left="340"/>
        <w:jc w:val="both"/>
      </w:pPr>
      <w:r>
        <w:rPr>
          <w:b/>
          <w:sz w:val="21"/>
        </w:rPr>
        <w:t>Écommoy (Dynamis) — chaudière CSR.</w:t>
      </w:r>
      <w:r>
        <w:rPr>
          <w:b w:val="0"/>
          <w:sz w:val="21"/>
        </w:rPr>
        <w:t xml:space="preserve"> L’autorisation environnementale obtenue en juin 2024 couvre une chaudière alimentée en </w:t>
      </w:r>
      <w:r>
        <w:rPr>
          <w:b/>
          <w:sz w:val="21"/>
        </w:rPr>
        <w:t>Combustibles Solides de Récupération</w:t>
      </w:r>
      <w:r>
        <w:rPr>
          <w:b w:val="0"/>
          <w:sz w:val="21"/>
        </w:rPr>
        <w:t>, issus de déchets industriels banaux et de bois de classe B, avec une efficacité énergétique supérieure à 70 % au titre de la rubrique 2971. Un partenariat avec un opérateur énergéticien est à l’étude pour l’exploitation de cette unité, une chaudière biomasse restant l’alternative si la compétitivité du prix de la chaleur l’impose.</w:t>
      </w:r>
    </w:p>
    <w:tbl>
      <w:tblPr>
        <w:tblStyle w:val="TableGrid"/>
        <w:tblW w:type="auto" w:w="0"/>
        <w:tblLook w:firstColumn="1" w:firstRow="1" w:lastColumn="0" w:lastRow="0" w:noHBand="0" w:noVBand="1" w:val="04A0"/>
      </w:tblPr>
      <w:tblGrid>
        <w:gridCol w:w="9746"/>
      </w:tblGrid>
      <w:tr>
        <w:tc>
          <w:tcPr>
            <w:tcW w:type="dxa" w:w="9746"/>
            <w:shd w:val="clear" w:fill="EEF3F8"/>
          </w:tcPr>
          <w:p>
            <w:r/>
            <w:r>
              <w:rPr>
                <w:b/>
                <w:color w:val="1F3B57"/>
                <w:sz w:val="20"/>
              </w:rPr>
              <w:t>Point de doctrine — comment présenter le CSR d’Écommoy</w:t>
            </w:r>
          </w:p>
          <w:p>
            <w:pPr>
              <w:jc w:val="both"/>
            </w:pPr>
            <w:r>
              <w:rPr>
                <w:b w:val="0"/>
                <w:sz w:val="19"/>
              </w:rPr>
              <w:t xml:space="preserve">Le CSR est un atout d’économie circulaire (détournement de déchets de l’enfouissement, valorisation énergétique de bois de classe B) </w:t>
            </w:r>
            <w:r>
              <w:rPr>
                <w:b/>
                <w:sz w:val="19"/>
              </w:rPr>
              <w:t>et</w:t>
            </w:r>
            <w:r>
              <w:rPr>
                <w:b w:val="0"/>
                <w:sz w:val="19"/>
              </w:rPr>
              <w:t xml:space="preserve"> un sujet d’acceptabilité sensible. La règle interne proposée : ne jamais présenter le CSR comme une variable d’ajustement économique, mais comme une composante autorisée du projet, instruite, soumise à enquête publique et validée par le commissaire enquêteur, contrôlée au titre des rubriques 2971 et 3520 (directive IED) par la DREAL. Sur les deux autres sites, ne pas évoquer le CSR : la configuration y est biomasse, et l’introduire brouillerait le message.</w:t>
            </w:r>
          </w:p>
        </w:tc>
      </w:tr>
    </w:tbl>
    <w:p>
      <w:pPr>
        <w:spacing w:after="80"/>
      </w:pPr>
    </w:p>
    <w:p>
      <w:r>
        <w:br w:type="page"/>
      </w:r>
    </w:p>
    <w:p>
      <w:pPr>
        <w:keepNext/>
        <w:spacing w:before="360" w:after="160"/>
        <w:pBdr>
          <w:bottom w:val="single" w:sz="8" w:space="2" w:color="1F3B57"/>
        </w:pBdr>
      </w:pPr>
      <w:r>
        <w:rPr>
          <w:b/>
          <w:color w:val="1F3B57"/>
          <w:sz w:val="28"/>
        </w:rPr>
        <w:t>PARTIE II — VOLET NATIONAL COMMUN</w:t>
      </w:r>
    </w:p>
    <w:p>
      <w:pPr>
        <w:jc w:val="both"/>
      </w:pPr>
      <w:r>
        <w:rPr>
          <w:b w:val="0"/>
          <w:i/>
          <w:sz w:val="21"/>
        </w:rPr>
        <w:t>Cette partie constitue le socle d’argumentation commun aux trois projets. Elle est directement réutilisable dans chaque dossier régional, moyennant la substitution des capacités et des volumes propres au site. Elle a été réactualisée en septembre 2026 : plusieurs des cadres nationaux cités dans les dossiers sources ont évolué depuis leur rédaction.</w:t>
      </w:r>
    </w:p>
    <w:p>
      <w:pPr>
        <w:keepNext/>
        <w:spacing w:before="240" w:after="80"/>
      </w:pPr>
      <w:r>
        <w:rPr>
          <w:b/>
          <w:color w:val="1F3B57"/>
          <w:sz w:val="24"/>
        </w:rPr>
        <w:t>2.1 La troisième programmation pluriannuelle de l’énergie (PPE 3) — le cadre de référence actualisé</w:t>
      </w:r>
    </w:p>
    <w:p>
      <w:pPr>
        <w:jc w:val="both"/>
      </w:pPr>
      <w:r>
        <w:rPr>
          <w:b w:val="0"/>
          <w:i w:val="0"/>
          <w:sz w:val="21"/>
        </w:rPr>
        <w:t xml:space="preserve">La feuille de route énergétique de la France a changé de base juridique depuis la rédaction des dossiers sources. La </w:t>
      </w:r>
      <w:r>
        <w:rPr>
          <w:b/>
          <w:i w:val="0"/>
          <w:sz w:val="21"/>
        </w:rPr>
        <w:t>troisième programmation pluriannuelle de l’énergie, couvrant la période 2026-2035, a été adoptée par le décret n° 2026-76 du 12 février 2026</w:t>
      </w:r>
      <w:r>
        <w:rPr>
          <w:b w:val="0"/>
          <w:i w:val="0"/>
          <w:sz w:val="21"/>
        </w:rPr>
        <w:t>, publié au Journal officiel le 13 février 2026. Toute référence à « la PPE » dans nos documents institutionnels doit désormais viser ce décret, et non la PPE précédente.</w:t>
      </w:r>
    </w:p>
    <w:p>
      <w:pPr>
        <w:jc w:val="both"/>
      </w:pPr>
      <w:r>
        <w:rPr>
          <w:b w:val="0"/>
          <w:i w:val="0"/>
          <w:sz w:val="21"/>
        </w:rPr>
        <w:t>Trois éléments de la PPE 3 servent directement l’argumentaire de la plateforme :</w:t>
      </w:r>
    </w:p>
    <w:p>
      <w:pPr>
        <w:pStyle w:val="ListBullet"/>
        <w:spacing w:after="60"/>
        <w:ind w:left="340"/>
        <w:jc w:val="both"/>
      </w:pPr>
      <w:r>
        <w:rPr>
          <w:b/>
          <w:sz w:val="21"/>
        </w:rPr>
        <w:t>La trajectoire de décarbonation de la consommation finale.</w:t>
      </w:r>
      <w:r>
        <w:rPr>
          <w:b w:val="0"/>
          <w:sz w:val="21"/>
        </w:rPr>
        <w:t xml:space="preserve"> La PPE 3 fixe l’objectif de porter la part d’énergie décarbonée dans la consommation énergétique française à </w:t>
      </w:r>
      <w:r>
        <w:rPr>
          <w:b/>
          <w:sz w:val="21"/>
        </w:rPr>
        <w:t>60 % dès 2030</w:t>
      </w:r>
      <w:r>
        <w:rPr>
          <w:b w:val="0"/>
          <w:sz w:val="21"/>
        </w:rPr>
        <w:t xml:space="preserve"> — contre 42 % en 2023 — et à 70 % à l’horizon 2035. La substitution de combustibles fossiles par du granulé certifié dans l’industrie, les chaufferies collectives et le résidentiel contribue directement à cette trajectoire.</w:t>
      </w:r>
    </w:p>
    <w:p>
      <w:pPr>
        <w:pStyle w:val="ListBullet"/>
        <w:spacing w:after="60"/>
        <w:ind w:left="340"/>
        <w:jc w:val="both"/>
      </w:pPr>
      <w:r>
        <w:rPr>
          <w:b/>
          <w:sz w:val="21"/>
        </w:rPr>
        <w:t>L’objectif de chaleur renouvelable et de récupération.</w:t>
      </w:r>
      <w:r>
        <w:rPr>
          <w:b w:val="0"/>
          <w:sz w:val="21"/>
        </w:rPr>
        <w:t xml:space="preserve"> La PPE 3 retient une cible de l’ordre de </w:t>
      </w:r>
      <w:r>
        <w:rPr>
          <w:b/>
          <w:sz w:val="21"/>
        </w:rPr>
        <w:t>297 TWh de chaleur renouvelable et de récupération en 2030</w:t>
      </w:r>
      <w:r>
        <w:rPr>
          <w:b w:val="0"/>
          <w:sz w:val="21"/>
        </w:rPr>
        <w:t>, et de 328 à 421 TWh en 2035. La chaleur est le premier poste de consommation énergétique du pays, et le bois-énergie en est le premier contributeur renouvelable. C’est le point d’ancrage le plus solide de nos projets dans la programmation.</w:t>
      </w:r>
    </w:p>
    <w:p>
      <w:pPr>
        <w:pStyle w:val="ListBullet"/>
        <w:spacing w:after="60"/>
        <w:ind w:left="340"/>
        <w:jc w:val="both"/>
      </w:pPr>
      <w:r>
        <w:rPr>
          <w:b/>
          <w:sz w:val="21"/>
        </w:rPr>
        <w:t>Le renforcement du soutien aux réseaux de chaleur et à la chaleur industrielle.</w:t>
      </w:r>
      <w:r>
        <w:rPr>
          <w:b w:val="0"/>
          <w:sz w:val="21"/>
        </w:rPr>
        <w:t xml:space="preserve"> La programmation insiste sur l’accélération du déploiement des réseaux de chaleur alimentés en biomasse et sur les mécanismes de soutien aux collectivités et aux industriels. Les acheteurs de nos granulés industriels et collectifs sont précisément les bénéficiaires de ces mécanismes : notre débouché est soutenu par la politique publique.</w:t>
      </w:r>
    </w:p>
    <w:tbl>
      <w:tblPr>
        <w:tblStyle w:val="TableGrid"/>
        <w:tblW w:type="auto" w:w="0"/>
        <w:tblLook w:firstColumn="1" w:firstRow="1" w:lastColumn="0" w:lastRow="0" w:noHBand="0" w:noVBand="1" w:val="04A0"/>
      </w:tblPr>
      <w:tblGrid>
        <w:gridCol w:w="9746"/>
      </w:tblGrid>
      <w:tr>
        <w:tc>
          <w:tcPr>
            <w:tcW w:type="dxa" w:w="9746"/>
            <w:shd w:val="clear" w:fill="EEF3F8"/>
          </w:tcPr>
          <w:p>
            <w:r/>
            <w:r>
              <w:rPr>
                <w:b/>
                <w:color w:val="1F3B57"/>
                <w:sz w:val="20"/>
              </w:rPr>
              <w:t>Point de vigilance — à connaître avant toute réunion</w:t>
            </w:r>
          </w:p>
          <w:p>
            <w:pPr>
              <w:jc w:val="both"/>
            </w:pPr>
            <w:r>
              <w:rPr>
                <w:b w:val="0"/>
                <w:sz w:val="19"/>
              </w:rPr>
              <w:t xml:space="preserve">La PPE 3 revoit </w:t>
            </w:r>
            <w:r>
              <w:rPr>
                <w:b/>
                <w:sz w:val="19"/>
              </w:rPr>
              <w:t>à la baisse</w:t>
            </w:r>
            <w:r>
              <w:rPr>
                <w:b w:val="0"/>
                <w:sz w:val="19"/>
              </w:rPr>
              <w:t xml:space="preserve"> certains objectifs de mobilisation de la biomasse, au motif du caractère limité de la ressource et de la concurrence des usages (alimentation, matériau, préservation des sols). Un interlocuteur bien informé peut nous opposer ce point. La réponse est préparée et tient en trois temps : (1) nos projets ne mobilisent </w:t>
            </w:r>
            <w:r>
              <w:rPr>
                <w:b/>
                <w:sz w:val="19"/>
              </w:rPr>
              <w:t>pas de coupes dédiées</w:t>
            </w:r>
            <w:r>
              <w:rPr>
                <w:b w:val="0"/>
                <w:sz w:val="19"/>
              </w:rPr>
              <w:t xml:space="preserve"> mais des connexes, des houppiers, des bois d’éclaircie, des bois scolytés et des coupes sanitaires ; (2) ils s’inscrivent dans la </w:t>
            </w:r>
            <w:r>
              <w:rPr>
                <w:b/>
                <w:sz w:val="19"/>
              </w:rPr>
              <w:t>hiérarchie des usages</w:t>
            </w:r>
            <w:r>
              <w:rPr>
                <w:b w:val="0"/>
                <w:sz w:val="19"/>
              </w:rPr>
              <w:t xml:space="preserve"> et n’entrent pas en concurrence avec le bois d’œuvre, dont ils valorisent au contraire les sous-produits ; (3) ils substituent des importations par de la production nationale, à ressource constante à l’échelle européenne. Ne jamais présenter la PPE 3 comme un document qui « appelle à produire plus de granulés » — elle ne le dit pas sous cette forme.</w:t>
            </w:r>
          </w:p>
        </w:tc>
      </w:tr>
    </w:tbl>
    <w:p>
      <w:pPr>
        <w:spacing w:after="80"/>
      </w:pPr>
    </w:p>
    <w:p>
      <w:pPr>
        <w:keepNext/>
        <w:spacing w:before="240" w:after="80"/>
      </w:pPr>
      <w:r>
        <w:rPr>
          <w:b/>
          <w:color w:val="1F3B57"/>
          <w:sz w:val="24"/>
        </w:rPr>
        <w:t>2.2 La Stratégie nationale bas-carbone et la neutralité 2050</w:t>
      </w:r>
    </w:p>
    <w:p>
      <w:pPr>
        <w:jc w:val="both"/>
      </w:pPr>
      <w:r>
        <w:rPr>
          <w:b w:val="0"/>
          <w:i w:val="0"/>
          <w:sz w:val="21"/>
        </w:rPr>
        <w:t>La Stratégie nationale bas-carbone fixe le cap de la neutralité carbone à l’horizon 2050 et organise la décarbonation sectorielle, en particulier du bâtiment résidentiel et tertiaire et de l’industrie. Le chauffage au bois y occupe une place structurante : c’est, avec les réseaux de chaleur et les pompes à chaleur, l’un des trois vecteurs de sortie du fioul domestique et du gaz naturel dans le parc existant, et l’un des rares vecteurs mobilisables à court terme pour la chaleur industrielle à haute température.</w:t>
      </w:r>
    </w:p>
    <w:p>
      <w:pPr>
        <w:jc w:val="both"/>
      </w:pPr>
      <w:r>
        <w:rPr>
          <w:b w:val="0"/>
          <w:i w:val="0"/>
          <w:sz w:val="21"/>
        </w:rPr>
        <w:t>Pour un industriel qui a substitué le charbon, le fioul lourd ou le gaz par de la biomasse, le granulé normé présente trois avantages qu’aucune autre forme de bois-énergie ne cumule : une densité énergétique qui rend le transport longue distance économiquement viable, une humidité maîtrisée inférieure à 10 % qui garantit le rendement de la chaudière, et une qualité contractuellement garantie par la certification ENplus. C’est ce qui justifie l’existence d’unités de grande capacité comme les nôtres, là où la plaquette forestière suffit aux usages de proximité.</w:t>
      </w:r>
    </w:p>
    <w:p>
      <w:pPr>
        <w:keepNext/>
        <w:spacing w:before="240" w:after="80"/>
      </w:pPr>
      <w:r>
        <w:rPr>
          <w:b/>
          <w:color w:val="1F3B57"/>
          <w:sz w:val="24"/>
        </w:rPr>
        <w:t>2.3 Souveraineté et structuration du marché national du granulé</w:t>
      </w:r>
    </w:p>
    <w:p>
      <w:pPr>
        <w:jc w:val="both"/>
      </w:pPr>
      <w:r>
        <w:rPr>
          <w:b w:val="0"/>
          <w:i w:val="0"/>
          <w:sz w:val="21"/>
        </w:rPr>
        <w:t>La filière française du granulé a traversé, fin 2022, une quasi-pénurie provoquée par une demande d’urgence consécutive à la guerre en Ukraine et par l’effondrement des importations, avec des prix ayant approché 800 €/t. Cet épisode a révélé la vulnérabilité structurelle d’une filière sous-capitalisée en capacités de production nationales.</w:t>
      </w:r>
    </w:p>
    <w:p>
      <w:pPr>
        <w:jc w:val="both"/>
      </w:pPr>
      <w:r>
        <w:rPr>
          <w:b w:val="0"/>
          <w:i w:val="0"/>
          <w:sz w:val="21"/>
        </w:rPr>
        <w:t xml:space="preserve">La situation s’est depuis normalisée, et c’est un argument en notre faveur autant qu’un point d’attention. En 2025, la consommation française s’est établie autour de </w:t>
      </w:r>
      <w:r>
        <w:rPr>
          <w:b/>
          <w:i w:val="0"/>
          <w:sz w:val="21"/>
        </w:rPr>
        <w:t>2,4 millions de tonnes</w:t>
      </w:r>
      <w:r>
        <w:rPr>
          <w:b w:val="0"/>
          <w:i w:val="0"/>
          <w:sz w:val="21"/>
        </w:rPr>
        <w:t xml:space="preserve"> pour une production nationale proche de </w:t>
      </w:r>
      <w:r>
        <w:rPr>
          <w:b/>
          <w:i w:val="0"/>
          <w:sz w:val="21"/>
        </w:rPr>
        <w:t>2,2 millions de tonnes</w:t>
      </w:r>
      <w:r>
        <w:rPr>
          <w:b w:val="0"/>
          <w:i w:val="0"/>
          <w:sz w:val="21"/>
        </w:rPr>
        <w:t>, soit plus de 85 % d’autoapprovisionnement ; quatre nouvelles unités mises en service en 2025 ont ajouté environ 300 000 tonnes de capacité, et la France est en voie d’atteindre l’autosuffisance en 2026. Les prix se sont stabilisés, autour de 370 €/t en vrac en 2025 contre 356 €/t en 2024, dans une fourchette de marché de 350 à 420 €/t.</w:t>
      </w:r>
    </w:p>
    <w:tbl>
      <w:tblPr>
        <w:tblStyle w:val="TableGrid"/>
        <w:tblW w:type="auto" w:w="0"/>
        <w:jc w:val="center"/>
        <w:tblLook w:firstColumn="1" w:firstRow="1" w:lastColumn="0" w:lastRow="0" w:noHBand="0" w:noVBand="1" w:val="04A0"/>
      </w:tblPr>
      <w:tblGrid>
        <w:gridCol w:w="3249"/>
        <w:gridCol w:w="3249"/>
        <w:gridCol w:w="3249"/>
      </w:tblGrid>
      <w:tr>
        <w:tc>
          <w:tcPr>
            <w:tcW w:type="dxa" w:w="3118"/>
            <w:shd w:val="clear" w:fill="1F3B57"/>
          </w:tcPr>
          <w:p>
            <w:r/>
            <w:r>
              <w:rPr>
                <w:b/>
                <w:color w:val="FFFFFF"/>
                <w:sz w:val="18"/>
              </w:rPr>
              <w:t>Indicateur du marché national</w:t>
            </w:r>
          </w:p>
        </w:tc>
        <w:tc>
          <w:tcPr>
            <w:tcW w:type="dxa" w:w="2551"/>
            <w:shd w:val="clear" w:fill="1F3B57"/>
          </w:tcPr>
          <w:p>
            <w:r/>
            <w:r>
              <w:rPr>
                <w:b/>
                <w:color w:val="FFFFFF"/>
                <w:sz w:val="18"/>
              </w:rPr>
              <w:t>Valeur (2025-2026)</w:t>
            </w:r>
          </w:p>
        </w:tc>
        <w:tc>
          <w:tcPr>
            <w:tcW w:type="dxa" w:w="3685"/>
            <w:shd w:val="clear" w:fill="1F3B57"/>
          </w:tcPr>
          <w:p>
            <w:r/>
            <w:r>
              <w:rPr>
                <w:b/>
                <w:color w:val="FFFFFF"/>
                <w:sz w:val="18"/>
              </w:rPr>
              <w:t>Portée pour la plateforme</w:t>
            </w:r>
          </w:p>
        </w:tc>
      </w:tr>
      <w:tr>
        <w:tc>
          <w:tcPr>
            <w:tcW w:type="dxa" w:w="3118"/>
          </w:tcPr>
          <w:p>
            <w:pPr>
              <w:spacing w:after="40"/>
            </w:pPr>
            <w:r/>
            <w:r>
              <w:rPr>
                <w:b w:val="0"/>
                <w:sz w:val="18"/>
              </w:rPr>
              <w:t>Consommation française</w:t>
            </w:r>
          </w:p>
        </w:tc>
        <w:tc>
          <w:tcPr>
            <w:tcW w:type="dxa" w:w="2551"/>
          </w:tcPr>
          <w:p>
            <w:pPr>
              <w:spacing w:after="40"/>
            </w:pPr>
            <w:r/>
            <w:r>
              <w:rPr>
                <w:b w:val="0"/>
                <w:sz w:val="18"/>
              </w:rPr>
              <w:t>≈ 2,4 Mt/an</w:t>
            </w:r>
          </w:p>
        </w:tc>
        <w:tc>
          <w:tcPr>
            <w:tcW w:type="dxa" w:w="3685"/>
          </w:tcPr>
          <w:p>
            <w:pPr>
              <w:spacing w:after="40"/>
            </w:pPr>
            <w:r/>
            <w:r>
              <w:rPr>
                <w:b w:val="0"/>
                <w:sz w:val="18"/>
              </w:rPr>
              <w:t>Marché de référence de nos 312 000 t/an</w:t>
            </w:r>
          </w:p>
        </w:tc>
      </w:tr>
      <w:tr>
        <w:tc>
          <w:tcPr>
            <w:tcW w:type="dxa" w:w="3118"/>
          </w:tcPr>
          <w:p>
            <w:pPr>
              <w:spacing w:after="40"/>
            </w:pPr>
            <w:r/>
            <w:r>
              <w:rPr>
                <w:b w:val="0"/>
                <w:sz w:val="18"/>
              </w:rPr>
              <w:t>Production française</w:t>
            </w:r>
          </w:p>
        </w:tc>
        <w:tc>
          <w:tcPr>
            <w:tcW w:type="dxa" w:w="2551"/>
          </w:tcPr>
          <w:p>
            <w:pPr>
              <w:spacing w:after="40"/>
            </w:pPr>
            <w:r/>
            <w:r>
              <w:rPr>
                <w:b w:val="0"/>
                <w:sz w:val="18"/>
              </w:rPr>
              <w:t>≈ 2,2 Mt/an</w:t>
            </w:r>
          </w:p>
        </w:tc>
        <w:tc>
          <w:tcPr>
            <w:tcW w:type="dxa" w:w="3685"/>
          </w:tcPr>
          <w:p>
            <w:pPr>
              <w:spacing w:after="40"/>
            </w:pPr>
            <w:r/>
            <w:r>
              <w:rPr>
                <w:b w:val="0"/>
                <w:sz w:val="18"/>
              </w:rPr>
              <w:t>Autosuffisance atteinte ou proche en 2026</w:t>
            </w:r>
          </w:p>
        </w:tc>
      </w:tr>
      <w:tr>
        <w:tc>
          <w:tcPr>
            <w:tcW w:type="dxa" w:w="3118"/>
          </w:tcPr>
          <w:p>
            <w:pPr>
              <w:spacing w:after="40"/>
            </w:pPr>
            <w:r/>
            <w:r>
              <w:rPr>
                <w:b w:val="0"/>
                <w:sz w:val="18"/>
              </w:rPr>
              <w:t>Part de la plateforme (3 projets)</w:t>
            </w:r>
          </w:p>
        </w:tc>
        <w:tc>
          <w:tcPr>
            <w:tcW w:type="dxa" w:w="2551"/>
          </w:tcPr>
          <w:p>
            <w:pPr>
              <w:spacing w:after="40"/>
            </w:pPr>
            <w:r/>
            <w:r>
              <w:rPr>
                <w:b w:val="0"/>
                <w:sz w:val="18"/>
              </w:rPr>
              <w:t>≈ 13 % de la consommation nationale</w:t>
            </w:r>
          </w:p>
        </w:tc>
        <w:tc>
          <w:tcPr>
            <w:tcW w:type="dxa" w:w="3685"/>
          </w:tcPr>
          <w:p>
            <w:pPr>
              <w:spacing w:after="40"/>
            </w:pPr>
            <w:r/>
            <w:r>
              <w:rPr>
                <w:b w:val="0"/>
                <w:sz w:val="18"/>
              </w:rPr>
              <w:t>Ordre de grandeur à manier avec précaution : il impressionne, mais il expose</w:t>
            </w:r>
          </w:p>
        </w:tc>
      </w:tr>
      <w:tr>
        <w:tc>
          <w:tcPr>
            <w:tcW w:type="dxa" w:w="3118"/>
          </w:tcPr>
          <w:p>
            <w:pPr>
              <w:spacing w:after="40"/>
            </w:pPr>
            <w:r/>
            <w:r>
              <w:rPr>
                <w:b w:val="0"/>
                <w:sz w:val="18"/>
              </w:rPr>
              <w:t>Prix vrac</w:t>
            </w:r>
          </w:p>
        </w:tc>
        <w:tc>
          <w:tcPr>
            <w:tcW w:type="dxa" w:w="2551"/>
          </w:tcPr>
          <w:p>
            <w:pPr>
              <w:spacing w:after="40"/>
            </w:pPr>
            <w:r/>
            <w:r>
              <w:rPr>
                <w:b w:val="0"/>
                <w:sz w:val="18"/>
              </w:rPr>
              <w:t>≈ 370 €/t (2025), fourchette 350-420 €/t</w:t>
            </w:r>
          </w:p>
        </w:tc>
        <w:tc>
          <w:tcPr>
            <w:tcW w:type="dxa" w:w="3685"/>
          </w:tcPr>
          <w:p>
            <w:pPr>
              <w:spacing w:after="40"/>
            </w:pPr>
            <w:r/>
            <w:r>
              <w:rPr>
                <w:b w:val="0"/>
                <w:sz w:val="18"/>
              </w:rPr>
              <w:t>Stabilité favorable à la bancabilité des contrats long terme</w:t>
            </w:r>
          </w:p>
        </w:tc>
      </w:tr>
      <w:tr>
        <w:tc>
          <w:tcPr>
            <w:tcW w:type="dxa" w:w="3118"/>
          </w:tcPr>
          <w:p>
            <w:pPr>
              <w:spacing w:after="40"/>
            </w:pPr>
            <w:r/>
            <w:r>
              <w:rPr>
                <w:b w:val="0"/>
                <w:sz w:val="18"/>
              </w:rPr>
              <w:t>Dépendance résiduelle aux importations</w:t>
            </w:r>
          </w:p>
        </w:tc>
        <w:tc>
          <w:tcPr>
            <w:tcW w:type="dxa" w:w="2551"/>
          </w:tcPr>
          <w:p>
            <w:pPr>
              <w:spacing w:after="40"/>
            </w:pPr>
            <w:r/>
            <w:r>
              <w:rPr>
                <w:b w:val="0"/>
                <w:sz w:val="18"/>
              </w:rPr>
              <w:t>&lt; 15 % (Belgique, Allemagne, Autriche)</w:t>
            </w:r>
          </w:p>
        </w:tc>
        <w:tc>
          <w:tcPr>
            <w:tcW w:type="dxa" w:w="3685"/>
          </w:tcPr>
          <w:p>
            <w:pPr>
              <w:spacing w:after="40"/>
            </w:pPr>
            <w:r/>
            <w:r>
              <w:rPr>
                <w:b w:val="0"/>
                <w:sz w:val="18"/>
              </w:rPr>
              <w:t>Argument de souveraineté, à cadrer : la marge de substitution se réduit</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fill="EEF3F8"/>
          </w:tcPr>
          <w:p>
            <w:r/>
            <w:r>
              <w:rPr>
                <w:b/>
                <w:color w:val="1F3B57"/>
                <w:sz w:val="20"/>
              </w:rPr>
              <w:t>Point de doctrine — l’argument de souveraineté doit être recalibré</w:t>
            </w:r>
          </w:p>
          <w:p>
            <w:pPr>
              <w:jc w:val="both"/>
            </w:pPr>
            <w:r>
              <w:rPr>
                <w:b w:val="0"/>
                <w:sz w:val="19"/>
              </w:rPr>
              <w:t xml:space="preserve">Les dossiers sources écrits en 2026 s’appuient sur l’argument « la France dépend des importations, nos usines réduisent cette dépendance ». Cet argument était juste en 2023 ; il s’affaiblit à mesure que l’autosuffisance est atteinte. L’argument robuste en 2026-2027 est différent et doit être adopté : la plateforme sert </w:t>
            </w:r>
            <w:r>
              <w:rPr>
                <w:b/>
                <w:sz w:val="19"/>
              </w:rPr>
              <w:t>le marché industriel et européen</w:t>
            </w:r>
            <w:r>
              <w:rPr>
                <w:b w:val="0"/>
                <w:sz w:val="19"/>
              </w:rPr>
              <w:t xml:space="preserve">, segment où le déficit structurel d’offre demeure et que le deck Arbange identifie comme le moteur du modèle, ainsi que la </w:t>
            </w:r>
            <w:r>
              <w:rPr>
                <w:b/>
                <w:sz w:val="19"/>
              </w:rPr>
              <w:t>sécurisation d’un approvisionnement de proximité</w:t>
            </w:r>
            <w:r>
              <w:rPr>
                <w:b w:val="0"/>
                <w:sz w:val="19"/>
              </w:rPr>
              <w:t xml:space="preserve"> pour des bassins régionaux structurellement déficitaires — le Grand Est, les Hauts-de-France et les Pays de la Loire produisant chacun moins de granulés que leur ressource et leur demande ne le justifieraient. Les débouchés contractualisés à long terme avec des contreparties de premier rang sont la meilleure preuve que ce marché existe.</w:t>
            </w:r>
          </w:p>
        </w:tc>
      </w:tr>
    </w:tbl>
    <w:p>
      <w:pPr>
        <w:spacing w:after="80"/>
      </w:pPr>
    </w:p>
    <w:p>
      <w:pPr>
        <w:keepNext/>
        <w:spacing w:before="240" w:after="80"/>
      </w:pPr>
      <w:r>
        <w:rPr>
          <w:b/>
          <w:color w:val="1F3B57"/>
          <w:sz w:val="24"/>
        </w:rPr>
        <w:t>2.4 Durabilité : directive RED III, ENplus, PEFC/FSC, ICPE</w:t>
      </w:r>
    </w:p>
    <w:p>
      <w:pPr>
        <w:jc w:val="both"/>
      </w:pPr>
      <w:r>
        <w:rPr>
          <w:b w:val="0"/>
          <w:i w:val="0"/>
          <w:sz w:val="21"/>
        </w:rPr>
        <w:t>La durabilité de la filière bois-énergie est encadrée par un corpus exigeant, que les trois projets satisfont par construction. L’état du droit doit toutefois être énoncé avec exactitude :</w:t>
      </w:r>
    </w:p>
    <w:p>
      <w:pPr>
        <w:pStyle w:val="ListBullet"/>
        <w:spacing w:after="60"/>
        <w:ind w:left="340"/>
        <w:jc w:val="both"/>
      </w:pPr>
      <w:r>
        <w:rPr>
          <w:b/>
          <w:sz w:val="21"/>
        </w:rPr>
        <w:t>Directive RED III.</w:t>
      </w:r>
      <w:r>
        <w:rPr>
          <w:b w:val="0"/>
          <w:sz w:val="21"/>
        </w:rPr>
        <w:t xml:space="preserve"> En vigueur depuis mai 2025, elle renforce les critères de durabilité et de réduction des émissions applicables à la biomasse, étend les exigences aux installations d’une puissance supérieure ou égale à 7,5 MW et consacre le principe d’usage en cascade. </w:t>
      </w:r>
      <w:r>
        <w:rPr>
          <w:b/>
          <w:sz w:val="21"/>
        </w:rPr>
        <w:t>Sa transposition en droit français est en cours</w:t>
      </w:r>
      <w:r>
        <w:rPr>
          <w:b w:val="0"/>
          <w:sz w:val="21"/>
        </w:rPr>
        <w:t xml:space="preserve"> : le projet de loi portant diverses dispositions d’adaptation au droit de l’Union européenne, déposé au Sénat en novembre 2025, en porte la transposition ; dans l’intervalle, une clause d’antériorité permet aux opérateurs de continuer d’appliquer les critères RED II. Formulation à retenir dans nos dossiers : « le projet est conçu pour satisfaire les critères de la directive RED III, dont la transposition est en cours ». Ne pas écrire que la transposition est achevée.</w:t>
      </w:r>
    </w:p>
    <w:p>
      <w:pPr>
        <w:pStyle w:val="ListBullet"/>
        <w:spacing w:after="60"/>
        <w:ind w:left="340"/>
        <w:jc w:val="both"/>
      </w:pPr>
      <w:r>
        <w:rPr>
          <w:b/>
          <w:sz w:val="21"/>
        </w:rPr>
        <w:t>Certification ENplus (ISO 17225-2).</w:t>
      </w:r>
      <w:r>
        <w:rPr>
          <w:b w:val="0"/>
          <w:sz w:val="21"/>
        </w:rPr>
        <w:t xml:space="preserve"> Granulés A1/A2, humidité inférieure à 10 %, taux de cendres maîtrisé, durabilité mécanique supérieure à 97,5 %, traçabilité de la ressource. C’est la norme de marché des acheteurs industriels comme des réseaux de distribution résidentiels.</w:t>
      </w:r>
    </w:p>
    <w:p>
      <w:pPr>
        <w:pStyle w:val="ListBullet"/>
        <w:spacing w:after="60"/>
        <w:ind w:left="340"/>
        <w:jc w:val="both"/>
      </w:pPr>
      <w:r>
        <w:rPr>
          <w:b/>
          <w:sz w:val="21"/>
        </w:rPr>
        <w:t>Certification PEFC/FSC des approvisionnements.</w:t>
      </w:r>
      <w:r>
        <w:rPr>
          <w:b w:val="0"/>
          <w:sz w:val="21"/>
        </w:rPr>
        <w:t xml:space="preserve"> Les contrats pluriannuels d’approvisionnement intègrent des clauses de certification forestière. Sur Écommoy, les lettres d’intention signées en février 2024 portent sur 119 500 t/an avec des taux de certification PEFC contractuels explicites, de 15 % à 100 % selon les fournisseurs : cette hétérogénéité est un point à consolider avant le closing, car les acheteurs industriels et les exigences RED III tirent vers le haut.</w:t>
      </w:r>
    </w:p>
    <w:p>
      <w:pPr>
        <w:pStyle w:val="ListBullet"/>
        <w:spacing w:after="60"/>
        <w:ind w:left="340"/>
        <w:jc w:val="both"/>
      </w:pPr>
      <w:r>
        <w:rPr>
          <w:b/>
          <w:sz w:val="21"/>
        </w:rPr>
        <w:t>Réglementation ICPE.</w:t>
      </w:r>
      <w:r>
        <w:rPr>
          <w:b w:val="0"/>
          <w:sz w:val="21"/>
        </w:rPr>
        <w:t xml:space="preserve"> Les autorisations environnementales couvrent les rubriques applicables à la fabrication de granulés (3532), au broyage et déchiquetage de biomasse (2791), à la production thermique associée — dont la rubrique 2971 pour la chaufferie CSR d’Écommoy, avec une efficacité énergétique supérieure à 70 % — et, le cas échéant, la rubrique 3520 au titre de la directive IED. Le contrôle en relève des DREAL compétentes : Grand Est, Hauts-de-France, Pays de la Loire.</w:t>
      </w:r>
    </w:p>
    <w:p>
      <w:pPr>
        <w:keepNext/>
        <w:spacing w:before="240" w:after="80"/>
      </w:pPr>
      <w:r>
        <w:rPr>
          <w:b/>
          <w:color w:val="1F3B57"/>
          <w:sz w:val="24"/>
        </w:rPr>
        <w:t>2.5 Sobriété foncière : la loi Climat et Résilience et l’objectif ZAN</w:t>
      </w:r>
    </w:p>
    <w:p>
      <w:pPr>
        <w:jc w:val="both"/>
      </w:pPr>
      <w:r>
        <w:rPr>
          <w:b w:val="0"/>
          <w:i w:val="0"/>
          <w:sz w:val="21"/>
        </w:rPr>
        <w:t xml:space="preserve">C’est l’argument le plus puissant et le plus incontestable de la plateforme, et il vaut pour les trois sites sans exception : </w:t>
      </w:r>
      <w:r>
        <w:rPr>
          <w:b/>
          <w:i w:val="0"/>
          <w:sz w:val="21"/>
        </w:rPr>
        <w:t>aucun des trois projets ne consomme un mètre carré d’espace naturel, agricole ou forestier.</w:t>
      </w:r>
    </w:p>
    <w:p>
      <w:pPr>
        <w:jc w:val="both"/>
      </w:pPr>
      <w:r>
        <w:rPr>
          <w:b w:val="0"/>
          <w:i w:val="0"/>
          <w:sz w:val="21"/>
        </w:rPr>
        <w:t xml:space="preserve">La loi Climat et Résilience du 22 août 2021 impose une réduction du rythme d’artificialisation des sols, territorialisée par les SRADDET puis déclinée dans les SCoT et les PLU(i). Dans ce cadre, une opération qui apporte une activité industrielle nouvelle </w:t>
      </w:r>
      <w:r>
        <w:rPr>
          <w:b/>
          <w:i w:val="0"/>
          <w:sz w:val="21"/>
        </w:rPr>
        <w:t>sans extension de l’enveloppe artificialisée</w:t>
      </w:r>
      <w:r>
        <w:rPr>
          <w:b w:val="0"/>
          <w:i w:val="0"/>
          <w:sz w:val="21"/>
        </w:rPr>
        <w:t xml:space="preserve"> n’est pas seulement compatible avec la trajectoire : elle est le type d’opération que la trajectoire rend nécessaire, puisque l’activité économique doit continuer de s’implanter quelque part.</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fill="1F3B57"/>
          </w:tcPr>
          <w:p>
            <w:r/>
            <w:r>
              <w:rPr>
                <w:b/>
                <w:color w:val="FFFFFF"/>
                <w:sz w:val="18"/>
              </w:rPr>
              <w:t>Site</w:t>
            </w:r>
          </w:p>
        </w:tc>
        <w:tc>
          <w:tcPr>
            <w:tcW w:type="dxa" w:w="3515"/>
            <w:shd w:val="clear" w:fill="1F3B57"/>
          </w:tcPr>
          <w:p>
            <w:r/>
            <w:r>
              <w:rPr>
                <w:b/>
                <w:color w:val="FFFFFF"/>
                <w:sz w:val="18"/>
              </w:rPr>
              <w:t>Qualification foncière</w:t>
            </w:r>
          </w:p>
        </w:tc>
        <w:tc>
          <w:tcPr>
            <w:tcW w:type="dxa" w:w="4252"/>
            <w:shd w:val="clear" w:fill="1F3B57"/>
          </w:tcPr>
          <w:p>
            <w:r/>
            <w:r>
              <w:rPr>
                <w:b/>
                <w:color w:val="FFFFFF"/>
                <w:sz w:val="18"/>
              </w:rPr>
              <w:t>Dispositifs adossés à cette qualification</w:t>
            </w:r>
          </w:p>
        </w:tc>
      </w:tr>
      <w:tr>
        <w:tc>
          <w:tcPr>
            <w:tcW w:type="dxa" w:w="1587"/>
          </w:tcPr>
          <w:p>
            <w:pPr>
              <w:spacing w:after="40"/>
            </w:pPr>
            <w:r/>
            <w:r>
              <w:rPr>
                <w:b w:val="0"/>
                <w:sz w:val="18"/>
              </w:rPr>
              <w:t>Damblain</w:t>
            </w:r>
          </w:p>
        </w:tc>
        <w:tc>
          <w:tcPr>
            <w:tcW w:type="dxa" w:w="3515"/>
          </w:tcPr>
          <w:p>
            <w:pPr>
              <w:spacing w:after="40"/>
            </w:pPr>
            <w:r/>
            <w:r>
              <w:rPr>
                <w:b w:val="0"/>
                <w:sz w:val="18"/>
              </w:rPr>
              <w:t>Emprise militaire artificialisée, reconvertie en zone d’activité par le Département, viabilisée et embranchée fer</w:t>
            </w:r>
          </w:p>
        </w:tc>
        <w:tc>
          <w:tcPr>
            <w:tcW w:type="dxa" w:w="4252"/>
          </w:tcPr>
          <w:p>
            <w:pPr>
              <w:spacing w:after="40"/>
            </w:pPr>
            <w:r/>
            <w:r>
              <w:rPr>
                <w:b w:val="0"/>
                <w:sz w:val="18"/>
              </w:rPr>
              <w:t>Objectif 11 du SRADDET Grand Est ; densification d’une ZA existante ; valorisation d’un investissement public de 34 M€</w:t>
            </w:r>
          </w:p>
        </w:tc>
      </w:tr>
      <w:tr>
        <w:tc>
          <w:tcPr>
            <w:tcW w:type="dxa" w:w="1587"/>
          </w:tcPr>
          <w:p>
            <w:pPr>
              <w:spacing w:after="40"/>
            </w:pPr>
            <w:r/>
            <w:r>
              <w:rPr>
                <w:b w:val="0"/>
                <w:sz w:val="18"/>
              </w:rPr>
              <w:t>Hirson</w:t>
            </w:r>
          </w:p>
        </w:tc>
        <w:tc>
          <w:tcPr>
            <w:tcW w:type="dxa" w:w="3515"/>
          </w:tcPr>
          <w:p>
            <w:pPr>
              <w:spacing w:after="40"/>
            </w:pPr>
            <w:r/>
            <w:r>
              <w:rPr>
                <w:b w:val="0"/>
                <w:sz w:val="18"/>
              </w:rPr>
              <w:t>Ancien site ferroviaire et industriel communal, déjà classé en zone à vocation industrielle au PLU</w:t>
            </w:r>
          </w:p>
        </w:tc>
        <w:tc>
          <w:tcPr>
            <w:tcW w:type="dxa" w:w="4252"/>
          </w:tcPr>
          <w:p>
            <w:pPr>
              <w:spacing w:after="40"/>
            </w:pPr>
            <w:r/>
            <w:r>
              <w:rPr>
                <w:b w:val="0"/>
                <w:sz w:val="18"/>
              </w:rPr>
              <w:t>Recyclage foncier ; Fonds vert « recyclage foncier des friches » ; trajectoire SRADDET Hauts-de-France de réduction de la consommation d’ENAF</w:t>
            </w:r>
          </w:p>
        </w:tc>
      </w:tr>
      <w:tr>
        <w:tc>
          <w:tcPr>
            <w:tcW w:type="dxa" w:w="1587"/>
          </w:tcPr>
          <w:p>
            <w:pPr>
              <w:spacing w:after="40"/>
            </w:pPr>
            <w:r/>
            <w:r>
              <w:rPr>
                <w:b w:val="0"/>
                <w:sz w:val="18"/>
              </w:rPr>
              <w:t>Écommoy</w:t>
            </w:r>
          </w:p>
        </w:tc>
        <w:tc>
          <w:tcPr>
            <w:tcW w:type="dxa" w:w="3515"/>
          </w:tcPr>
          <w:p>
            <w:pPr>
              <w:spacing w:after="40"/>
            </w:pPr>
            <w:r/>
            <w:r>
              <w:rPr>
                <w:b w:val="0"/>
                <w:sz w:val="18"/>
              </w:rPr>
              <w:t>Friche industrielle au sens de l’article L. 111-26 du code de l’urbanisme, en cessation d’activité depuis novembre 2014</w:t>
            </w:r>
          </w:p>
        </w:tc>
        <w:tc>
          <w:tcPr>
            <w:tcW w:type="dxa" w:w="4252"/>
          </w:tcPr>
          <w:p>
            <w:pPr>
              <w:spacing w:after="40"/>
            </w:pPr>
            <w:r/>
            <w:r>
              <w:rPr>
                <w:b w:val="0"/>
                <w:sz w:val="18"/>
              </w:rPr>
              <w:t>Friche qualifiée juridiquement ; Fonds vert recyclage foncier ; validation explicite par le commissaire enquêteur (« ne pas consommer de foncier »)</w:t>
            </w:r>
          </w:p>
        </w:tc>
      </w:tr>
    </w:tbl>
    <w:p>
      <w:pPr>
        <w:spacing w:after="80"/>
      </w:pPr>
    </w:p>
    <w:p>
      <w:pPr>
        <w:keepNext/>
        <w:spacing w:before="240" w:after="80"/>
      </w:pPr>
      <w:r>
        <w:rPr>
          <w:b/>
          <w:color w:val="1F3B57"/>
          <w:sz w:val="24"/>
        </w:rPr>
        <w:t>2.6 Les guichets publics mobilisables — état 2026</w:t>
      </w:r>
    </w:p>
    <w:p>
      <w:pPr>
        <w:jc w:val="both"/>
      </w:pPr>
      <w:r>
        <w:rPr>
          <w:b w:val="0"/>
          <w:i w:val="0"/>
          <w:sz w:val="21"/>
        </w:rPr>
        <w:t>L’état des guichets a sensiblement évolué. Les montants et conditions ci-dessous sont ceux vérifiés en septembre 2026 et doivent être revalidés avant chaque dépôt.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1"/>
            <w:shd w:val="clear" w:fill="1F3B57"/>
          </w:tcPr>
          <w:p>
            <w:r/>
            <w:r>
              <w:rPr>
                <w:b/>
                <w:color w:val="FFFFFF"/>
                <w:sz w:val="17"/>
              </w:rPr>
              <w:t>Dispositif</w:t>
            </w:r>
          </w:p>
        </w:tc>
        <w:tc>
          <w:tcPr>
            <w:tcW w:type="dxa" w:w="1701"/>
            <w:shd w:val="clear" w:fill="1F3B57"/>
          </w:tcPr>
          <w:p>
            <w:r/>
            <w:r>
              <w:rPr>
                <w:b/>
                <w:color w:val="FFFFFF"/>
                <w:sz w:val="17"/>
              </w:rPr>
              <w:t>Autorité</w:t>
            </w:r>
          </w:p>
        </w:tc>
        <w:tc>
          <w:tcPr>
            <w:tcW w:type="dxa" w:w="2948"/>
            <w:shd w:val="clear" w:fill="1F3B57"/>
          </w:tcPr>
          <w:p>
            <w:r/>
            <w:r>
              <w:rPr>
                <w:b/>
                <w:color w:val="FFFFFF"/>
                <w:sz w:val="17"/>
              </w:rPr>
              <w:t>État 2026</w:t>
            </w:r>
          </w:p>
        </w:tc>
        <w:tc>
          <w:tcPr>
            <w:tcW w:type="dxa" w:w="2835"/>
            <w:shd w:val="clear" w:fill="1F3B57"/>
          </w:tcPr>
          <w:p>
            <w:r/>
            <w:r>
              <w:rPr>
                <w:b/>
                <w:color w:val="FFFFFF"/>
                <w:sz w:val="17"/>
              </w:rPr>
              <w:t>Pertinence pour la plateforme</w:t>
            </w:r>
          </w:p>
        </w:tc>
      </w:tr>
      <w:tr>
        <w:tc>
          <w:tcPr>
            <w:tcW w:type="dxa" w:w="1871"/>
          </w:tcPr>
          <w:p>
            <w:pPr>
              <w:spacing w:after="40"/>
            </w:pPr>
            <w:r/>
            <w:r>
              <w:rPr>
                <w:b/>
                <w:sz w:val="17"/>
              </w:rPr>
              <w:t>Fonds chaleur</w:t>
            </w:r>
          </w:p>
        </w:tc>
        <w:tc>
          <w:tcPr>
            <w:tcW w:type="dxa" w:w="1701"/>
          </w:tcPr>
          <w:p>
            <w:pPr>
              <w:spacing w:after="40"/>
            </w:pPr>
            <w:r/>
            <w:r>
              <w:rPr>
                <w:b w:val="0"/>
                <w:sz w:val="17"/>
              </w:rPr>
              <w:t>ADEME (délégation partielle à la Région Grand Est depuis 2023)</w:t>
            </w:r>
          </w:p>
        </w:tc>
        <w:tc>
          <w:tcPr>
            <w:tcW w:type="dxa" w:w="2948"/>
          </w:tcPr>
          <w:p>
            <w:pPr>
              <w:spacing w:after="40"/>
            </w:pPr>
            <w:r/>
            <w:r>
              <w:rPr>
                <w:b w:val="0"/>
                <w:sz w:val="17"/>
              </w:rPr>
              <w:t>≈ 800 M€ en 2026, en légère baisse depuis 2024 (821 M€)</w:t>
            </w:r>
          </w:p>
        </w:tc>
        <w:tc>
          <w:tcPr>
            <w:tcW w:type="dxa" w:w="2835"/>
          </w:tcPr>
          <w:p>
            <w:pPr>
              <w:spacing w:after="40"/>
            </w:pPr>
            <w:r/>
            <w:r>
              <w:rPr>
                <w:b w:val="0"/>
                <w:sz w:val="17"/>
              </w:rPr>
              <w:t>Production thermique du séchage. En Grand Est, l’instruction passe par la Région via Climaxion — circuit plus court, à exploiter sur Damblain.</w:t>
            </w:r>
          </w:p>
        </w:tc>
      </w:tr>
      <w:tr>
        <w:tc>
          <w:tcPr>
            <w:tcW w:type="dxa" w:w="1871"/>
          </w:tcPr>
          <w:p>
            <w:pPr>
              <w:spacing w:after="40"/>
            </w:pPr>
            <w:r/>
            <w:r>
              <w:rPr>
                <w:b/>
                <w:sz w:val="17"/>
              </w:rPr>
              <w:t>BCIAT 2026</w:t>
            </w:r>
          </w:p>
        </w:tc>
        <w:tc>
          <w:tcPr>
            <w:tcW w:type="dxa" w:w="1701"/>
          </w:tcPr>
          <w:p>
            <w:pPr>
              <w:spacing w:after="40"/>
            </w:pPr>
            <w:r/>
            <w:r>
              <w:rPr>
                <w:b w:val="0"/>
                <w:sz w:val="17"/>
              </w:rPr>
              <w:t>ADEME</w:t>
            </w:r>
          </w:p>
        </w:tc>
        <w:tc>
          <w:tcPr>
            <w:tcW w:type="dxa" w:w="2948"/>
          </w:tcPr>
          <w:p>
            <w:pPr>
              <w:spacing w:after="40"/>
            </w:pPr>
            <w:r/>
            <w:r>
              <w:rPr>
                <w:b w:val="0"/>
                <w:sz w:val="17"/>
              </w:rPr>
              <w:t>Appel à projets ouvert du 26 mars au 17 juillet 2026 ; projets de plus de 12 GWh/an ; réunion de pré-dépôt obligatoire un mois avant</w:t>
            </w:r>
          </w:p>
        </w:tc>
        <w:tc>
          <w:tcPr>
            <w:tcW w:type="dxa" w:w="2835"/>
          </w:tcPr>
          <w:p>
            <w:pPr>
              <w:spacing w:after="40"/>
            </w:pPr>
            <w:r/>
            <w:r>
              <w:rPr>
                <w:b w:val="0"/>
                <w:sz w:val="17"/>
              </w:rPr>
              <w:t>Cadre de cofinancement de la chaufferie biomasse de Damblain et Hirson. Calendrier à anticiper : la réunion de pré-dépôt est bloquante.</w:t>
            </w:r>
          </w:p>
        </w:tc>
      </w:tr>
      <w:tr>
        <w:tc>
          <w:tcPr>
            <w:tcW w:type="dxa" w:w="1871"/>
          </w:tcPr>
          <w:p>
            <w:pPr>
              <w:spacing w:after="40"/>
            </w:pPr>
            <w:r/>
            <w:r>
              <w:rPr>
                <w:b/>
                <w:sz w:val="17"/>
              </w:rPr>
              <w:t>BCIB</w:t>
            </w:r>
          </w:p>
        </w:tc>
        <w:tc>
          <w:tcPr>
            <w:tcW w:type="dxa" w:w="1701"/>
          </w:tcPr>
          <w:p>
            <w:pPr>
              <w:spacing w:after="40"/>
            </w:pPr>
            <w:r/>
            <w:r>
              <w:rPr>
                <w:b w:val="0"/>
                <w:sz w:val="17"/>
              </w:rPr>
              <w:t>ADEME</w:t>
            </w:r>
          </w:p>
        </w:tc>
        <w:tc>
          <w:tcPr>
            <w:tcW w:type="dxa" w:w="2948"/>
          </w:tcPr>
          <w:p>
            <w:pPr>
              <w:spacing w:after="40"/>
            </w:pPr>
            <w:r/>
            <w:r>
              <w:rPr>
                <w:b w:val="0"/>
                <w:sz w:val="17"/>
              </w:rPr>
              <w:t>Volet dédié aux industries de transformation du bois</w:t>
            </w:r>
          </w:p>
        </w:tc>
        <w:tc>
          <w:tcPr>
            <w:tcW w:type="dxa" w:w="2835"/>
          </w:tcPr>
          <w:p>
            <w:pPr>
              <w:spacing w:after="40"/>
            </w:pPr>
            <w:r/>
            <w:r>
              <w:rPr>
                <w:b w:val="0"/>
                <w:sz w:val="17"/>
              </w:rPr>
              <w:t>Voie alternative au BCIAT selon la qualification de l’activité.</w:t>
            </w:r>
          </w:p>
        </w:tc>
      </w:tr>
      <w:tr>
        <w:tc>
          <w:tcPr>
            <w:tcW w:type="dxa" w:w="1871"/>
          </w:tcPr>
          <w:p>
            <w:pPr>
              <w:spacing w:after="40"/>
            </w:pPr>
            <w:r/>
            <w:r>
              <w:rPr>
                <w:b/>
                <w:sz w:val="17"/>
              </w:rPr>
              <w:t>Fonds vert — recyclage foncier des friches</w:t>
            </w:r>
          </w:p>
        </w:tc>
        <w:tc>
          <w:tcPr>
            <w:tcW w:type="dxa" w:w="1701"/>
          </w:tcPr>
          <w:p>
            <w:pPr>
              <w:spacing w:after="40"/>
            </w:pPr>
            <w:r/>
            <w:r>
              <w:rPr>
                <w:b w:val="0"/>
                <w:sz w:val="17"/>
              </w:rPr>
              <w:t>État, instruction déconcentrée (DREAL / DDT)</w:t>
            </w:r>
          </w:p>
        </w:tc>
        <w:tc>
          <w:tcPr>
            <w:tcW w:type="dxa" w:w="2948"/>
          </w:tcPr>
          <w:p>
            <w:pPr>
              <w:spacing w:after="40"/>
            </w:pPr>
            <w:r/>
            <w:r>
              <w:rPr>
                <w:b w:val="0"/>
                <w:sz w:val="17"/>
              </w:rPr>
              <w:t>Enveloppe globale du Fonds vert ramenée à ≈ 834 M€ en 2026, contre 1,15 Md€ en 2025 et 2,5 Md€ en 2024 ; mesure friches maintenue avec une campagne 2026</w:t>
            </w:r>
          </w:p>
        </w:tc>
        <w:tc>
          <w:tcPr>
            <w:tcW w:type="dxa" w:w="2835"/>
          </w:tcPr>
          <w:p>
            <w:pPr>
              <w:spacing w:after="40"/>
            </w:pPr>
            <w:r/>
            <w:r>
              <w:rPr>
                <w:b w:val="0"/>
                <w:sz w:val="17"/>
              </w:rPr>
              <w:t xml:space="preserve">Hirson et Écommoy. </w:t>
            </w:r>
            <w:r>
              <w:rPr>
                <w:b/>
                <w:sz w:val="17"/>
              </w:rPr>
              <w:t>La contraction de l’enveloppe impose de déposer tôt et de soigner la priorisation territoriale</w:t>
            </w:r>
            <w:r>
              <w:rPr>
                <w:b w:val="0"/>
                <w:sz w:val="17"/>
              </w:rPr>
              <w:t xml:space="preserve"> (label Petites Villes de Demain, qualification juridique de friche).</w:t>
            </w:r>
          </w:p>
        </w:tc>
      </w:tr>
      <w:tr>
        <w:tc>
          <w:tcPr>
            <w:tcW w:type="dxa" w:w="1871"/>
          </w:tcPr>
          <w:p>
            <w:pPr>
              <w:spacing w:after="40"/>
            </w:pPr>
            <w:r/>
            <w:r>
              <w:rPr>
                <w:b/>
                <w:sz w:val="17"/>
              </w:rPr>
              <w:t>Territoires d’industrie</w:t>
            </w:r>
          </w:p>
        </w:tc>
        <w:tc>
          <w:tcPr>
            <w:tcW w:type="dxa" w:w="1701"/>
          </w:tcPr>
          <w:p>
            <w:pPr>
              <w:spacing w:after="40"/>
            </w:pPr>
            <w:r/>
            <w:r>
              <w:rPr>
                <w:b w:val="0"/>
                <w:sz w:val="17"/>
              </w:rPr>
              <w:t>État / Régions / EPCI</w:t>
            </w:r>
          </w:p>
        </w:tc>
        <w:tc>
          <w:tcPr>
            <w:tcW w:type="dxa" w:w="2948"/>
          </w:tcPr>
          <w:p>
            <w:pPr>
              <w:spacing w:after="40"/>
            </w:pPr>
            <w:r/>
            <w:r>
              <w:rPr>
                <w:b w:val="0"/>
                <w:sz w:val="17"/>
              </w:rPr>
              <w:t>Deuxième phase 2023-2027 ; 183 territoires labellisés ; volet « transition écologique » adossé au Fonds vert</w:t>
            </w:r>
          </w:p>
        </w:tc>
        <w:tc>
          <w:tcPr>
            <w:tcW w:type="dxa" w:w="2835"/>
          </w:tcPr>
          <w:p>
            <w:pPr>
              <w:spacing w:after="40"/>
            </w:pPr>
            <w:r/>
            <w:r>
              <w:rPr>
                <w:b w:val="0"/>
                <w:sz w:val="17"/>
              </w:rPr>
              <w:t>Porte d’entrée politique et d’ingénierie sur les trois territoires, avec une gouvernance binôme élu-industriel.</w:t>
            </w:r>
          </w:p>
        </w:tc>
      </w:tr>
      <w:tr>
        <w:tc>
          <w:tcPr>
            <w:tcW w:type="dxa" w:w="1871"/>
          </w:tcPr>
          <w:p>
            <w:pPr>
              <w:spacing w:after="40"/>
            </w:pPr>
            <w:r/>
            <w:r>
              <w:rPr>
                <w:b/>
                <w:sz w:val="17"/>
              </w:rPr>
              <w:t>France 2030 régionalisé</w:t>
            </w:r>
          </w:p>
        </w:tc>
        <w:tc>
          <w:tcPr>
            <w:tcW w:type="dxa" w:w="1701"/>
          </w:tcPr>
          <w:p>
            <w:pPr>
              <w:spacing w:after="40"/>
            </w:pPr>
            <w:r/>
            <w:r>
              <w:rPr>
                <w:b w:val="0"/>
                <w:sz w:val="17"/>
              </w:rPr>
              <w:t>État / Régions / Bpifrance</w:t>
            </w:r>
          </w:p>
        </w:tc>
        <w:tc>
          <w:tcPr>
            <w:tcW w:type="dxa" w:w="2948"/>
          </w:tcPr>
          <w:p>
            <w:pPr>
              <w:spacing w:after="40"/>
            </w:pPr>
            <w:r/>
            <w:r>
              <w:rPr>
                <w:b w:val="0"/>
                <w:sz w:val="17"/>
              </w:rPr>
              <w:t>Axe de modernisation industrielle lancé avec les Régions</w:t>
            </w:r>
          </w:p>
        </w:tc>
        <w:tc>
          <w:tcPr>
            <w:tcW w:type="dxa" w:w="2835"/>
          </w:tcPr>
          <w:p>
            <w:pPr>
              <w:spacing w:after="40"/>
            </w:pPr>
            <w:r/>
            <w:r>
              <w:rPr>
                <w:b w:val="0"/>
                <w:sz w:val="17"/>
              </w:rPr>
              <w:t>Cofinancement d’équipements et de décarbonation industrielle.</w:t>
            </w:r>
          </w:p>
        </w:tc>
      </w:tr>
      <w:tr>
        <w:tc>
          <w:tcPr>
            <w:tcW w:type="dxa" w:w="1871"/>
          </w:tcPr>
          <w:p>
            <w:pPr>
              <w:spacing w:after="40"/>
            </w:pPr>
            <w:r/>
            <w:r>
              <w:rPr>
                <w:b/>
                <w:sz w:val="17"/>
              </w:rPr>
              <w:t>FEDER 2021-2027</w:t>
            </w:r>
          </w:p>
        </w:tc>
        <w:tc>
          <w:tcPr>
            <w:tcW w:type="dxa" w:w="1701"/>
          </w:tcPr>
          <w:p>
            <w:pPr>
              <w:spacing w:after="40"/>
            </w:pPr>
            <w:r/>
            <w:r>
              <w:rPr>
                <w:b w:val="0"/>
                <w:sz w:val="17"/>
              </w:rPr>
              <w:t>Régions (autorités de gestion)</w:t>
            </w:r>
          </w:p>
        </w:tc>
        <w:tc>
          <w:tcPr>
            <w:tcW w:type="dxa" w:w="2948"/>
          </w:tcPr>
          <w:p>
            <w:pPr>
              <w:spacing w:after="40"/>
            </w:pPr>
            <w:r/>
            <w:r>
              <w:rPr>
                <w:b w:val="0"/>
                <w:sz w:val="17"/>
              </w:rPr>
              <w:t>Programmes régionaux en cours d’exécution, fin de programmation à anticiper</w:t>
            </w:r>
          </w:p>
        </w:tc>
        <w:tc>
          <w:tcPr>
            <w:tcW w:type="dxa" w:w="2835"/>
          </w:tcPr>
          <w:p>
            <w:pPr>
              <w:spacing w:after="40"/>
            </w:pPr>
            <w:r/>
            <w:r>
              <w:rPr>
                <w:b w:val="0"/>
                <w:sz w:val="17"/>
              </w:rPr>
              <w:t>Trois programmes distincts à instruire séparément ; fenêtre qui se referme progressivement.</w:t>
            </w:r>
          </w:p>
        </w:tc>
      </w:tr>
      <w:tr>
        <w:tc>
          <w:tcPr>
            <w:tcW w:type="dxa" w:w="1871"/>
          </w:tcPr>
          <w:p>
            <w:pPr>
              <w:spacing w:after="40"/>
            </w:pPr>
            <w:r/>
            <w:r>
              <w:rPr>
                <w:b/>
                <w:sz w:val="17"/>
              </w:rPr>
              <w:t>France Ruralités Revitalisation (FRR)</w:t>
            </w:r>
          </w:p>
        </w:tc>
        <w:tc>
          <w:tcPr>
            <w:tcW w:type="dxa" w:w="1701"/>
          </w:tcPr>
          <w:p>
            <w:pPr>
              <w:spacing w:after="40"/>
            </w:pPr>
            <w:r/>
            <w:r>
              <w:rPr>
                <w:b w:val="0"/>
                <w:sz w:val="17"/>
              </w:rPr>
              <w:t>État</w:t>
            </w:r>
          </w:p>
        </w:tc>
        <w:tc>
          <w:tcPr>
            <w:tcW w:type="dxa" w:w="2948"/>
          </w:tcPr>
          <w:p>
            <w:pPr>
              <w:spacing w:after="40"/>
            </w:pPr>
            <w:r/>
            <w:r>
              <w:rPr>
                <w:b w:val="0"/>
                <w:sz w:val="17"/>
              </w:rPr>
              <w:t>Zonage en vigueur depuis le 1er juillet 2024, en remplacement des ZRR ; deux niveaux, socle et « plus » ; révision tous les six ans</w:t>
            </w:r>
          </w:p>
        </w:tc>
        <w:tc>
          <w:tcPr>
            <w:tcW w:type="dxa" w:w="2835"/>
          </w:tcPr>
          <w:p>
            <w:pPr>
              <w:spacing w:after="40"/>
            </w:pPr>
            <w:r/>
            <w:r>
              <w:rPr>
                <w:b w:val="0"/>
                <w:sz w:val="17"/>
              </w:rPr>
              <w:t>Exonérations fiscales et sociales à l’implantation. Écommoy est classée FRR. Damblain relève du zonage rural ; Hirson est à vérifier formellement (annexe B).</w:t>
            </w:r>
          </w:p>
        </w:tc>
      </w:tr>
      <w:tr>
        <w:tc>
          <w:tcPr>
            <w:tcW w:type="dxa" w:w="1871"/>
          </w:tcPr>
          <w:p>
            <w:pPr>
              <w:spacing w:after="40"/>
            </w:pPr>
            <w:r/>
            <w:r>
              <w:rPr>
                <w:b/>
                <w:sz w:val="17"/>
              </w:rPr>
              <w:t>Prêts et garanties Bpifrance</w:t>
            </w:r>
          </w:p>
        </w:tc>
        <w:tc>
          <w:tcPr>
            <w:tcW w:type="dxa" w:w="1701"/>
          </w:tcPr>
          <w:p>
            <w:pPr>
              <w:spacing w:after="40"/>
            </w:pPr>
            <w:r/>
            <w:r>
              <w:rPr>
                <w:b w:val="0"/>
                <w:sz w:val="17"/>
              </w:rPr>
              <w:t>Bpifrance</w:t>
            </w:r>
          </w:p>
        </w:tc>
        <w:tc>
          <w:tcPr>
            <w:tcW w:type="dxa" w:w="2948"/>
          </w:tcPr>
          <w:p>
            <w:pPr>
              <w:spacing w:after="40"/>
            </w:pPr>
            <w:r/>
            <w:r>
              <w:rPr>
                <w:b w:val="0"/>
                <w:sz w:val="17"/>
              </w:rPr>
              <w:t>Offre industrie verte</w:t>
            </w:r>
          </w:p>
        </w:tc>
        <w:tc>
          <w:tcPr>
            <w:tcW w:type="dxa" w:w="2835"/>
          </w:tcPr>
          <w:p>
            <w:pPr>
              <w:spacing w:after="40"/>
            </w:pPr>
            <w:r/>
            <w:r>
              <w:rPr>
                <w:b w:val="0"/>
                <w:sz w:val="17"/>
              </w:rPr>
              <w:t>Complément de financement du CAPEX en amont de la dette senior.</w:t>
            </w:r>
          </w:p>
        </w:tc>
      </w:tr>
    </w:tbl>
    <w:p>
      <w:pPr>
        <w:spacing w:after="80"/>
      </w:pPr>
    </w:p>
    <w:p>
      <w:pPr>
        <w:keepNext/>
        <w:spacing w:before="240" w:after="80"/>
      </w:pPr>
      <w:r>
        <w:rPr>
          <w:b/>
          <w:color w:val="1F3B57"/>
          <w:sz w:val="24"/>
        </w:rPr>
        <w:t>2.7 Le débouché résidentiel : un cadre de soutien qui s’est resserré en 2026</w:t>
      </w:r>
    </w:p>
    <w:p>
      <w:pPr>
        <w:jc w:val="both"/>
      </w:pPr>
      <w:r>
        <w:rPr>
          <w:b w:val="0"/>
          <w:i w:val="0"/>
          <w:sz w:val="21"/>
        </w:rPr>
        <w:t xml:space="preserve">Les dossiers sources valorisent le soutien public à l’équipement des ménages — MaPrimeRénov’ et TVA réduite — comme facteur de croissance du débouché résidentiel. </w:t>
      </w:r>
      <w:r>
        <w:rPr>
          <w:b/>
          <w:i w:val="0"/>
          <w:sz w:val="21"/>
        </w:rPr>
        <w:t>Cet argument doit être corrigé.</w:t>
      </w:r>
      <w:r>
        <w:rPr>
          <w:b w:val="0"/>
          <w:i w:val="0"/>
          <w:sz w:val="21"/>
        </w:rPr>
        <w:t xml:space="preserve"> Depuis le 1er janvier 2026, l’installation d’une chaudière à granulés </w:t>
      </w:r>
      <w:r>
        <w:rPr>
          <w:b/>
          <w:i w:val="0"/>
          <w:sz w:val="21"/>
        </w:rPr>
        <w:t>n’est plus éligible à MaPrimeRénov’ en geste unique</w:t>
      </w:r>
      <w:r>
        <w:rPr>
          <w:b w:val="0"/>
          <w:i w:val="0"/>
          <w:sz w:val="21"/>
        </w:rPr>
        <w:t xml:space="preserve"> ; elle ne peut plus être financée par ce dispositif que dans le cadre d’une rénovation d’ampleur. Subsistent la TVA réduite à 5,5 %, les certificats d’économie d’énergie et l’éco-prêt à taux zéro.</w:t>
      </w:r>
    </w:p>
    <w:p>
      <w:pPr>
        <w:jc w:val="both"/>
      </w:pPr>
      <w:r>
        <w:rPr>
          <w:b w:val="0"/>
          <w:i w:val="0"/>
          <w:sz w:val="21"/>
        </w:rPr>
        <w:t xml:space="preserve">Conséquence pour nos dossiers : le segment résidentiel doit être présenté comme un </w:t>
      </w:r>
      <w:r>
        <w:rPr>
          <w:b/>
          <w:i w:val="0"/>
          <w:sz w:val="21"/>
        </w:rPr>
        <w:t>débouché complémentaire de valorisation</w:t>
      </w:r>
      <w:r>
        <w:rPr>
          <w:b w:val="0"/>
          <w:i w:val="0"/>
          <w:sz w:val="21"/>
        </w:rPr>
        <w:t>, non comme un marché en expansion soutenue par la puissance publique. Le cœur du modèle est industriel et collectif, il est contractualisé à long terme, et c’est ce qui le rend bancable. Cette présentation est d’ailleurs plus fidèle à la réalité économique des trois projets, dont les contrats d’achat portent prioritairement sur le vrac industriel.</w:t>
      </w:r>
    </w:p>
    <w:p>
      <w:pPr>
        <w:keepNext/>
        <w:spacing w:before="240" w:after="80"/>
      </w:pPr>
      <w:r>
        <w:rPr>
          <w:b/>
          <w:color w:val="1F3B57"/>
          <w:sz w:val="24"/>
        </w:rPr>
        <w:t>2.8 Méthode de calcul des émissions évitées</w:t>
      </w:r>
    </w:p>
    <w:p>
      <w:pPr>
        <w:jc w:val="both"/>
      </w:pPr>
      <w:r>
        <w:rPr>
          <w:b w:val="0"/>
          <w:i w:val="0"/>
          <w:sz w:val="21"/>
        </w:rPr>
        <w:t>Les trois dossiers sources retiennent des méthodes de calcul différentes, ce qui rend les projets non comparables et fragilise nos chiffres en instruction. La méthode unique proposée est la suivante, à exposer systématiquement en note :</w:t>
      </w:r>
    </w:p>
    <w:p>
      <w:pPr>
        <w:pStyle w:val="ListBullet"/>
        <w:spacing w:after="60"/>
        <w:ind w:left="340"/>
        <w:jc w:val="both"/>
      </w:pPr>
      <w:r>
        <w:rPr>
          <w:b w:val="0"/>
          <w:sz w:val="21"/>
        </w:rPr>
        <w:t>Pouvoir calorifique inférieur du granulé : 4,8 kWh/kg, soit 4,8 MWh par tonne.</w:t>
      </w:r>
    </w:p>
    <w:p>
      <w:pPr>
        <w:pStyle w:val="ListBullet"/>
        <w:spacing w:after="60"/>
        <w:ind w:left="340"/>
        <w:jc w:val="both"/>
      </w:pPr>
      <w:r>
        <w:rPr>
          <w:b w:val="0"/>
          <w:sz w:val="21"/>
        </w:rPr>
        <w:t>Substitution exprimée en équivalence de pouvoir calorifique, sans hypothèse de rendement différencié entre l’installation substituée et l’installation nouvelle.</w:t>
      </w:r>
    </w:p>
    <w:p>
      <w:pPr>
        <w:pStyle w:val="ListBullet"/>
        <w:spacing w:after="60"/>
        <w:ind w:left="340"/>
        <w:jc w:val="both"/>
      </w:pPr>
      <w:r>
        <w:rPr>
          <w:b w:val="0"/>
          <w:sz w:val="21"/>
        </w:rPr>
        <w:t>Facteurs d’émission : fioul domestique 2,67 kg CO₂ par litre pour 9,96 kWh/litre ; gaz naturel 0,227 kg CO₂ par kWh PCI.</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shd w:val="clear" w:fill="1F3B57"/>
          </w:tcPr>
          <w:p>
            <w:r/>
            <w:r>
              <w:rPr>
                <w:b/>
                <w:color w:val="FFFFFF"/>
                <w:sz w:val="18"/>
              </w:rPr>
              <w:t>Site</w:t>
            </w:r>
          </w:p>
        </w:tc>
        <w:tc>
          <w:tcPr>
            <w:tcW w:type="dxa" w:w="1701"/>
            <w:shd w:val="clear" w:fill="1F3B57"/>
          </w:tcPr>
          <w:p>
            <w:r/>
            <w:r>
              <w:rPr>
                <w:b/>
                <w:color w:val="FFFFFF"/>
                <w:sz w:val="18"/>
              </w:rPr>
              <w:t>Capacité</w:t>
            </w:r>
          </w:p>
        </w:tc>
        <w:tc>
          <w:tcPr>
            <w:tcW w:type="dxa" w:w="1984"/>
            <w:shd w:val="clear" w:fill="1F3B57"/>
          </w:tcPr>
          <w:p>
            <w:r/>
            <w:r>
              <w:rPr>
                <w:b/>
                <w:color w:val="FFFFFF"/>
                <w:sz w:val="18"/>
              </w:rPr>
              <w:t>Énergie (PCI)</w:t>
            </w:r>
          </w:p>
        </w:tc>
        <w:tc>
          <w:tcPr>
            <w:tcW w:type="dxa" w:w="1984"/>
            <w:shd w:val="clear" w:fill="1F3B57"/>
          </w:tcPr>
          <w:p>
            <w:r/>
            <w:r>
              <w:rPr>
                <w:b/>
                <w:color w:val="FFFFFF"/>
                <w:sz w:val="18"/>
              </w:rPr>
              <w:t>CO₂ évité vs fioul</w:t>
            </w:r>
          </w:p>
        </w:tc>
        <w:tc>
          <w:tcPr>
            <w:tcW w:type="dxa" w:w="1984"/>
            <w:shd w:val="clear" w:fill="1F3B57"/>
          </w:tcPr>
          <w:p>
            <w:r/>
            <w:r>
              <w:rPr>
                <w:b/>
                <w:color w:val="FFFFFF"/>
                <w:sz w:val="18"/>
              </w:rPr>
              <w:t>CO₂ évité vs gaz</w:t>
            </w:r>
          </w:p>
        </w:tc>
      </w:tr>
      <w:tr>
        <w:tc>
          <w:tcPr>
            <w:tcW w:type="dxa" w:w="1701"/>
          </w:tcPr>
          <w:p>
            <w:pPr>
              <w:spacing w:after="40"/>
            </w:pPr>
            <w:r/>
            <w:r>
              <w:rPr>
                <w:b w:val="0"/>
                <w:sz w:val="18"/>
              </w:rPr>
              <w:t>Damblain</w:t>
            </w:r>
          </w:p>
        </w:tc>
        <w:tc>
          <w:tcPr>
            <w:tcW w:type="dxa" w:w="1701"/>
          </w:tcPr>
          <w:p>
            <w:pPr>
              <w:spacing w:after="40"/>
            </w:pPr>
            <w:r/>
            <w:r>
              <w:rPr>
                <w:b w:val="0"/>
                <w:sz w:val="18"/>
              </w:rPr>
              <w:t>120 000 t/an</w:t>
            </w:r>
          </w:p>
        </w:tc>
        <w:tc>
          <w:tcPr>
            <w:tcW w:type="dxa" w:w="1984"/>
          </w:tcPr>
          <w:p>
            <w:pPr>
              <w:spacing w:after="40"/>
            </w:pPr>
            <w:r/>
            <w:r>
              <w:rPr>
                <w:b w:val="0"/>
                <w:sz w:val="18"/>
              </w:rPr>
              <w:t>576 000 MWh/an</w:t>
            </w:r>
          </w:p>
        </w:tc>
        <w:tc>
          <w:tcPr>
            <w:tcW w:type="dxa" w:w="1984"/>
          </w:tcPr>
          <w:p>
            <w:pPr>
              <w:spacing w:after="40"/>
            </w:pPr>
            <w:r/>
            <w:r>
              <w:rPr>
                <w:b w:val="0"/>
                <w:sz w:val="18"/>
              </w:rPr>
              <w:t>≈ 154 000 t CO₂/an</w:t>
            </w:r>
          </w:p>
        </w:tc>
        <w:tc>
          <w:tcPr>
            <w:tcW w:type="dxa" w:w="1984"/>
          </w:tcPr>
          <w:p>
            <w:pPr>
              <w:spacing w:after="40"/>
            </w:pPr>
            <w:r/>
            <w:r>
              <w:rPr>
                <w:b w:val="0"/>
                <w:sz w:val="18"/>
              </w:rPr>
              <w:t>≈ 131 000 t CO₂/an</w:t>
            </w:r>
          </w:p>
        </w:tc>
      </w:tr>
      <w:tr>
        <w:tc>
          <w:tcPr>
            <w:tcW w:type="dxa" w:w="1701"/>
          </w:tcPr>
          <w:p>
            <w:pPr>
              <w:spacing w:after="40"/>
            </w:pPr>
            <w:r/>
            <w:r>
              <w:rPr>
                <w:b w:val="0"/>
                <w:sz w:val="18"/>
              </w:rPr>
              <w:t>Hirson</w:t>
            </w:r>
          </w:p>
        </w:tc>
        <w:tc>
          <w:tcPr>
            <w:tcW w:type="dxa" w:w="1701"/>
          </w:tcPr>
          <w:p>
            <w:pPr>
              <w:spacing w:after="40"/>
            </w:pPr>
            <w:r/>
            <w:r>
              <w:rPr>
                <w:b w:val="0"/>
                <w:sz w:val="18"/>
              </w:rPr>
              <w:t>100 000 t/an</w:t>
            </w:r>
          </w:p>
        </w:tc>
        <w:tc>
          <w:tcPr>
            <w:tcW w:type="dxa" w:w="1984"/>
          </w:tcPr>
          <w:p>
            <w:pPr>
              <w:spacing w:after="40"/>
            </w:pPr>
            <w:r/>
            <w:r>
              <w:rPr>
                <w:b w:val="0"/>
                <w:sz w:val="18"/>
              </w:rPr>
              <w:t>480 000 MWh/an</w:t>
            </w:r>
          </w:p>
        </w:tc>
        <w:tc>
          <w:tcPr>
            <w:tcW w:type="dxa" w:w="1984"/>
          </w:tcPr>
          <w:p>
            <w:pPr>
              <w:spacing w:after="40"/>
            </w:pPr>
            <w:r/>
            <w:r>
              <w:rPr>
                <w:b w:val="0"/>
                <w:sz w:val="18"/>
              </w:rPr>
              <w:t>≈ 129 000 t CO₂/an</w:t>
            </w:r>
          </w:p>
        </w:tc>
        <w:tc>
          <w:tcPr>
            <w:tcW w:type="dxa" w:w="1984"/>
          </w:tcPr>
          <w:p>
            <w:pPr>
              <w:spacing w:after="40"/>
            </w:pPr>
            <w:r/>
            <w:r>
              <w:rPr>
                <w:b w:val="0"/>
                <w:sz w:val="18"/>
              </w:rPr>
              <w:t>≈ 109 000 t CO₂/an</w:t>
            </w:r>
          </w:p>
        </w:tc>
      </w:tr>
      <w:tr>
        <w:tc>
          <w:tcPr>
            <w:tcW w:type="dxa" w:w="1701"/>
          </w:tcPr>
          <w:p>
            <w:pPr>
              <w:spacing w:after="40"/>
            </w:pPr>
            <w:r/>
            <w:r>
              <w:rPr>
                <w:b w:val="0"/>
                <w:sz w:val="18"/>
              </w:rPr>
              <w:t>Écommoy</w:t>
            </w:r>
          </w:p>
        </w:tc>
        <w:tc>
          <w:tcPr>
            <w:tcW w:type="dxa" w:w="1701"/>
          </w:tcPr>
          <w:p>
            <w:pPr>
              <w:spacing w:after="40"/>
            </w:pPr>
            <w:r/>
            <w:r>
              <w:rPr>
                <w:b w:val="0"/>
                <w:sz w:val="18"/>
              </w:rPr>
              <w:t>92 000 t/an</w:t>
            </w:r>
          </w:p>
        </w:tc>
        <w:tc>
          <w:tcPr>
            <w:tcW w:type="dxa" w:w="1984"/>
          </w:tcPr>
          <w:p>
            <w:pPr>
              <w:spacing w:after="40"/>
            </w:pPr>
            <w:r/>
            <w:r>
              <w:rPr>
                <w:b w:val="0"/>
                <w:sz w:val="18"/>
              </w:rPr>
              <w:t>441 600 MWh/an</w:t>
            </w:r>
          </w:p>
        </w:tc>
        <w:tc>
          <w:tcPr>
            <w:tcW w:type="dxa" w:w="1984"/>
          </w:tcPr>
          <w:p>
            <w:pPr>
              <w:spacing w:after="40"/>
            </w:pPr>
            <w:r/>
            <w:r>
              <w:rPr>
                <w:b w:val="0"/>
                <w:sz w:val="18"/>
              </w:rPr>
              <w:t>≈ 118 000 t CO₂/an</w:t>
            </w:r>
          </w:p>
        </w:tc>
        <w:tc>
          <w:tcPr>
            <w:tcW w:type="dxa" w:w="1984"/>
          </w:tcPr>
          <w:p>
            <w:pPr>
              <w:spacing w:after="40"/>
            </w:pPr>
            <w:r/>
            <w:r>
              <w:rPr>
                <w:b w:val="0"/>
                <w:sz w:val="18"/>
              </w:rPr>
              <w:t>≈ 100 000 t CO₂/an</w:t>
            </w:r>
          </w:p>
        </w:tc>
      </w:tr>
      <w:tr>
        <w:tc>
          <w:tcPr>
            <w:tcW w:type="dxa" w:w="1701"/>
          </w:tcPr>
          <w:p>
            <w:pPr>
              <w:spacing w:after="40"/>
            </w:pPr>
            <w:r/>
            <w:r>
              <w:rPr>
                <w:b/>
                <w:sz w:val="18"/>
              </w:rPr>
              <w:t>Plateforme</w:t>
            </w:r>
          </w:p>
        </w:tc>
        <w:tc>
          <w:tcPr>
            <w:tcW w:type="dxa" w:w="1701"/>
          </w:tcPr>
          <w:p>
            <w:pPr>
              <w:spacing w:after="40"/>
            </w:pPr>
            <w:r/>
            <w:r>
              <w:rPr>
                <w:b/>
                <w:sz w:val="18"/>
              </w:rPr>
              <w:t>312 000 t/an</w:t>
            </w:r>
          </w:p>
        </w:tc>
        <w:tc>
          <w:tcPr>
            <w:tcW w:type="dxa" w:w="1984"/>
          </w:tcPr>
          <w:p>
            <w:pPr>
              <w:spacing w:after="40"/>
            </w:pPr>
            <w:r/>
            <w:r>
              <w:rPr>
                <w:b/>
                <w:sz w:val="18"/>
              </w:rPr>
              <w:t>1 497 600 MWh/an</w:t>
            </w:r>
          </w:p>
        </w:tc>
        <w:tc>
          <w:tcPr>
            <w:tcW w:type="dxa" w:w="1984"/>
          </w:tcPr>
          <w:p>
            <w:pPr>
              <w:spacing w:after="40"/>
            </w:pPr>
            <w:r/>
            <w:r>
              <w:rPr>
                <w:b/>
                <w:sz w:val="18"/>
              </w:rPr>
              <w:t>≈ 401 000 t CO₂/an</w:t>
            </w:r>
          </w:p>
        </w:tc>
        <w:tc>
          <w:tcPr>
            <w:tcW w:type="dxa" w:w="1984"/>
          </w:tcPr>
          <w:p>
            <w:pPr>
              <w:spacing w:after="40"/>
            </w:pPr>
            <w:r/>
            <w:r>
              <w:rPr>
                <w:b/>
                <w:sz w:val="18"/>
              </w:rPr>
              <w:t>≈ 340 000 t CO₂/an</w:t>
            </w:r>
          </w:p>
        </w:tc>
      </w:tr>
    </w:tbl>
    <w:p>
      <w:pPr>
        <w:spacing w:after="80"/>
      </w:pPr>
    </w:p>
    <w:p>
      <w:pPr>
        <w:jc w:val="both"/>
      </w:pPr>
      <w:r>
        <w:rPr>
          <w:b w:val="0"/>
          <w:i/>
          <w:sz w:val="21"/>
        </w:rPr>
        <w:t xml:space="preserve">Recommandation : retenir systématiquement la comparaison </w:t>
      </w:r>
      <w:r>
        <w:rPr>
          <w:b/>
          <w:i/>
          <w:sz w:val="21"/>
        </w:rPr>
        <w:t>au gaz naturel</w:t>
      </w:r>
      <w:r>
        <w:rPr>
          <w:b w:val="0"/>
          <w:i/>
          <w:sz w:val="21"/>
        </w:rPr>
        <w:t xml:space="preserve"> dans les dossiers institutionnels. Elle est plus conservatrice, elle correspond mieux à la réalité des industriels que nous ciblons — qui substituent majoritairement du gaz — et elle résiste mieux à la contradiction. La comparaison au fioul peut être citée en second rang pour le segment résidentiel et les collectivités rurales.</w:t>
      </w:r>
    </w:p>
    <w:p>
      <w:r>
        <w:br w:type="page"/>
      </w:r>
    </w:p>
    <w:p>
      <w:pPr>
        <w:keepNext/>
        <w:spacing w:before="360" w:after="160"/>
        <w:pBdr>
          <w:bottom w:val="single" w:sz="8" w:space="2" w:color="1F3B57"/>
        </w:pBdr>
      </w:pPr>
      <w:r>
        <w:rPr>
          <w:b/>
          <w:color w:val="1F3B57"/>
          <w:sz w:val="28"/>
        </w:rPr>
        <w:t>PARTIE III — GRILLE D’ANALYSE TERRITORIALE</w:t>
      </w:r>
    </w:p>
    <w:p>
      <w:pPr>
        <w:keepNext/>
        <w:spacing w:before="240" w:after="80"/>
      </w:pPr>
      <w:r>
        <w:rPr>
          <w:b/>
          <w:color w:val="1F3B57"/>
          <w:sz w:val="24"/>
        </w:rPr>
        <w:t>3.1 Méthode</w:t>
      </w:r>
    </w:p>
    <w:p>
      <w:pPr>
        <w:jc w:val="both"/>
      </w:pPr>
      <w:r>
        <w:rPr>
          <w:b w:val="0"/>
          <w:i w:val="0"/>
          <w:sz w:val="21"/>
        </w:rPr>
        <w:t xml:space="preserve">La grille répond à une question opérationnelle : pour un projet donné, </w:t>
      </w:r>
      <w:r>
        <w:rPr>
          <w:b/>
          <w:i w:val="0"/>
          <w:sz w:val="21"/>
        </w:rPr>
        <w:t>quels sont les cadres publics qui s’imposent à lui, quels sont ceux qu’il sert, et qui en est le porteur ?</w:t>
      </w:r>
      <w:r>
        <w:rPr>
          <w:b w:val="0"/>
          <w:i w:val="0"/>
          <w:sz w:val="21"/>
        </w:rPr>
        <w:t xml:space="preserve"> Elle croise cinq échelons de décision avec cinq registres d’analyse. Elle sert trois usages : construire l’argumentaire d’un dossier, préparer une réunion institutionnelle, et identifier les leviers de financement non encore sollicités.</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3B57"/>
          </w:tcPr>
          <w:p>
            <w:r/>
            <w:r>
              <w:rPr>
                <w:b/>
                <w:color w:val="FFFFFF"/>
                <w:sz w:val="18"/>
              </w:rPr>
              <w:t>Les cinq échelons</w:t>
            </w:r>
          </w:p>
        </w:tc>
        <w:tc>
          <w:tcPr>
            <w:tcW w:type="dxa" w:w="6803"/>
            <w:shd w:val="clear" w:fill="1F3B57"/>
          </w:tcPr>
          <w:p>
            <w:r/>
            <w:r>
              <w:rPr>
                <w:b/>
                <w:color w:val="FFFFFF"/>
                <w:sz w:val="18"/>
              </w:rPr>
              <w:t>Ce qu’on y cherche</w:t>
            </w:r>
          </w:p>
        </w:tc>
      </w:tr>
      <w:tr>
        <w:tc>
          <w:tcPr>
            <w:tcW w:type="dxa" w:w="2551"/>
          </w:tcPr>
          <w:p>
            <w:pPr>
              <w:spacing w:after="40"/>
            </w:pPr>
            <w:r/>
            <w:r>
              <w:rPr>
                <w:b/>
                <w:sz w:val="18"/>
              </w:rPr>
              <w:t>1. Europe et État</w:t>
            </w:r>
          </w:p>
        </w:tc>
        <w:tc>
          <w:tcPr>
            <w:tcW w:type="dxa" w:w="6803"/>
          </w:tcPr>
          <w:p>
            <w:pPr>
              <w:spacing w:after="40"/>
            </w:pPr>
            <w:r/>
            <w:r>
              <w:rPr>
                <w:b w:val="0"/>
                <w:sz w:val="18"/>
              </w:rPr>
              <w:t>Le cadre qui s’impose à tous : directives, programmation énergétique, stratégie bas-carbone, sobriété foncière, guichets nationaux.</w:t>
            </w:r>
          </w:p>
        </w:tc>
      </w:tr>
      <w:tr>
        <w:tc>
          <w:tcPr>
            <w:tcW w:type="dxa" w:w="2551"/>
          </w:tcPr>
          <w:p>
            <w:pPr>
              <w:spacing w:after="40"/>
            </w:pPr>
            <w:r/>
            <w:r>
              <w:rPr>
                <w:b/>
                <w:sz w:val="18"/>
              </w:rPr>
              <w:t>2. Région</w:t>
            </w:r>
          </w:p>
        </w:tc>
        <w:tc>
          <w:tcPr>
            <w:tcW w:type="dxa" w:w="6803"/>
          </w:tcPr>
          <w:p>
            <w:pPr>
              <w:spacing w:after="40"/>
            </w:pPr>
            <w:r/>
            <w:r>
              <w:rPr>
                <w:b w:val="0"/>
                <w:sz w:val="18"/>
              </w:rPr>
              <w:t>Le SRADDET, document intégrateur et prescriptif ; le SRDEII ; le schéma régional biomasse ; le programme régional forêt-bois ; le FEDER dont la Région est autorité de gestion ; les programmes régionaux propres (Climaxion en Grand Est, Rev3 en Hauts-de-France).</w:t>
            </w:r>
          </w:p>
        </w:tc>
      </w:tr>
      <w:tr>
        <w:tc>
          <w:tcPr>
            <w:tcW w:type="dxa" w:w="2551"/>
          </w:tcPr>
          <w:p>
            <w:pPr>
              <w:spacing w:after="40"/>
            </w:pPr>
            <w:r/>
            <w:r>
              <w:rPr>
                <w:b/>
                <w:sz w:val="18"/>
              </w:rPr>
              <w:t>3. Département</w:t>
            </w:r>
          </w:p>
        </w:tc>
        <w:tc>
          <w:tcPr>
            <w:tcW w:type="dxa" w:w="6803"/>
          </w:tcPr>
          <w:p>
            <w:pPr>
              <w:spacing w:after="40"/>
            </w:pPr>
            <w:r/>
            <w:r>
              <w:rPr>
                <w:b w:val="0"/>
                <w:sz w:val="18"/>
              </w:rPr>
              <w:t>Le foncier lorsqu’il est départemental, les politiques forestières et d’aménagement, les chartes forestières de territoire, l’ingénierie territoriale.</w:t>
            </w:r>
          </w:p>
        </w:tc>
      </w:tr>
      <w:tr>
        <w:tc>
          <w:tcPr>
            <w:tcW w:type="dxa" w:w="2551"/>
          </w:tcPr>
          <w:p>
            <w:pPr>
              <w:spacing w:after="40"/>
            </w:pPr>
            <w:r/>
            <w:r>
              <w:rPr>
                <w:b/>
                <w:sz w:val="18"/>
              </w:rPr>
              <w:t>4. EPCI et échelon supra-intercommunal</w:t>
            </w:r>
          </w:p>
        </w:tc>
        <w:tc>
          <w:tcPr>
            <w:tcW w:type="dxa" w:w="6803"/>
          </w:tcPr>
          <w:p>
            <w:pPr>
              <w:spacing w:after="40"/>
            </w:pPr>
            <w:r/>
            <w:r>
              <w:rPr>
                <w:b w:val="0"/>
                <w:sz w:val="18"/>
              </w:rPr>
              <w:t>Le PLUi et le SCoT qui conditionnent l’implantation ; le PCAET ; le CRTE ; les programmes de revitalisation (Petites Villes de Demain, ORT) ; la stratégie de développement économique.</w:t>
            </w:r>
          </w:p>
        </w:tc>
      </w:tr>
      <w:tr>
        <w:tc>
          <w:tcPr>
            <w:tcW w:type="dxa" w:w="2551"/>
          </w:tcPr>
          <w:p>
            <w:pPr>
              <w:spacing w:after="40"/>
            </w:pPr>
            <w:r/>
            <w:r>
              <w:rPr>
                <w:b/>
                <w:sz w:val="18"/>
              </w:rPr>
              <w:t>5. Commune</w:t>
            </w:r>
          </w:p>
        </w:tc>
        <w:tc>
          <w:tcPr>
            <w:tcW w:type="dxa" w:w="6803"/>
          </w:tcPr>
          <w:p>
            <w:pPr>
              <w:spacing w:after="40"/>
            </w:pPr>
            <w:r/>
            <w:r>
              <w:rPr>
                <w:b w:val="0"/>
                <w:sz w:val="18"/>
              </w:rPr>
              <w:t>Le permis de construire, la maîtrise foncière lorsqu’elle est communale, l’acceptabilité locale, le soutien politique du maire.</w:t>
            </w:r>
          </w:p>
        </w:tc>
      </w:tr>
    </w:tbl>
    <w:p>
      <w:pPr>
        <w:spacing w:after="80"/>
      </w:pPr>
    </w:p>
    <w:tbl>
      <w:tblPr>
        <w:tblStyle w:val="TableGrid"/>
        <w:tblW w:type="auto" w:w="0"/>
        <w:jc w:val="center"/>
        <w:tblLook w:firstColumn="1" w:firstRow="1" w:lastColumn="0" w:lastRow="0" w:noHBand="0" w:noVBand="1" w:val="04A0"/>
      </w:tblPr>
      <w:tblGrid>
        <w:gridCol w:w="4873"/>
        <w:gridCol w:w="4873"/>
      </w:tblGrid>
      <w:tr>
        <w:tc>
          <w:tcPr>
            <w:tcW w:type="dxa" w:w="2551"/>
            <w:shd w:val="clear" w:fill="1F3B57"/>
          </w:tcPr>
          <w:p>
            <w:r/>
            <w:r>
              <w:rPr>
                <w:b/>
                <w:color w:val="FFFFFF"/>
                <w:sz w:val="18"/>
              </w:rPr>
              <w:t>Les cinq registres</w:t>
            </w:r>
          </w:p>
        </w:tc>
        <w:tc>
          <w:tcPr>
            <w:tcW w:type="dxa" w:w="6803"/>
            <w:shd w:val="clear" w:fill="1F3B57"/>
          </w:tcPr>
          <w:p>
            <w:r/>
            <w:r>
              <w:rPr>
                <w:b/>
                <w:color w:val="FFFFFF"/>
                <w:sz w:val="18"/>
              </w:rPr>
              <w:t>Question posée</w:t>
            </w:r>
          </w:p>
        </w:tc>
      </w:tr>
      <w:tr>
        <w:tc>
          <w:tcPr>
            <w:tcW w:type="dxa" w:w="2551"/>
          </w:tcPr>
          <w:p>
            <w:pPr>
              <w:spacing w:after="40"/>
            </w:pPr>
            <w:r/>
            <w:r>
              <w:rPr>
                <w:b/>
                <w:sz w:val="18"/>
              </w:rPr>
              <w:t>Document ou dispositif</w:t>
            </w:r>
          </w:p>
        </w:tc>
        <w:tc>
          <w:tcPr>
            <w:tcW w:type="dxa" w:w="6803"/>
          </w:tcPr>
          <w:p>
            <w:pPr>
              <w:spacing w:after="40"/>
            </w:pPr>
            <w:r/>
            <w:r>
              <w:rPr>
                <w:b w:val="0"/>
                <w:sz w:val="18"/>
              </w:rPr>
              <w:t>Quel est le texte, le schéma ou le programme applicable, et à quelle date ?</w:t>
            </w:r>
          </w:p>
        </w:tc>
      </w:tr>
      <w:tr>
        <w:tc>
          <w:tcPr>
            <w:tcW w:type="dxa" w:w="2551"/>
          </w:tcPr>
          <w:p>
            <w:pPr>
              <w:spacing w:after="40"/>
            </w:pPr>
            <w:r/>
            <w:r>
              <w:rPr>
                <w:b/>
                <w:sz w:val="18"/>
              </w:rPr>
              <w:t>Ce qu’il prescrit ou vise</w:t>
            </w:r>
          </w:p>
        </w:tc>
        <w:tc>
          <w:tcPr>
            <w:tcW w:type="dxa" w:w="6803"/>
          </w:tcPr>
          <w:p>
            <w:pPr>
              <w:spacing w:after="40"/>
            </w:pPr>
            <w:r/>
            <w:r>
              <w:rPr>
                <w:b w:val="0"/>
                <w:sz w:val="18"/>
              </w:rPr>
              <w:t>Quelle est l’obligation ou l’objectif, formulé dans ses propres termes ?</w:t>
            </w:r>
          </w:p>
        </w:tc>
      </w:tr>
      <w:tr>
        <w:tc>
          <w:tcPr>
            <w:tcW w:type="dxa" w:w="2551"/>
          </w:tcPr>
          <w:p>
            <w:pPr>
              <w:spacing w:after="40"/>
            </w:pPr>
            <w:r/>
            <w:r>
              <w:rPr>
                <w:b/>
                <w:sz w:val="18"/>
              </w:rPr>
              <w:t>Contribution du projet</w:t>
            </w:r>
          </w:p>
        </w:tc>
        <w:tc>
          <w:tcPr>
            <w:tcW w:type="dxa" w:w="6803"/>
          </w:tcPr>
          <w:p>
            <w:pPr>
              <w:spacing w:after="40"/>
            </w:pPr>
            <w:r/>
            <w:r>
              <w:rPr>
                <w:b w:val="0"/>
                <w:sz w:val="18"/>
              </w:rPr>
              <w:t>Qu’apporte concrètement le projet à cet objectif, en chiffres vérifiables ?</w:t>
            </w:r>
          </w:p>
        </w:tc>
      </w:tr>
      <w:tr>
        <w:tc>
          <w:tcPr>
            <w:tcW w:type="dxa" w:w="2551"/>
          </w:tcPr>
          <w:p>
            <w:pPr>
              <w:spacing w:after="40"/>
            </w:pPr>
            <w:r/>
            <w:r>
              <w:rPr>
                <w:b/>
                <w:sz w:val="18"/>
              </w:rPr>
              <w:t>Levier mobilisable</w:t>
            </w:r>
          </w:p>
        </w:tc>
        <w:tc>
          <w:tcPr>
            <w:tcW w:type="dxa" w:w="6803"/>
          </w:tcPr>
          <w:p>
            <w:pPr>
              <w:spacing w:after="40"/>
            </w:pPr>
            <w:r/>
            <w:r>
              <w:rPr>
                <w:b w:val="0"/>
                <w:sz w:val="18"/>
              </w:rPr>
              <w:t>Quel financement, quelle procédure, quelle contractualisation ?</w:t>
            </w:r>
          </w:p>
        </w:tc>
      </w:tr>
      <w:tr>
        <w:tc>
          <w:tcPr>
            <w:tcW w:type="dxa" w:w="2551"/>
          </w:tcPr>
          <w:p>
            <w:pPr>
              <w:spacing w:after="40"/>
            </w:pPr>
            <w:r/>
            <w:r>
              <w:rPr>
                <w:b/>
                <w:sz w:val="18"/>
              </w:rPr>
              <w:t>Interlocuteur</w:t>
            </w:r>
          </w:p>
        </w:tc>
        <w:tc>
          <w:tcPr>
            <w:tcW w:type="dxa" w:w="6803"/>
          </w:tcPr>
          <w:p>
            <w:pPr>
              <w:spacing w:after="40"/>
            </w:pPr>
            <w:r/>
            <w:r>
              <w:rPr>
                <w:b w:val="0"/>
                <w:sz w:val="18"/>
              </w:rPr>
              <w:t>Qui décide, qui instruit, qui doit être rencontré et dans quel ordre ?</w:t>
            </w:r>
          </w:p>
        </w:tc>
      </w:tr>
    </w:tbl>
    <w:p>
      <w:pPr>
        <w:spacing w:after="80"/>
      </w:pPr>
    </w:p>
    <w:p>
      <w:pPr>
        <w:keepNext/>
        <w:spacing w:before="240" w:after="80"/>
      </w:pPr>
      <w:r>
        <w:rPr>
          <w:b/>
          <w:color w:val="1F3B57"/>
          <w:sz w:val="24"/>
        </w:rPr>
        <w:t>3.2 Échelon 1 — Europe et État : commun aux trois projets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fill="1F3B57"/>
          </w:tcPr>
          <w:p>
            <w:r/>
            <w:r>
              <w:rPr>
                <w:b/>
                <w:color w:val="FFFFFF"/>
                <w:sz w:val="17"/>
              </w:rPr>
              <w:t>Dispositif</w:t>
            </w:r>
          </w:p>
        </w:tc>
        <w:tc>
          <w:tcPr>
            <w:tcW w:type="dxa" w:w="2268"/>
            <w:shd w:val="clear" w:fill="1F3B57"/>
          </w:tcPr>
          <w:p>
            <w:r/>
            <w:r>
              <w:rPr>
                <w:b/>
                <w:color w:val="FFFFFF"/>
                <w:sz w:val="17"/>
              </w:rPr>
              <w:t>Ce qu’il prescrit</w:t>
            </w:r>
          </w:p>
        </w:tc>
        <w:tc>
          <w:tcPr>
            <w:tcW w:type="dxa" w:w="2608"/>
            <w:shd w:val="clear" w:fill="1F3B57"/>
          </w:tcPr>
          <w:p>
            <w:r/>
            <w:r>
              <w:rPr>
                <w:b/>
                <w:color w:val="FFFFFF"/>
                <w:sz w:val="17"/>
              </w:rPr>
              <w:t>Contribution de la plateforme</w:t>
            </w:r>
          </w:p>
        </w:tc>
        <w:tc>
          <w:tcPr>
            <w:tcW w:type="dxa" w:w="2438"/>
            <w:shd w:val="clear" w:fill="1F3B57"/>
          </w:tcPr>
          <w:p>
            <w:r/>
            <w:r>
              <w:rPr>
                <w:b/>
                <w:color w:val="FFFFFF"/>
                <w:sz w:val="17"/>
              </w:rPr>
              <w:t>Levier / interlocuteur</w:t>
            </w:r>
          </w:p>
        </w:tc>
      </w:tr>
      <w:tr>
        <w:tc>
          <w:tcPr>
            <w:tcW w:type="dxa" w:w="2041"/>
          </w:tcPr>
          <w:p>
            <w:pPr>
              <w:spacing w:after="40"/>
            </w:pPr>
            <w:r/>
            <w:r>
              <w:rPr>
                <w:b w:val="0"/>
                <w:sz w:val="17"/>
              </w:rPr>
              <w:t>PPE 3 — décret n° 2026-76 du 12 février 2026</w:t>
            </w:r>
          </w:p>
        </w:tc>
        <w:tc>
          <w:tcPr>
            <w:tcW w:type="dxa" w:w="2268"/>
          </w:tcPr>
          <w:p>
            <w:pPr>
              <w:spacing w:after="40"/>
            </w:pPr>
            <w:r/>
            <w:r>
              <w:rPr>
                <w:b w:val="0"/>
                <w:sz w:val="17"/>
              </w:rPr>
              <w:t>60 % d’énergie décarbonée en 2030 ; ≈ 297 TWh de chaleur renouvelable en 2030</w:t>
            </w:r>
          </w:p>
        </w:tc>
        <w:tc>
          <w:tcPr>
            <w:tcW w:type="dxa" w:w="2608"/>
          </w:tcPr>
          <w:p>
            <w:pPr>
              <w:spacing w:after="40"/>
            </w:pPr>
            <w:r/>
            <w:r>
              <w:rPr>
                <w:b w:val="0"/>
                <w:sz w:val="17"/>
              </w:rPr>
              <w:t>312 000 t/an de granulés certifiés, soit ≈ 1 500 GWh PCI d’énergie renouvelable mobilisable</w:t>
            </w:r>
          </w:p>
        </w:tc>
        <w:tc>
          <w:tcPr>
            <w:tcW w:type="dxa" w:w="2438"/>
          </w:tcPr>
          <w:p>
            <w:pPr>
              <w:spacing w:after="40"/>
            </w:pPr>
            <w:r/>
            <w:r>
              <w:rPr>
                <w:b w:val="0"/>
                <w:sz w:val="17"/>
              </w:rPr>
              <w:t>DGEC ; préfets de région ; COP régionales</w:t>
            </w:r>
          </w:p>
        </w:tc>
      </w:tr>
      <w:tr>
        <w:tc>
          <w:tcPr>
            <w:tcW w:type="dxa" w:w="2041"/>
          </w:tcPr>
          <w:p>
            <w:pPr>
              <w:spacing w:after="40"/>
            </w:pPr>
            <w:r/>
            <w:r>
              <w:rPr>
                <w:b w:val="0"/>
                <w:sz w:val="17"/>
              </w:rPr>
              <w:t>SNBC — neutralité 2050</w:t>
            </w:r>
          </w:p>
        </w:tc>
        <w:tc>
          <w:tcPr>
            <w:tcW w:type="dxa" w:w="2268"/>
          </w:tcPr>
          <w:p>
            <w:pPr>
              <w:spacing w:after="40"/>
            </w:pPr>
            <w:r/>
            <w:r>
              <w:rPr>
                <w:b w:val="0"/>
                <w:sz w:val="17"/>
              </w:rPr>
              <w:t>Décarbonation du bâtiment et de l’industrie</w:t>
            </w:r>
          </w:p>
        </w:tc>
        <w:tc>
          <w:tcPr>
            <w:tcW w:type="dxa" w:w="2608"/>
          </w:tcPr>
          <w:p>
            <w:pPr>
              <w:spacing w:after="40"/>
            </w:pPr>
            <w:r/>
            <w:r>
              <w:rPr>
                <w:b w:val="0"/>
                <w:sz w:val="17"/>
              </w:rPr>
              <w:t>≈ 340 000 t CO₂ évitées par an (référence gaz)</w:t>
            </w:r>
          </w:p>
        </w:tc>
        <w:tc>
          <w:tcPr>
            <w:tcW w:type="dxa" w:w="2438"/>
          </w:tcPr>
          <w:p>
            <w:pPr>
              <w:spacing w:after="40"/>
            </w:pPr>
            <w:r/>
            <w:r>
              <w:rPr>
                <w:b w:val="0"/>
                <w:sz w:val="17"/>
              </w:rPr>
              <w:t>DREAL ; ADEME</w:t>
            </w:r>
          </w:p>
        </w:tc>
      </w:tr>
      <w:tr>
        <w:tc>
          <w:tcPr>
            <w:tcW w:type="dxa" w:w="2041"/>
          </w:tcPr>
          <w:p>
            <w:pPr>
              <w:spacing w:after="40"/>
            </w:pPr>
            <w:r/>
            <w:r>
              <w:rPr>
                <w:b w:val="0"/>
                <w:sz w:val="17"/>
              </w:rPr>
              <w:t>Directive RED III</w:t>
            </w:r>
          </w:p>
        </w:tc>
        <w:tc>
          <w:tcPr>
            <w:tcW w:type="dxa" w:w="2268"/>
          </w:tcPr>
          <w:p>
            <w:pPr>
              <w:spacing w:after="40"/>
            </w:pPr>
            <w:r/>
            <w:r>
              <w:rPr>
                <w:b w:val="0"/>
                <w:sz w:val="17"/>
              </w:rPr>
              <w:t>Critères de durabilité renforcés ; usage en cascade ; transposition en cours</w:t>
            </w:r>
          </w:p>
        </w:tc>
        <w:tc>
          <w:tcPr>
            <w:tcW w:type="dxa" w:w="2608"/>
          </w:tcPr>
          <w:p>
            <w:pPr>
              <w:spacing w:after="40"/>
            </w:pPr>
            <w:r/>
            <w:r>
              <w:rPr>
                <w:b w:val="0"/>
                <w:sz w:val="17"/>
              </w:rPr>
              <w:t>Approvisionnement PEFC/FSC, sans coupes dédiées, rayon de 150 km</w:t>
            </w:r>
          </w:p>
        </w:tc>
        <w:tc>
          <w:tcPr>
            <w:tcW w:type="dxa" w:w="2438"/>
          </w:tcPr>
          <w:p>
            <w:pPr>
              <w:spacing w:after="40"/>
            </w:pPr>
            <w:r/>
            <w:r>
              <w:rPr>
                <w:b w:val="0"/>
                <w:sz w:val="17"/>
              </w:rPr>
              <w:t>DGEC ; organismes certificateurs</w:t>
            </w:r>
          </w:p>
        </w:tc>
      </w:tr>
      <w:tr>
        <w:tc>
          <w:tcPr>
            <w:tcW w:type="dxa" w:w="2041"/>
          </w:tcPr>
          <w:p>
            <w:pPr>
              <w:spacing w:after="40"/>
            </w:pPr>
            <w:r/>
            <w:r>
              <w:rPr>
                <w:b w:val="0"/>
                <w:sz w:val="17"/>
              </w:rPr>
              <w:t>Loi Climat et Résilience — trajectoire ZAN</w:t>
            </w:r>
          </w:p>
        </w:tc>
        <w:tc>
          <w:tcPr>
            <w:tcW w:type="dxa" w:w="2268"/>
          </w:tcPr>
          <w:p>
            <w:pPr>
              <w:spacing w:after="40"/>
            </w:pPr>
            <w:r/>
            <w:r>
              <w:rPr>
                <w:b w:val="0"/>
                <w:sz w:val="17"/>
              </w:rPr>
              <w:t>Réduction du rythme d’artificialisation</w:t>
            </w:r>
          </w:p>
        </w:tc>
        <w:tc>
          <w:tcPr>
            <w:tcW w:type="dxa" w:w="2608"/>
          </w:tcPr>
          <w:p>
            <w:pPr>
              <w:spacing w:after="40"/>
            </w:pPr>
            <w:r/>
            <w:r>
              <w:rPr>
                <w:b w:val="0"/>
                <w:sz w:val="17"/>
              </w:rPr>
              <w:t>Zéro consommation d’ENAF sur les trois sites</w:t>
            </w:r>
          </w:p>
        </w:tc>
        <w:tc>
          <w:tcPr>
            <w:tcW w:type="dxa" w:w="2438"/>
          </w:tcPr>
          <w:p>
            <w:pPr>
              <w:spacing w:after="40"/>
            </w:pPr>
            <w:r/>
            <w:r>
              <w:rPr>
                <w:b w:val="0"/>
                <w:sz w:val="17"/>
              </w:rPr>
              <w:t>DDT ; DREAL ; autorité SCoT</w:t>
            </w:r>
          </w:p>
        </w:tc>
      </w:tr>
      <w:tr>
        <w:tc>
          <w:tcPr>
            <w:tcW w:type="dxa" w:w="2041"/>
          </w:tcPr>
          <w:p>
            <w:pPr>
              <w:spacing w:after="40"/>
            </w:pPr>
            <w:r/>
            <w:r>
              <w:rPr>
                <w:b w:val="0"/>
                <w:sz w:val="17"/>
              </w:rPr>
              <w:t>Fonds chaleur / BCIAT / BCIB</w:t>
            </w:r>
          </w:p>
        </w:tc>
        <w:tc>
          <w:tcPr>
            <w:tcW w:type="dxa" w:w="2268"/>
          </w:tcPr>
          <w:p>
            <w:pPr>
              <w:spacing w:after="40"/>
            </w:pPr>
            <w:r/>
            <w:r>
              <w:rPr>
                <w:b w:val="0"/>
                <w:sz w:val="17"/>
              </w:rPr>
              <w:t>Soutien à la chaleur renouvelable</w:t>
            </w:r>
          </w:p>
        </w:tc>
        <w:tc>
          <w:tcPr>
            <w:tcW w:type="dxa" w:w="2608"/>
          </w:tcPr>
          <w:p>
            <w:pPr>
              <w:spacing w:after="40"/>
            </w:pPr>
            <w:r/>
            <w:r>
              <w:rPr>
                <w:b w:val="0"/>
                <w:sz w:val="17"/>
              </w:rPr>
              <w:t>Chaufferies de séchage des trois sites</w:t>
            </w:r>
          </w:p>
        </w:tc>
        <w:tc>
          <w:tcPr>
            <w:tcW w:type="dxa" w:w="2438"/>
          </w:tcPr>
          <w:p>
            <w:pPr>
              <w:spacing w:after="40"/>
            </w:pPr>
            <w:r/>
            <w:r>
              <w:rPr>
                <w:b w:val="0"/>
                <w:sz w:val="17"/>
              </w:rPr>
              <w:t>ADEME — direction régionale ; Région Grand Est par délégation</w:t>
            </w:r>
          </w:p>
        </w:tc>
      </w:tr>
      <w:tr>
        <w:tc>
          <w:tcPr>
            <w:tcW w:type="dxa" w:w="2041"/>
          </w:tcPr>
          <w:p>
            <w:pPr>
              <w:spacing w:after="40"/>
            </w:pPr>
            <w:r/>
            <w:r>
              <w:rPr>
                <w:b w:val="0"/>
                <w:sz w:val="17"/>
              </w:rPr>
              <w:t>Fonds vert — recyclage foncier</w:t>
            </w:r>
          </w:p>
        </w:tc>
        <w:tc>
          <w:tcPr>
            <w:tcW w:type="dxa" w:w="2268"/>
          </w:tcPr>
          <w:p>
            <w:pPr>
              <w:spacing w:after="40"/>
            </w:pPr>
            <w:r/>
            <w:r>
              <w:rPr>
                <w:b w:val="0"/>
                <w:sz w:val="17"/>
              </w:rPr>
              <w:t>Recyclage des friches</w:t>
            </w:r>
          </w:p>
        </w:tc>
        <w:tc>
          <w:tcPr>
            <w:tcW w:type="dxa" w:w="2608"/>
          </w:tcPr>
          <w:p>
            <w:pPr>
              <w:spacing w:after="40"/>
            </w:pPr>
            <w:r/>
            <w:r>
              <w:rPr>
                <w:b w:val="0"/>
                <w:sz w:val="17"/>
              </w:rPr>
              <w:t>Hirson et Écommoy</w:t>
            </w:r>
          </w:p>
        </w:tc>
        <w:tc>
          <w:tcPr>
            <w:tcW w:type="dxa" w:w="2438"/>
          </w:tcPr>
          <w:p>
            <w:pPr>
              <w:spacing w:after="40"/>
            </w:pPr>
            <w:r/>
            <w:r>
              <w:rPr>
                <w:b w:val="0"/>
                <w:sz w:val="17"/>
              </w:rPr>
              <w:t>Préfecture de département ; DDT</w:t>
            </w:r>
          </w:p>
        </w:tc>
      </w:tr>
      <w:tr>
        <w:tc>
          <w:tcPr>
            <w:tcW w:type="dxa" w:w="2041"/>
          </w:tcPr>
          <w:p>
            <w:pPr>
              <w:spacing w:after="40"/>
            </w:pPr>
            <w:r/>
            <w:r>
              <w:rPr>
                <w:b w:val="0"/>
                <w:sz w:val="17"/>
              </w:rPr>
              <w:t>Territoires d’industrie 2023-2027</w:t>
            </w:r>
          </w:p>
        </w:tc>
        <w:tc>
          <w:tcPr>
            <w:tcW w:type="dxa" w:w="2268"/>
          </w:tcPr>
          <w:p>
            <w:pPr>
              <w:spacing w:after="40"/>
            </w:pPr>
            <w:r/>
            <w:r>
              <w:rPr>
                <w:b w:val="0"/>
                <w:sz w:val="17"/>
              </w:rPr>
              <w:t>Réindustrialisation des territoires fragilisés</w:t>
            </w:r>
          </w:p>
        </w:tc>
        <w:tc>
          <w:tcPr>
            <w:tcW w:type="dxa" w:w="2608"/>
          </w:tcPr>
          <w:p>
            <w:pPr>
              <w:spacing w:after="40"/>
            </w:pPr>
            <w:r/>
            <w:r>
              <w:rPr>
                <w:b w:val="0"/>
                <w:sz w:val="17"/>
              </w:rPr>
              <w:t>Trois implantations industrielles en territoire fragile</w:t>
            </w:r>
          </w:p>
        </w:tc>
        <w:tc>
          <w:tcPr>
            <w:tcW w:type="dxa" w:w="2438"/>
          </w:tcPr>
          <w:p>
            <w:pPr>
              <w:spacing w:after="40"/>
            </w:pPr>
            <w:r/>
            <w:r>
              <w:rPr>
                <w:b w:val="0"/>
                <w:sz w:val="17"/>
              </w:rPr>
              <w:t>Binôme élu-industriel ; DGE ; Région</w:t>
            </w:r>
          </w:p>
        </w:tc>
      </w:tr>
      <w:tr>
        <w:tc>
          <w:tcPr>
            <w:tcW w:type="dxa" w:w="2041"/>
          </w:tcPr>
          <w:p>
            <w:pPr>
              <w:spacing w:after="40"/>
            </w:pPr>
            <w:r/>
            <w:r>
              <w:rPr>
                <w:b w:val="0"/>
                <w:sz w:val="17"/>
              </w:rPr>
              <w:t>France Ruralités Revitalisation</w:t>
            </w:r>
          </w:p>
        </w:tc>
        <w:tc>
          <w:tcPr>
            <w:tcW w:type="dxa" w:w="2268"/>
          </w:tcPr>
          <w:p>
            <w:pPr>
              <w:spacing w:after="40"/>
            </w:pPr>
            <w:r/>
            <w:r>
              <w:rPr>
                <w:b w:val="0"/>
                <w:sz w:val="17"/>
              </w:rPr>
              <w:t>Exonérations fiscales et sociales en zone rurale fragile</w:t>
            </w:r>
          </w:p>
        </w:tc>
        <w:tc>
          <w:tcPr>
            <w:tcW w:type="dxa" w:w="2608"/>
          </w:tcPr>
          <w:p>
            <w:pPr>
              <w:spacing w:after="40"/>
            </w:pPr>
            <w:r/>
            <w:r>
              <w:rPr>
                <w:b w:val="0"/>
                <w:sz w:val="17"/>
              </w:rPr>
              <w:t>Écommoy classée FRR ; Damblain en zonage rural ; Hirson à confirmer</w:t>
            </w:r>
          </w:p>
        </w:tc>
        <w:tc>
          <w:tcPr>
            <w:tcW w:type="dxa" w:w="2438"/>
          </w:tcPr>
          <w:p>
            <w:pPr>
              <w:spacing w:after="40"/>
            </w:pPr>
            <w:r/>
            <w:r>
              <w:rPr>
                <w:b w:val="0"/>
                <w:sz w:val="17"/>
              </w:rPr>
              <w:t>DDFiP ; URSSAF ; préfecture</w:t>
            </w:r>
          </w:p>
        </w:tc>
      </w:tr>
    </w:tbl>
    <w:p>
      <w:pPr>
        <w:spacing w:after="80"/>
      </w:pPr>
    </w:p>
    <w:p>
      <w:pPr>
        <w:keepNext/>
        <w:spacing w:before="240" w:after="80"/>
      </w:pPr>
      <w:r>
        <w:rPr>
          <w:b/>
          <w:color w:val="1F3B57"/>
          <w:sz w:val="24"/>
        </w:rPr>
        <w:t>3.3 Échelon 2 — Région : la grille comparée des trois régions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fill="1F3B57"/>
          </w:tcPr>
          <w:p>
            <w:r/>
            <w:r>
              <w:rPr>
                <w:b/>
                <w:color w:val="FFFFFF"/>
                <w:sz w:val="16"/>
              </w:rPr>
              <w:t>Registre</w:t>
            </w:r>
          </w:p>
        </w:tc>
        <w:tc>
          <w:tcPr>
            <w:tcW w:type="dxa" w:w="2721"/>
            <w:shd w:val="clear" w:fill="1F3B57"/>
          </w:tcPr>
          <w:p>
            <w:r/>
            <w:r>
              <w:rPr>
                <w:b/>
                <w:color w:val="FFFFFF"/>
                <w:sz w:val="16"/>
              </w:rPr>
              <w:t>GRAND EST (Damblain)</w:t>
            </w:r>
          </w:p>
        </w:tc>
        <w:tc>
          <w:tcPr>
            <w:tcW w:type="dxa" w:w="2721"/>
            <w:shd w:val="clear" w:fill="1F3B57"/>
          </w:tcPr>
          <w:p>
            <w:r/>
            <w:r>
              <w:rPr>
                <w:b/>
                <w:color w:val="FFFFFF"/>
                <w:sz w:val="16"/>
              </w:rPr>
              <w:t>HAUTS-DE-FRANCE (Hirson)</w:t>
            </w:r>
          </w:p>
        </w:tc>
        <w:tc>
          <w:tcPr>
            <w:tcW w:type="dxa" w:w="2721"/>
            <w:shd w:val="clear" w:fill="1F3B57"/>
          </w:tcPr>
          <w:p>
            <w:r/>
            <w:r>
              <w:rPr>
                <w:b/>
                <w:color w:val="FFFFFF"/>
                <w:sz w:val="16"/>
              </w:rPr>
              <w:t>PAYS DE LA LOIRE (Écommoy)</w:t>
            </w:r>
          </w:p>
        </w:tc>
      </w:tr>
      <w:tr>
        <w:tc>
          <w:tcPr>
            <w:tcW w:type="dxa" w:w="1474"/>
          </w:tcPr>
          <w:p>
            <w:pPr>
              <w:spacing w:after="40"/>
            </w:pPr>
            <w:r/>
            <w:r>
              <w:rPr>
                <w:b w:val="0"/>
                <w:sz w:val="16"/>
              </w:rPr>
              <w:t>SRADDET</w:t>
            </w:r>
          </w:p>
        </w:tc>
        <w:tc>
          <w:tcPr>
            <w:tcW w:type="dxa" w:w="2721"/>
          </w:tcPr>
          <w:p>
            <w:pPr>
              <w:spacing w:after="40"/>
            </w:pPr>
            <w:r/>
            <w:r>
              <w:rPr>
                <w:b w:val="0"/>
                <w:sz w:val="16"/>
              </w:rPr>
              <w:t>Adopté fin 2019 ; ambition « région à énergie positive et bas carbone » en 2050 ; réduction de 55 % de la consommation énergétique ; objectif 9 (valorisation multifonctionnelle du bois) et objectif 11 (économie du foncier)</w:t>
            </w:r>
          </w:p>
        </w:tc>
        <w:tc>
          <w:tcPr>
            <w:tcW w:type="dxa" w:w="2721"/>
          </w:tcPr>
          <w:p>
            <w:pPr>
              <w:spacing w:after="40"/>
            </w:pPr>
            <w:r/>
            <w:r>
              <w:rPr>
                <w:b w:val="0"/>
                <w:sz w:val="16"/>
              </w:rPr>
              <w:t>Adopté le 30 juin 2020, modifié le 21 novembre 2024 ; trajectoire de réduction de 54,47 % de la consommation d’ENAF sur 2021-2031 ; report modal fluvial et ferroviaire ; réindustrialisation ciblée</w:t>
            </w:r>
          </w:p>
        </w:tc>
        <w:tc>
          <w:tcPr>
            <w:tcW w:type="dxa" w:w="2721"/>
          </w:tcPr>
          <w:p>
            <w:pPr>
              <w:spacing w:after="40"/>
            </w:pPr>
            <w:r/>
            <w:r>
              <w:rPr>
                <w:b w:val="0"/>
                <w:sz w:val="16"/>
              </w:rPr>
              <w:t>Approuvé le 7 février 2022 ; 30 objectifs ; ambition « région à énergie positive » en 2050 ; biomasse-énergie explicitement citée dans le mix</w:t>
            </w:r>
          </w:p>
        </w:tc>
      </w:tr>
      <w:tr>
        <w:tc>
          <w:tcPr>
            <w:tcW w:type="dxa" w:w="1474"/>
          </w:tcPr>
          <w:p>
            <w:pPr>
              <w:spacing w:after="40"/>
            </w:pPr>
            <w:r/>
            <w:r>
              <w:rPr>
                <w:b w:val="0"/>
                <w:sz w:val="16"/>
              </w:rPr>
              <w:t>Schéma économique</w:t>
            </w:r>
          </w:p>
        </w:tc>
        <w:tc>
          <w:tcPr>
            <w:tcW w:type="dxa" w:w="2721"/>
          </w:tcPr>
          <w:p>
            <w:pPr>
              <w:spacing w:after="40"/>
            </w:pPr>
            <w:r/>
            <w:r>
              <w:rPr>
                <w:b w:val="0"/>
                <w:sz w:val="16"/>
              </w:rPr>
              <w:t>SRDEII — filières énergétiques d’avenir et réindustrialisation</w:t>
            </w:r>
          </w:p>
        </w:tc>
        <w:tc>
          <w:tcPr>
            <w:tcW w:type="dxa" w:w="2721"/>
          </w:tcPr>
          <w:p>
            <w:pPr>
              <w:spacing w:after="40"/>
            </w:pPr>
            <w:r/>
            <w:r>
              <w:rPr>
                <w:b w:val="0"/>
                <w:sz w:val="16"/>
              </w:rPr>
              <w:t>SRDEII 2022-2028, adopté le 8 décembre 2022 ; ambition thématique « Énergie » ; conventions Région-EPCI</w:t>
            </w:r>
          </w:p>
        </w:tc>
        <w:tc>
          <w:tcPr>
            <w:tcW w:type="dxa" w:w="2721"/>
          </w:tcPr>
          <w:p>
            <w:pPr>
              <w:spacing w:after="40"/>
            </w:pPr>
            <w:r/>
            <w:r>
              <w:rPr>
                <w:b w:val="0"/>
                <w:sz w:val="16"/>
              </w:rPr>
              <w:t>SRDEII 2022-2028 — priorité 11 : filières énergétiques d’avenir</w:t>
            </w:r>
          </w:p>
        </w:tc>
      </w:tr>
      <w:tr>
        <w:tc>
          <w:tcPr>
            <w:tcW w:type="dxa" w:w="1474"/>
          </w:tcPr>
          <w:p>
            <w:pPr>
              <w:spacing w:after="40"/>
            </w:pPr>
            <w:r/>
            <w:r>
              <w:rPr>
                <w:b w:val="0"/>
                <w:sz w:val="16"/>
              </w:rPr>
              <w:t>Biomasse et forêt-bois</w:t>
            </w:r>
          </w:p>
        </w:tc>
        <w:tc>
          <w:tcPr>
            <w:tcW w:type="dxa" w:w="2721"/>
          </w:tcPr>
          <w:p>
            <w:pPr>
              <w:spacing w:after="40"/>
            </w:pPr>
            <w:r/>
            <w:r>
              <w:rPr>
                <w:b w:val="0"/>
                <w:sz w:val="16"/>
              </w:rPr>
              <w:t>Schéma régional biomasse (diagnostic 2021) ; PRFB 2018-2027 porté avec Fibois Grand Est ; plus fort potentiel national d’augmentation de récolte (≈ 2,7 Mm³)</w:t>
            </w:r>
          </w:p>
        </w:tc>
        <w:tc>
          <w:tcPr>
            <w:tcW w:type="dxa" w:w="2721"/>
          </w:tcPr>
          <w:p>
            <w:pPr>
              <w:spacing w:after="40"/>
            </w:pPr>
            <w:r/>
            <w:r>
              <w:rPr>
                <w:b w:val="0"/>
                <w:sz w:val="16"/>
              </w:rPr>
              <w:t>Master Plan forêt-bois 2022-2027, priorité bois-énergie ; 35 scieries de première transformation ; ≈ 20 000 km de haies et gisement bocager largement sous-valorisé</w:t>
            </w:r>
          </w:p>
        </w:tc>
        <w:tc>
          <w:tcPr>
            <w:tcW w:type="dxa" w:w="2721"/>
          </w:tcPr>
          <w:p>
            <w:pPr>
              <w:spacing w:after="40"/>
            </w:pPr>
            <w:r/>
            <w:r>
              <w:rPr>
                <w:b w:val="0"/>
                <w:sz w:val="16"/>
              </w:rPr>
              <w:t>Schéma régional biomasse, arrêté du 14 décembre 2020 ; 540 chaufferies collectives et industrielles pour 1 522 GWh en 2024 ; Sarthe = taux de boisement le plus élevé de la région (19 %)</w:t>
            </w:r>
          </w:p>
        </w:tc>
      </w:tr>
      <w:tr>
        <w:tc>
          <w:tcPr>
            <w:tcW w:type="dxa" w:w="1474"/>
          </w:tcPr>
          <w:p>
            <w:pPr>
              <w:spacing w:after="40"/>
            </w:pPr>
            <w:r/>
            <w:r>
              <w:rPr>
                <w:b w:val="0"/>
                <w:sz w:val="16"/>
              </w:rPr>
              <w:t>Programme régional propre</w:t>
            </w:r>
          </w:p>
        </w:tc>
        <w:tc>
          <w:tcPr>
            <w:tcW w:type="dxa" w:w="2721"/>
          </w:tcPr>
          <w:p>
            <w:pPr>
              <w:spacing w:after="40"/>
            </w:pPr>
            <w:r/>
            <w:r>
              <w:rPr>
                <w:b/>
                <w:sz w:val="16"/>
              </w:rPr>
              <w:t>Climaxion</w:t>
            </w:r>
            <w:r>
              <w:rPr>
                <w:b w:val="0"/>
                <w:sz w:val="16"/>
              </w:rPr>
              <w:t xml:space="preserve"> (ADEME + Région) ; première convention de transition écologique de France en janvier 2023, portant délégation d’une partie du Fonds chaleur (≈ 24 M€ sur trois ans)</w:t>
            </w:r>
          </w:p>
        </w:tc>
        <w:tc>
          <w:tcPr>
            <w:tcW w:type="dxa" w:w="2721"/>
          </w:tcPr>
          <w:p>
            <w:pPr>
              <w:spacing w:after="40"/>
            </w:pPr>
            <w:r/>
            <w:r>
              <w:rPr>
                <w:b/>
                <w:sz w:val="16"/>
              </w:rPr>
              <w:t>Rev3</w:t>
            </w:r>
            <w:r>
              <w:rPr>
                <w:b w:val="0"/>
                <w:sz w:val="16"/>
              </w:rPr>
              <w:t xml:space="preserve"> — Révolution industrielle, numérique et énergétique ; référence structurante depuis 2015 ; a accompagné Picardie Granulation</w:t>
            </w:r>
          </w:p>
        </w:tc>
        <w:tc>
          <w:tcPr>
            <w:tcW w:type="dxa" w:w="2721"/>
          </w:tcPr>
          <w:p>
            <w:pPr>
              <w:spacing w:after="40"/>
            </w:pPr>
            <w:r/>
            <w:r>
              <w:rPr>
                <w:b w:val="0"/>
                <w:sz w:val="16"/>
              </w:rPr>
              <w:t>Réseau régional des énergies renouvelables avec l’ADEME ; campus régional des énergies durables créé en 2024</w:t>
            </w:r>
          </w:p>
        </w:tc>
      </w:tr>
      <w:tr>
        <w:tc>
          <w:tcPr>
            <w:tcW w:type="dxa" w:w="1474"/>
          </w:tcPr>
          <w:p>
            <w:pPr>
              <w:spacing w:after="40"/>
            </w:pPr>
            <w:r/>
            <w:r>
              <w:rPr>
                <w:b w:val="0"/>
                <w:sz w:val="16"/>
              </w:rPr>
              <w:t>FEDER 2021-2027</w:t>
            </w:r>
          </w:p>
        </w:tc>
        <w:tc>
          <w:tcPr>
            <w:tcW w:type="dxa" w:w="2721"/>
          </w:tcPr>
          <w:p>
            <w:pPr>
              <w:spacing w:after="40"/>
            </w:pPr>
            <w:r/>
            <w:r>
              <w:rPr>
                <w:b w:val="0"/>
                <w:sz w:val="16"/>
              </w:rPr>
              <w:t>Programme opérationnel Grand Est</w:t>
            </w:r>
          </w:p>
        </w:tc>
        <w:tc>
          <w:tcPr>
            <w:tcW w:type="dxa" w:w="2721"/>
          </w:tcPr>
          <w:p>
            <w:pPr>
              <w:spacing w:after="40"/>
            </w:pPr>
            <w:r/>
            <w:r>
              <w:rPr>
                <w:b w:val="0"/>
                <w:sz w:val="16"/>
              </w:rPr>
              <w:t>Programme régional Hauts-de-France — axes transition verte et compétitivité</w:t>
            </w:r>
          </w:p>
        </w:tc>
        <w:tc>
          <w:tcPr>
            <w:tcW w:type="dxa" w:w="2721"/>
          </w:tcPr>
          <w:p>
            <w:pPr>
              <w:spacing w:after="40"/>
            </w:pPr>
            <w:r/>
            <w:r>
              <w:rPr>
                <w:b w:val="0"/>
                <w:sz w:val="16"/>
              </w:rPr>
              <w:t>Programme opérationnel Pays de la Loire</w:t>
            </w:r>
          </w:p>
        </w:tc>
      </w:tr>
      <w:tr>
        <w:tc>
          <w:tcPr>
            <w:tcW w:type="dxa" w:w="1474"/>
          </w:tcPr>
          <w:p>
            <w:pPr>
              <w:spacing w:after="40"/>
            </w:pPr>
            <w:r/>
            <w:r>
              <w:rPr>
                <w:b w:val="0"/>
                <w:sz w:val="16"/>
              </w:rPr>
              <w:t>Contractualisation État-Région</w:t>
            </w:r>
          </w:p>
        </w:tc>
        <w:tc>
          <w:tcPr>
            <w:tcW w:type="dxa" w:w="2721"/>
          </w:tcPr>
          <w:p>
            <w:pPr>
              <w:spacing w:after="40"/>
            </w:pPr>
            <w:r/>
            <w:r>
              <w:rPr>
                <w:b w:val="0"/>
                <w:sz w:val="16"/>
              </w:rPr>
              <w:t>COP régionale — France Nation Verte</w:t>
            </w:r>
          </w:p>
        </w:tc>
        <w:tc>
          <w:tcPr>
            <w:tcW w:type="dxa" w:w="2721"/>
          </w:tcPr>
          <w:p>
            <w:pPr>
              <w:spacing w:after="40"/>
            </w:pPr>
            <w:r/>
            <w:r>
              <w:rPr>
                <w:b w:val="0"/>
                <w:sz w:val="16"/>
              </w:rPr>
              <w:t xml:space="preserve">COP régionale ; </w:t>
            </w:r>
            <w:r>
              <w:rPr>
                <w:b/>
                <w:sz w:val="16"/>
              </w:rPr>
              <w:t>Pacte pour la réussite de la Sambre-Avesnois-Thiérache, acte 3, signé le 2 septembre 2025 pour 2025-2029, 44 signataires</w:t>
            </w:r>
          </w:p>
        </w:tc>
        <w:tc>
          <w:tcPr>
            <w:tcW w:type="dxa" w:w="2721"/>
          </w:tcPr>
          <w:p>
            <w:pPr>
              <w:spacing w:after="40"/>
            </w:pPr>
            <w:r/>
            <w:r>
              <w:rPr>
                <w:b w:val="0"/>
                <w:sz w:val="16"/>
              </w:rPr>
              <w:t>COP régionale — France Nation Verte</w:t>
            </w:r>
          </w:p>
        </w:tc>
      </w:tr>
      <w:tr>
        <w:tc>
          <w:tcPr>
            <w:tcW w:type="dxa" w:w="1474"/>
          </w:tcPr>
          <w:p>
            <w:pPr>
              <w:spacing w:after="40"/>
            </w:pPr>
            <w:r/>
            <w:r>
              <w:rPr>
                <w:b w:val="0"/>
                <w:sz w:val="16"/>
              </w:rPr>
              <w:t>Interlocuteurs prioritaires</w:t>
            </w:r>
          </w:p>
        </w:tc>
        <w:tc>
          <w:tcPr>
            <w:tcW w:type="dxa" w:w="2721"/>
          </w:tcPr>
          <w:p>
            <w:pPr>
              <w:spacing w:after="40"/>
            </w:pPr>
            <w:r/>
            <w:r>
              <w:rPr>
                <w:b w:val="0"/>
                <w:sz w:val="16"/>
              </w:rPr>
              <w:t>Vice-présidence transition énergétique ; direction Climat-Énergie ; ADEME Grand Est ; Fibois Grand Est ; DREAL Grand Est</w:t>
            </w:r>
          </w:p>
        </w:tc>
        <w:tc>
          <w:tcPr>
            <w:tcW w:type="dxa" w:w="2721"/>
          </w:tcPr>
          <w:p>
            <w:pPr>
              <w:spacing w:after="40"/>
            </w:pPr>
            <w:r/>
            <w:r>
              <w:rPr>
                <w:b w:val="0"/>
                <w:sz w:val="16"/>
              </w:rPr>
              <w:t>Direction Rev3 ; direction Développement économique ; ADEME Hauts-de-France ; Fibois HdF ; SGAR ; DREAL HdF</w:t>
            </w:r>
          </w:p>
        </w:tc>
        <w:tc>
          <w:tcPr>
            <w:tcW w:type="dxa" w:w="2721"/>
          </w:tcPr>
          <w:p>
            <w:pPr>
              <w:spacing w:after="40"/>
            </w:pPr>
            <w:r/>
            <w:r>
              <w:rPr>
                <w:b w:val="0"/>
                <w:sz w:val="16"/>
              </w:rPr>
              <w:t>Direction Transition énergétique ; direction Entreprises ; ADEME Pays de la Loire ; Fibois Pays de la Loire ; DREAL PdL</w:t>
            </w:r>
          </w:p>
        </w:tc>
      </w:tr>
    </w:tbl>
    <w:p>
      <w:pPr>
        <w:spacing w:after="80"/>
      </w:pPr>
    </w:p>
    <w:p>
      <w:pPr>
        <w:keepNext/>
        <w:spacing w:before="240" w:after="80"/>
      </w:pPr>
      <w:r>
        <w:rPr>
          <w:b/>
          <w:color w:val="1F3B57"/>
          <w:sz w:val="24"/>
        </w:rPr>
        <w:t>3.4 Échelons 3, 4 et 5 — Département, EPCI et commune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fill="1F3B57"/>
          </w:tcPr>
          <w:p>
            <w:r/>
            <w:r>
              <w:rPr>
                <w:b/>
                <w:color w:val="FFFFFF"/>
                <w:sz w:val="16"/>
              </w:rPr>
              <w:t>Registre</w:t>
            </w:r>
          </w:p>
        </w:tc>
        <w:tc>
          <w:tcPr>
            <w:tcW w:type="dxa" w:w="2721"/>
            <w:shd w:val="clear" w:fill="1F3B57"/>
          </w:tcPr>
          <w:p>
            <w:r/>
            <w:r>
              <w:rPr>
                <w:b/>
                <w:color w:val="FFFFFF"/>
                <w:sz w:val="16"/>
              </w:rPr>
              <w:t>DAMBLAIN</w:t>
            </w:r>
          </w:p>
        </w:tc>
        <w:tc>
          <w:tcPr>
            <w:tcW w:type="dxa" w:w="2721"/>
            <w:shd w:val="clear" w:fill="1F3B57"/>
          </w:tcPr>
          <w:p>
            <w:r/>
            <w:r>
              <w:rPr>
                <w:b/>
                <w:color w:val="FFFFFF"/>
                <w:sz w:val="16"/>
              </w:rPr>
              <w:t>HIRSON</w:t>
            </w:r>
          </w:p>
        </w:tc>
        <w:tc>
          <w:tcPr>
            <w:tcW w:type="dxa" w:w="2721"/>
            <w:shd w:val="clear" w:fill="1F3B57"/>
          </w:tcPr>
          <w:p>
            <w:r/>
            <w:r>
              <w:rPr>
                <w:b/>
                <w:color w:val="FFFFFF"/>
                <w:sz w:val="16"/>
              </w:rPr>
              <w:t>ÉCOMMOY</w:t>
            </w:r>
          </w:p>
        </w:tc>
      </w:tr>
      <w:tr>
        <w:tc>
          <w:tcPr>
            <w:tcW w:type="dxa" w:w="1474"/>
          </w:tcPr>
          <w:p>
            <w:pPr>
              <w:spacing w:after="40"/>
            </w:pPr>
            <w:r/>
            <w:r>
              <w:rPr>
                <w:b w:val="0"/>
                <w:sz w:val="16"/>
              </w:rPr>
              <w:t>Département</w:t>
            </w:r>
          </w:p>
        </w:tc>
        <w:tc>
          <w:tcPr>
            <w:tcW w:type="dxa" w:w="2721"/>
          </w:tcPr>
          <w:p>
            <w:pPr>
              <w:spacing w:after="40"/>
            </w:pPr>
            <w:r/>
            <w:r>
              <w:rPr>
                <w:b/>
                <w:sz w:val="16"/>
              </w:rPr>
              <w:t>Vosges — acteur central</w:t>
            </w:r>
            <w:r>
              <w:rPr>
                <w:b w:val="0"/>
                <w:sz w:val="16"/>
              </w:rPr>
              <w:t xml:space="preserve"> : propriétaire et aménageur du site (302 ha acquis en 2005, 34 M€ d’accès autoroutier et d’embranchement ferroviaire, ZA ouverte en 2013)</w:t>
            </w:r>
          </w:p>
        </w:tc>
        <w:tc>
          <w:tcPr>
            <w:tcW w:type="dxa" w:w="2721"/>
          </w:tcPr>
          <w:p>
            <w:pPr>
              <w:spacing w:after="40"/>
            </w:pPr>
            <w:r/>
            <w:r>
              <w:rPr>
                <w:b/>
                <w:sz w:val="16"/>
              </w:rPr>
              <w:t>Aisne</w:t>
            </w:r>
            <w:r>
              <w:rPr>
                <w:b w:val="0"/>
                <w:sz w:val="16"/>
              </w:rPr>
              <w:t xml:space="preserve"> — signataire du Pacte SAT ; politiques de cohésion sociale et d’insertion dans un territoire à forte précarité</w:t>
            </w:r>
          </w:p>
        </w:tc>
        <w:tc>
          <w:tcPr>
            <w:tcW w:type="dxa" w:w="2721"/>
          </w:tcPr>
          <w:p>
            <w:pPr>
              <w:spacing w:after="40"/>
            </w:pPr>
            <w:r/>
            <w:r>
              <w:rPr>
                <w:b/>
                <w:sz w:val="16"/>
              </w:rPr>
              <w:t>Sarthe</w:t>
            </w:r>
            <w:r>
              <w:rPr>
                <w:b w:val="0"/>
                <w:sz w:val="16"/>
              </w:rPr>
              <w:t xml:space="preserve"> — politiques forestières et d’attractivité économique ; forêt domaniale de Bercé, labellisée Forêt d’Exception</w:t>
            </w:r>
          </w:p>
        </w:tc>
      </w:tr>
      <w:tr>
        <w:tc>
          <w:tcPr>
            <w:tcW w:type="dxa" w:w="1474"/>
          </w:tcPr>
          <w:p>
            <w:pPr>
              <w:spacing w:after="40"/>
            </w:pPr>
            <w:r/>
            <w:r>
              <w:rPr>
                <w:b w:val="0"/>
                <w:sz w:val="16"/>
              </w:rPr>
              <w:t>EPCI</w:t>
            </w:r>
          </w:p>
        </w:tc>
        <w:tc>
          <w:tcPr>
            <w:tcW w:type="dxa" w:w="2721"/>
          </w:tcPr>
          <w:p>
            <w:pPr>
              <w:spacing w:after="40"/>
            </w:pPr>
            <w:r/>
            <w:r>
              <w:rPr>
                <w:b w:val="0"/>
                <w:sz w:val="16"/>
              </w:rPr>
              <w:t>CC de l’Ouest Vosgien — PLUi encadrant l’accueil d’activités ; stratégie de développement économique ; territoire rural de 729 km²</w:t>
            </w:r>
          </w:p>
        </w:tc>
        <w:tc>
          <w:tcPr>
            <w:tcW w:type="dxa" w:w="2721"/>
          </w:tcPr>
          <w:p>
            <w:pPr>
              <w:spacing w:after="40"/>
            </w:pPr>
            <w:r/>
            <w:r>
              <w:rPr>
                <w:b w:val="0"/>
                <w:sz w:val="16"/>
              </w:rPr>
              <w:t>CC du Pays des Trois Rivières — 26 communes ; CRTE ; le maire d’Hirson préside également l’EPCI</w:t>
            </w:r>
          </w:p>
        </w:tc>
        <w:tc>
          <w:tcPr>
            <w:tcW w:type="dxa" w:w="2721"/>
          </w:tcPr>
          <w:p>
            <w:pPr>
              <w:spacing w:after="40"/>
            </w:pPr>
            <w:r/>
            <w:r>
              <w:rPr>
                <w:b w:val="0"/>
                <w:sz w:val="16"/>
              </w:rPr>
              <w:t>CC Orée de Bercé-Bélinois — PLUi ; CRTE ; convention-cadre Petites Villes de Demain valant ORT signée le 21 décembre 2022 (3 centralités, 30 actions)</w:t>
            </w:r>
          </w:p>
        </w:tc>
      </w:tr>
      <w:tr>
        <w:tc>
          <w:tcPr>
            <w:tcW w:type="dxa" w:w="1474"/>
          </w:tcPr>
          <w:p>
            <w:pPr>
              <w:spacing w:after="40"/>
            </w:pPr>
            <w:r/>
            <w:r>
              <w:rPr>
                <w:b w:val="0"/>
                <w:sz w:val="16"/>
              </w:rPr>
              <w:t>Supra-intercommunal</w:t>
            </w:r>
          </w:p>
        </w:tc>
        <w:tc>
          <w:tcPr>
            <w:tcW w:type="dxa" w:w="2721"/>
          </w:tcPr>
          <w:p>
            <w:pPr>
              <w:spacing w:after="40"/>
            </w:pPr>
            <w:r/>
            <w:r>
              <w:rPr>
                <w:b w:val="0"/>
                <w:sz w:val="16"/>
              </w:rPr>
              <w:t>Bassin de Neufchâteau ; massifs limitrophes Vosges / Haute-Marne / Meuse — cadre propice à une charte forestière de territoire</w:t>
            </w:r>
          </w:p>
        </w:tc>
        <w:tc>
          <w:tcPr>
            <w:tcW w:type="dxa" w:w="2721"/>
          </w:tcPr>
          <w:p>
            <w:pPr>
              <w:spacing w:after="40"/>
            </w:pPr>
            <w:r/>
            <w:r>
              <w:rPr>
                <w:b w:val="0"/>
                <w:sz w:val="16"/>
              </w:rPr>
              <w:t>SCoT de la Thiérache de l’Aisne ; PCAET ; espace transfrontalier franco-belge</w:t>
            </w:r>
          </w:p>
        </w:tc>
        <w:tc>
          <w:tcPr>
            <w:tcW w:type="dxa" w:w="2721"/>
          </w:tcPr>
          <w:p>
            <w:pPr>
              <w:spacing w:after="40"/>
            </w:pPr>
            <w:r/>
            <w:r>
              <w:rPr>
                <w:b w:val="0"/>
                <w:sz w:val="16"/>
              </w:rPr>
              <w:t>Pays du Mans — SCoT-AEC et PCAET ; opération Bimby conduite avec l’EPCI</w:t>
            </w:r>
          </w:p>
        </w:tc>
      </w:tr>
      <w:tr>
        <w:tc>
          <w:tcPr>
            <w:tcW w:type="dxa" w:w="1474"/>
          </w:tcPr>
          <w:p>
            <w:pPr>
              <w:spacing w:after="40"/>
            </w:pPr>
            <w:r/>
            <w:r>
              <w:rPr>
                <w:b w:val="0"/>
                <w:sz w:val="16"/>
              </w:rPr>
              <w:t>Dispositifs de revitalisation</w:t>
            </w:r>
          </w:p>
        </w:tc>
        <w:tc>
          <w:tcPr>
            <w:tcW w:type="dxa" w:w="2721"/>
          </w:tcPr>
          <w:p>
            <w:pPr>
              <w:spacing w:after="40"/>
            </w:pPr>
            <w:r/>
            <w:r>
              <w:rPr>
                <w:b w:val="0"/>
                <w:sz w:val="16"/>
              </w:rPr>
              <w:t>Zonage rural France Ruralités Revitalisation</w:t>
            </w:r>
          </w:p>
        </w:tc>
        <w:tc>
          <w:tcPr>
            <w:tcW w:type="dxa" w:w="2721"/>
          </w:tcPr>
          <w:p>
            <w:pPr>
              <w:spacing w:after="40"/>
            </w:pPr>
            <w:r/>
            <w:r>
              <w:rPr>
                <w:b/>
                <w:sz w:val="16"/>
              </w:rPr>
              <w:t>Petite Ville de Demain</w:t>
            </w:r>
            <w:r>
              <w:rPr>
                <w:b w:val="0"/>
                <w:sz w:val="16"/>
              </w:rPr>
              <w:t xml:space="preserve"> ; contrat de ville 2024-2030 ; deux quartiers prioritaires (Champ Roland–Bords de l’Oise ; Gare et Verrière)</w:t>
            </w:r>
          </w:p>
        </w:tc>
        <w:tc>
          <w:tcPr>
            <w:tcW w:type="dxa" w:w="2721"/>
          </w:tcPr>
          <w:p>
            <w:pPr>
              <w:spacing w:after="40"/>
            </w:pPr>
            <w:r/>
            <w:r>
              <w:rPr>
                <w:b/>
                <w:sz w:val="16"/>
              </w:rPr>
              <w:t>Petites Villes de Demain</w:t>
            </w:r>
            <w:r>
              <w:rPr>
                <w:b w:val="0"/>
                <w:sz w:val="16"/>
              </w:rPr>
              <w:t xml:space="preserve"> depuis 2021 ; ORT du 21 décembre 2022 ; commune classée </w:t>
            </w:r>
            <w:r>
              <w:rPr>
                <w:b/>
                <w:sz w:val="16"/>
              </w:rPr>
              <w:t>FRR</w:t>
            </w:r>
          </w:p>
        </w:tc>
      </w:tr>
      <w:tr>
        <w:tc>
          <w:tcPr>
            <w:tcW w:type="dxa" w:w="1474"/>
          </w:tcPr>
          <w:p>
            <w:pPr>
              <w:spacing w:after="40"/>
            </w:pPr>
            <w:r/>
            <w:r>
              <w:rPr>
                <w:b w:val="0"/>
                <w:sz w:val="16"/>
              </w:rPr>
              <w:t>Commune</w:t>
            </w:r>
          </w:p>
        </w:tc>
        <w:tc>
          <w:tcPr>
            <w:tcW w:type="dxa" w:w="2721"/>
          </w:tcPr>
          <w:p>
            <w:pPr>
              <w:spacing w:after="40"/>
            </w:pPr>
            <w:r/>
            <w:r>
              <w:rPr>
                <w:b w:val="0"/>
                <w:sz w:val="16"/>
              </w:rPr>
              <w:t>Soutien public exprimé par le maire ; absence d’opposition organisée ; voisinage industriel déjà orienté bois et biomasse</w:t>
            </w:r>
          </w:p>
        </w:tc>
        <w:tc>
          <w:tcPr>
            <w:tcW w:type="dxa" w:w="2721"/>
          </w:tcPr>
          <w:p>
            <w:pPr>
              <w:spacing w:after="40"/>
            </w:pPr>
            <w:r/>
            <w:r>
              <w:rPr>
                <w:b w:val="0"/>
                <w:sz w:val="16"/>
              </w:rPr>
              <w:t>Le conseil municipal a délibéré la cession du foncier au SPV (1,12 M€ HT) — la commune est à la fois vendeur et autorité de soutien</w:t>
            </w:r>
          </w:p>
        </w:tc>
        <w:tc>
          <w:tcPr>
            <w:tcW w:type="dxa" w:w="2721"/>
          </w:tcPr>
          <w:p>
            <w:pPr>
              <w:spacing w:after="40"/>
            </w:pPr>
            <w:r/>
            <w:r>
              <w:rPr>
                <w:b w:val="0"/>
                <w:sz w:val="16"/>
              </w:rPr>
              <w:t>Certificat de non-retrait et de non-recours délivré le 16 septembre 2025 ; transfert du permis signé le 8 décembre 2025 ; aucune opposition locale</w:t>
            </w:r>
          </w:p>
        </w:tc>
      </w:tr>
      <w:tr>
        <w:tc>
          <w:tcPr>
            <w:tcW w:type="dxa" w:w="1474"/>
          </w:tcPr>
          <w:p>
            <w:pPr>
              <w:spacing w:after="40"/>
            </w:pPr>
            <w:r/>
            <w:r>
              <w:rPr>
                <w:b w:val="0"/>
                <w:sz w:val="16"/>
              </w:rPr>
              <w:t>Point de vigilance local</w:t>
            </w:r>
          </w:p>
        </w:tc>
        <w:tc>
          <w:tcPr>
            <w:tcW w:type="dxa" w:w="2721"/>
          </w:tcPr>
          <w:p>
            <w:pPr>
              <w:spacing w:after="40"/>
            </w:pPr>
            <w:r/>
            <w:r>
              <w:rPr>
                <w:b w:val="0"/>
                <w:sz w:val="16"/>
              </w:rPr>
              <w:t>Aucun identifié à ce stade — surveiller le raccordement électrique, dernière étape avant closing</w:t>
            </w:r>
          </w:p>
        </w:tc>
        <w:tc>
          <w:tcPr>
            <w:tcW w:type="dxa" w:w="2721"/>
          </w:tcPr>
          <w:p>
            <w:pPr>
              <w:spacing w:after="40"/>
            </w:pPr>
            <w:r/>
            <w:r>
              <w:rPr>
                <w:b w:val="0"/>
                <w:sz w:val="16"/>
              </w:rPr>
              <w:t>Gabarit des silos et de la cheminée au regard du PLU : une modification simplifiée peut être nécessaire (3 à 6 mois)</w:t>
            </w:r>
          </w:p>
        </w:tc>
        <w:tc>
          <w:tcPr>
            <w:tcW w:type="dxa" w:w="2721"/>
          </w:tcPr>
          <w:p>
            <w:pPr>
              <w:spacing w:after="40"/>
            </w:pPr>
            <w:r/>
            <w:r>
              <w:rPr>
                <w:b w:val="0"/>
                <w:sz w:val="16"/>
              </w:rPr>
              <w:t>Cohabitation avec les occupants du site (JB Sol Transports, Métamex) sur les parcelles voisines</w:t>
            </w:r>
          </w:p>
        </w:tc>
      </w:tr>
    </w:tbl>
    <w:p>
      <w:pPr>
        <w:spacing w:after="80"/>
      </w:pPr>
    </w:p>
    <w:p>
      <w:r>
        <w:br w:type="page"/>
      </w:r>
    </w:p>
    <w:p>
      <w:pPr>
        <w:keepNext/>
        <w:spacing w:before="360" w:after="160"/>
        <w:pBdr>
          <w:bottom w:val="single" w:sz="8" w:space="2" w:color="1F3B57"/>
        </w:pBdr>
      </w:pPr>
      <w:r>
        <w:rPr>
          <w:b/>
          <w:color w:val="1F3B57"/>
          <w:sz w:val="28"/>
        </w:rPr>
        <w:t>PARTIE IV — DAMBLAIN (VOSGES) : JEFERCO PELLETS GRAND EST</w:t>
      </w:r>
    </w:p>
    <w:p>
      <w:pPr>
        <w:jc w:val="both"/>
      </w:pPr>
      <w:r>
        <w:rPr>
          <w:b/>
          <w:i/>
          <w:sz w:val="21"/>
        </w:rPr>
        <w:t>Capacité retenue : 120 000 t/an.</w:t>
      </w:r>
      <w:r>
        <w:rPr>
          <w:b w:val="0"/>
          <w:i/>
          <w:sz w:val="21"/>
        </w:rPr>
        <w:t xml:space="preserve"> Ancienne base aérienne de l’OTAN reconvertie en zone d’activité Cap Vosges. Projet entièrement autorisé, purgé de recours, foncier sécurisé, embranché fer.</w:t>
      </w:r>
    </w:p>
    <w:p>
      <w:pPr>
        <w:keepNext/>
        <w:spacing w:before="240" w:after="80"/>
      </w:pPr>
      <w:r>
        <w:rPr>
          <w:b/>
          <w:color w:val="1F3B57"/>
          <w:sz w:val="24"/>
        </w:rPr>
        <w:t>4.1 Le diagnostic territorial en trois phrases</w:t>
      </w:r>
    </w:p>
    <w:p>
      <w:pPr>
        <w:jc w:val="both"/>
      </w:pPr>
      <w:r>
        <w:rPr>
          <w:b w:val="0"/>
          <w:i w:val="0"/>
          <w:sz w:val="21"/>
        </w:rPr>
        <w:t>Damblain est une commune rurale d’environ 250 habitants, qui a perdu près de la moitié de sa population depuis 1968, dans un EPCI rural de 70 communes et 24 512 habitants. Son territoire abrite pourtant un actif foncier et logistique sans commune mesure avec sa taille : 302 hectares d’ancienne emprise militaire, acquis par le Département en 2005, dotés d’un accès direct à l’A31 et d’un embranchement ferroviaire pour 34 millions d’euros d’argent public, ouverts comme zone d’activité en 2013. Le tout au cœur du premier département forestier du Grand Est — 294 000 hectares de forêt, 50 % de taux de boisement, environ 75 millions de mètres cubes de bois sur pied.</w:t>
      </w:r>
    </w:p>
    <w:p>
      <w:pPr>
        <w:jc w:val="both"/>
      </w:pPr>
      <w:r>
        <w:rPr>
          <w:b w:val="0"/>
          <w:i w:val="0"/>
          <w:sz w:val="21"/>
        </w:rPr>
        <w:t>L’asymétrie entre l’investissement public consenti et l’usage productif du site est le ressort central de l’argumentaire institutionnel sur Damblain. Ce n’est pas un projet qui demande à la collectivité de faire quelque chose de nouveau : c’est un projet qui donne enfin sa justification économique à ce que la collectivité a déjà fait.</w:t>
      </w:r>
    </w:p>
    <w:p>
      <w:pPr>
        <w:keepNext/>
        <w:spacing w:before="240" w:after="80"/>
      </w:pPr>
      <w:r>
        <w:rPr>
          <w:b/>
          <w:color w:val="1F3B57"/>
          <w:sz w:val="24"/>
        </w:rPr>
        <w:t>4.2 L’insertion dans les dynamiques régionales — Grand Est</w:t>
      </w:r>
    </w:p>
    <w:p>
      <w:pPr>
        <w:keepNext/>
        <w:spacing w:before="180" w:after="60"/>
      </w:pPr>
      <w:r>
        <w:rPr>
          <w:b/>
          <w:color w:val="2E6B3E"/>
          <w:sz w:val="21"/>
        </w:rPr>
        <w:t>Le SRADDET : trois objectifs servis simultanément</w:t>
      </w:r>
    </w:p>
    <w:p>
      <w:pPr>
        <w:jc w:val="both"/>
      </w:pPr>
      <w:r>
        <w:rPr>
          <w:b w:val="0"/>
          <w:i w:val="0"/>
          <w:sz w:val="21"/>
        </w:rPr>
        <w:t>Le SRADDET Grand Est, adopté fin 2019, fixe l’ambition d’une région à énergie positive et bas carbone à l’horizon 2050, reposant sur une réduction de 55 % de la consommation énergétique régionale et une augmentation substantielle de la production d’énergies renouvelables, dont le bois-énergie est la première composante. Le projet sert trois de ses objectifs sans ambiguïté :</w:t>
      </w:r>
    </w:p>
    <w:p>
      <w:pPr>
        <w:pStyle w:val="ListBullet"/>
        <w:spacing w:after="60"/>
        <w:ind w:left="340"/>
        <w:jc w:val="both"/>
      </w:pPr>
      <w:r>
        <w:rPr>
          <w:b/>
          <w:sz w:val="21"/>
        </w:rPr>
        <w:t>Transition énergétique et neutralité carbone</w:t>
      </w:r>
      <w:r>
        <w:rPr>
          <w:b w:val="0"/>
          <w:sz w:val="21"/>
        </w:rPr>
        <w:t xml:space="preserve"> : 120 000 tonnes de granulés certifiés par an produits à partir de biomasse régionale, soit de l’ordre de 576 GWh PCI d’énergie renouvelable et environ 131 000 tonnes de CO₂ évitées par an en substitution au gaz naturel.</w:t>
      </w:r>
    </w:p>
    <w:p>
      <w:pPr>
        <w:pStyle w:val="ListBullet"/>
        <w:spacing w:after="60"/>
        <w:ind w:left="340"/>
        <w:jc w:val="both"/>
      </w:pPr>
      <w:r>
        <w:rPr>
          <w:b/>
          <w:sz w:val="21"/>
        </w:rPr>
        <w:t>Objectif 9 — valorisation multifonctionnelle de la ressource bois</w:t>
      </w:r>
      <w:r>
        <w:rPr>
          <w:b w:val="0"/>
          <w:sz w:val="21"/>
        </w:rPr>
        <w:t xml:space="preserve"> : le projet crée un débouché industriel contractualisé pour les connexes de scierie, les houppiers, les plaquettes forestières, les bois d’éclaircie, les bois scolytés et les produits de coupes sanitaires, dans le respect de la hiérarchie des usages et selon une logique de valorisation en cascade — y compris en interne, puisque 30 % des écorces issues des bois ronds alimentent la chaudière de séchage.</w:t>
      </w:r>
    </w:p>
    <w:p>
      <w:pPr>
        <w:pStyle w:val="ListBullet"/>
        <w:spacing w:after="60"/>
        <w:ind w:left="340"/>
        <w:jc w:val="both"/>
      </w:pPr>
      <w:r>
        <w:rPr>
          <w:b/>
          <w:sz w:val="21"/>
        </w:rPr>
        <w:t>Objectif 11 — économie du foncier naturel, agricole et forestier</w:t>
      </w:r>
      <w:r>
        <w:rPr>
          <w:b w:val="0"/>
          <w:sz w:val="21"/>
        </w:rPr>
        <w:t xml:space="preserve"> : implantation sur une emprise déjà artificialisée et viabilisée, sans consommation d’ENAF. Projet ZAN par construction.</w:t>
      </w:r>
    </w:p>
    <w:p>
      <w:pPr>
        <w:keepNext/>
        <w:spacing w:before="180" w:after="60"/>
      </w:pPr>
      <w:r>
        <w:rPr>
          <w:b/>
          <w:color w:val="2E6B3E"/>
          <w:sz w:val="21"/>
        </w:rPr>
        <w:t>Climaxion et la délégation du Fonds chaleur : la spécificité décisive du Grand Est</w:t>
      </w:r>
    </w:p>
    <w:p>
      <w:pPr>
        <w:jc w:val="both"/>
      </w:pPr>
      <w:r>
        <w:rPr>
          <w:b w:val="0"/>
          <w:i w:val="0"/>
          <w:sz w:val="21"/>
        </w:rPr>
        <w:t xml:space="preserve">Le Grand Est présente une particularité institutionnelle qu’aucune autre région de la plateforme ne partage. Le programme Climaxion, conduit conjointement par l’ADEME et la Région, a pour mission explicite d’encourager le développement du bois-énergie et de la biomasse et de structurer les filières. Surtout, la signature en janvier 2023 de la première convention de transition écologique de France a confié à la Région une </w:t>
      </w:r>
      <w:r>
        <w:rPr>
          <w:b/>
          <w:i w:val="0"/>
          <w:sz w:val="21"/>
        </w:rPr>
        <w:t>délégation d’une partie du Fonds chaleur de l’ADEME</w:t>
      </w:r>
      <w:r>
        <w:rPr>
          <w:b w:val="0"/>
          <w:i w:val="0"/>
          <w:sz w:val="21"/>
        </w:rPr>
        <w:t>, de l’ordre de 24 millions d’euros sur trois ans.</w:t>
      </w:r>
    </w:p>
    <w:p>
      <w:pPr>
        <w:jc w:val="both"/>
      </w:pPr>
      <w:r>
        <w:rPr>
          <w:b w:val="0"/>
          <w:i w:val="0"/>
          <w:sz w:val="21"/>
        </w:rPr>
        <w:t xml:space="preserve">Conséquence opérationnelle : sur Damblain, la Région n’est pas seulement un partenaire politique et un cofinanceur régional, elle est </w:t>
      </w:r>
      <w:r>
        <w:rPr>
          <w:b/>
          <w:i w:val="0"/>
          <w:sz w:val="21"/>
        </w:rPr>
        <w:t>gestionnaire déléguée d’un instrument national</w:t>
      </w:r>
      <w:r>
        <w:rPr>
          <w:b w:val="0"/>
          <w:i w:val="0"/>
          <w:sz w:val="21"/>
        </w:rPr>
        <w:t>. Le circuit d’instruction est plus court et la relation avec la vice-présidence à la transition énergétique a une portée financière directe. C’est le premier interlocuteur à mobiliser, avant l’ADEME nationale.</w:t>
      </w:r>
    </w:p>
    <w:p>
      <w:pPr>
        <w:keepNext/>
        <w:spacing w:before="180" w:after="60"/>
      </w:pPr>
      <w:r>
        <w:rPr>
          <w:b/>
          <w:color w:val="2E6B3E"/>
          <w:sz w:val="21"/>
        </w:rPr>
        <w:t>Schéma régional biomasse, PRFB et disponibilité de la ressource</w:t>
      </w:r>
    </w:p>
    <w:p>
      <w:pPr>
        <w:jc w:val="both"/>
      </w:pPr>
      <w:r>
        <w:rPr>
          <w:b w:val="0"/>
          <w:i w:val="0"/>
          <w:sz w:val="21"/>
        </w:rPr>
        <w:t>Le schéma régional biomasse du Grand Est, dont le diagnostic a été adopté en 2021, s’articule avec le programme régional de la forêt et du bois 2018-2027 porté avec l’interprofession Fibois Grand Est. Le Grand Est est identifié au plan national comme la région offrant le plus fort potentiel d’augmentation de la récolte, avec une disponibilité supplémentaire estimée à environ 2,7 millions de mètres cubes, portant pour l’essentiel sur la forêt privée.</w:t>
      </w:r>
    </w:p>
    <w:p>
      <w:pPr>
        <w:jc w:val="both"/>
      </w:pPr>
      <w:r>
        <w:rPr>
          <w:b w:val="0"/>
          <w:i w:val="0"/>
          <w:sz w:val="21"/>
        </w:rPr>
        <w:t xml:space="preserve">C’est l’argument le plus structurant à porter auprès de la Région et de Fibois : cette disponibilité est </w:t>
      </w:r>
      <w:r>
        <w:rPr>
          <w:b/>
          <w:i w:val="0"/>
          <w:sz w:val="21"/>
        </w:rPr>
        <w:t>théorique</w:t>
      </w:r>
      <w:r>
        <w:rPr>
          <w:b w:val="0"/>
          <w:i w:val="0"/>
          <w:sz w:val="21"/>
        </w:rPr>
        <w:t xml:space="preserve"> tant qu’aucun débouché industriel contractualisé n’existe à l’échelle. Une unité de 120 000 tonnes par an, avec un besoin d’environ 204 000 tonnes de bois entrant, est précisément l’instrument qui transforme un potentiel de mobilisation en économie réelle pour les propriétaires et les exploitants forestiers vosgiens.</w:t>
      </w:r>
    </w:p>
    <w:p>
      <w:pPr>
        <w:keepNext/>
        <w:spacing w:before="180" w:after="60"/>
      </w:pPr>
      <w:r>
        <w:rPr>
          <w:b/>
          <w:color w:val="2E6B3E"/>
          <w:sz w:val="21"/>
        </w:rPr>
        <w:t>SRDEII, appels à projets biomasse et COP régionale</w:t>
      </w:r>
    </w:p>
    <w:p>
      <w:pPr>
        <w:jc w:val="both"/>
      </w:pPr>
      <w:r>
        <w:rPr>
          <w:b w:val="0"/>
          <w:i w:val="0"/>
          <w:sz w:val="21"/>
        </w:rPr>
        <w:t>Le SRDEII place les filières énergétiques d’avenir et la réindustrialisation au cœur de la stratégie économique régionale : un investissement industriel de l’ordre de 67 millions d’euros, ancré territorialement, non délocalisable et relevant de la transition énergétique, relève directement de ses priorités. Au titre de la production thermique nécessaire au séchage, le projet relève du champ des appels à projets BCIAT et BCIB instruits par l’ADEME — avec, pour la campagne 2026, une réunion de pré-dépôt obligatoire à programmer au moins un mois avant l’échéance. Enfin, la COP régionale, dans le cadre de France Nation Verte, offre l’instance de contractualisation entre l’État, la Région et les acteurs territoriaux pour porter le projet comme référence de la stratégie bioénergie régionale.</w:t>
      </w:r>
    </w:p>
    <w:p>
      <w:pPr>
        <w:keepNext/>
        <w:spacing w:before="240" w:after="80"/>
      </w:pPr>
      <w:r>
        <w:rPr>
          <w:b/>
          <w:color w:val="1F3B57"/>
          <w:sz w:val="24"/>
        </w:rPr>
        <w:t>4.3 Département des Vosges : propriétaire, aménageur, garant</w:t>
      </w:r>
    </w:p>
    <w:p>
      <w:pPr>
        <w:jc w:val="both"/>
      </w:pPr>
      <w:r>
        <w:rPr>
          <w:b w:val="0"/>
          <w:i w:val="0"/>
          <w:sz w:val="21"/>
        </w:rPr>
        <w:t>Le Département occupe une position singulière et déterminante : il est à la fois propriétaire foncier d’origine, aménageur de la zone et garant de sa vocation économique. Il a acquis les 302 hectares en 2005 et engagé 34 millions d’euros pour les doter d’un accès autoroutier et d’un embranchement ferroviaire.</w:t>
      </w:r>
    </w:p>
    <w:p>
      <w:pPr>
        <w:jc w:val="both"/>
      </w:pPr>
      <w:r>
        <w:rPr>
          <w:b w:val="0"/>
          <w:i w:val="0"/>
          <w:sz w:val="21"/>
        </w:rPr>
        <w:t xml:space="preserve">Le message à lui adresser est un message de </w:t>
      </w:r>
      <w:r>
        <w:rPr>
          <w:b/>
          <w:i w:val="0"/>
          <w:sz w:val="21"/>
        </w:rPr>
        <w:t>valorisation de son propre investissement</w:t>
      </w:r>
      <w:r>
        <w:rPr>
          <w:b w:val="0"/>
          <w:i w:val="0"/>
          <w:sz w:val="21"/>
        </w:rPr>
        <w:t>, non de sollicitation. L’implantation d’une unité industrielle de 120 000 tonnes par an, expédiant majoritairement par voie ferrée, est le premier projet qui utilise l’embranchement à hauteur de ce qu’il a coûté. C’est également un argument à réutiliser auprès de la Région et de l’État : la puissance publique a déjà payé l’infrastructure, le projet en assure le retour.</w:t>
      </w:r>
    </w:p>
    <w:p>
      <w:pPr>
        <w:jc w:val="both"/>
      </w:pPr>
      <w:r>
        <w:rPr>
          <w:b w:val="0"/>
          <w:i w:val="0"/>
          <w:sz w:val="21"/>
        </w:rPr>
        <w:t>La richesse sylvicole de l’Ouest vosgien et des massifs limitrophes — Vosges, Haute-Marne, Meuse — offre par ailleurs le cadre d’une charte forestière de territoire, associant propriétaires, exploitants, collectivités et acteurs économiques. Un débouché industriel contractualisé est l’ancrage économique qui donne corps à une telle démarche, en cohérence avec l’action de Fibois Grand Est et du Centre national de la propriété forestière.</w:t>
      </w:r>
    </w:p>
    <w:p>
      <w:pPr>
        <w:keepNext/>
        <w:spacing w:before="240" w:after="80"/>
      </w:pPr>
      <w:r>
        <w:rPr>
          <w:b/>
          <w:color w:val="1F3B57"/>
          <w:sz w:val="24"/>
        </w:rPr>
        <w:t>4.4 EPCI et commune</w:t>
      </w:r>
    </w:p>
    <w:p>
      <w:pPr>
        <w:jc w:val="both"/>
      </w:pPr>
      <w:r>
        <w:rPr>
          <w:b w:val="0"/>
          <w:i w:val="0"/>
          <w:sz w:val="21"/>
        </w:rPr>
        <w:t>La zone d’activité Cap Vosges relève de la Communauté de communes de l’Ouest Vosgien, dont le PLUi encadre l’accueil d’activités économiques. L’implantation d’une activité industrielle productive sur une zone d’activité dédiée, déjà aménagée et raccordée, correspond exactement aux orientations que le PLUi et la stratégie économique intercommunale privilégient : densification de l’usage productif du foncier d’activité existant, sans extension de l’enveloppe artificialisée, et consolidation de l’emploi dans un bassin rural fragilisé. En tant que petite commune rurale d’un EPCI rural, Damblain relève du zonage France Ruralités Revitalisation, qui ouvre droit à des exonérations fiscales et sociales pour les entreprises qui s’y implantent.</w:t>
      </w:r>
    </w:p>
    <w:p>
      <w:pPr>
        <w:jc w:val="both"/>
      </w:pPr>
      <w:r>
        <w:rPr>
          <w:b w:val="0"/>
          <w:i w:val="0"/>
          <w:sz w:val="21"/>
        </w:rPr>
        <w:t>Le site est très à l’écart des premières habitations et accueille déjà, sur la plateforme, des entreprises actives dans le bois et la valorisation de la biomasse : l’environnement industriel est cohérent et le voisinage favorable. L’ouverture de la municipalité a été exprimée publiquement par le maire. Cette adhésion locale, sans opposition organisée, est un facteur de sécurisation du calendrier que les financeurs valorisent autant que les partenaires institutionnels.</w:t>
      </w:r>
    </w:p>
    <w:p>
      <w:pPr>
        <w:keepNext/>
        <w:spacing w:before="240" w:after="80"/>
      </w:pPr>
      <w:r>
        <w:rPr>
          <w:b/>
          <w:color w:val="1F3B57"/>
          <w:sz w:val="24"/>
        </w:rPr>
        <w:t>4.5 Ce qui reste à faire sur Damblain</w:t>
      </w:r>
    </w:p>
    <w:p>
      <w:pPr>
        <w:pStyle w:val="ListBullet"/>
        <w:spacing w:after="60"/>
        <w:ind w:left="340"/>
        <w:jc w:val="both"/>
      </w:pPr>
      <w:r>
        <w:rPr>
          <w:b w:val="0"/>
          <w:sz w:val="21"/>
        </w:rPr>
        <w:t xml:space="preserve">Finaliser le </w:t>
      </w:r>
      <w:r>
        <w:rPr>
          <w:b/>
          <w:sz w:val="21"/>
        </w:rPr>
        <w:t>raccordement électrique</w:t>
      </w:r>
      <w:r>
        <w:rPr>
          <w:b w:val="0"/>
          <w:sz w:val="21"/>
        </w:rPr>
        <w:t xml:space="preserve"> au réseau et les frais de dossier associés — dernière étape technique avant le closing financier.</w:t>
      </w:r>
    </w:p>
    <w:p>
      <w:pPr>
        <w:pStyle w:val="ListBullet"/>
        <w:spacing w:after="60"/>
        <w:ind w:left="340"/>
        <w:jc w:val="both"/>
      </w:pPr>
      <w:r>
        <w:rPr>
          <w:b w:val="0"/>
          <w:sz w:val="21"/>
        </w:rPr>
        <w:t xml:space="preserve">Transformer les </w:t>
      </w:r>
      <w:r>
        <w:rPr>
          <w:b/>
          <w:sz w:val="21"/>
        </w:rPr>
        <w:t>lettres d’intention d’approvisionnement en contrats fermes</w:t>
      </w:r>
      <w:r>
        <w:rPr>
          <w:b w:val="0"/>
          <w:sz w:val="21"/>
        </w:rPr>
        <w:t>, condition de la bancabilité.</w:t>
      </w:r>
    </w:p>
    <w:p>
      <w:pPr>
        <w:pStyle w:val="ListBullet"/>
        <w:spacing w:after="60"/>
        <w:ind w:left="340"/>
        <w:jc w:val="both"/>
      </w:pPr>
      <w:r>
        <w:rPr>
          <w:b w:val="0"/>
          <w:sz w:val="21"/>
        </w:rPr>
        <w:t>Négocier les contrats d’exploitation-maintenance et de construction.</w:t>
      </w:r>
    </w:p>
    <w:p>
      <w:pPr>
        <w:pStyle w:val="ListBullet"/>
        <w:spacing w:after="60"/>
        <w:ind w:left="340"/>
        <w:jc w:val="both"/>
      </w:pPr>
      <w:r>
        <w:rPr>
          <w:b w:val="0"/>
          <w:sz w:val="21"/>
        </w:rPr>
        <w:t xml:space="preserve">Sur le plan institutionnel : engager formellement la Région au titre de la </w:t>
      </w:r>
      <w:r>
        <w:rPr>
          <w:b/>
          <w:sz w:val="21"/>
        </w:rPr>
        <w:t>délégation du Fonds chaleur</w:t>
      </w:r>
      <w:r>
        <w:rPr>
          <w:b w:val="0"/>
          <w:sz w:val="21"/>
        </w:rPr>
        <w:t xml:space="preserve">, et programmer la réunion de pré-dépôt </w:t>
      </w:r>
      <w:r>
        <w:rPr>
          <w:b/>
          <w:sz w:val="21"/>
        </w:rPr>
        <w:t>BCIAT</w:t>
      </w:r>
      <w:r>
        <w:rPr>
          <w:b w:val="0"/>
          <w:sz w:val="21"/>
        </w:rPr>
        <w:t>.</w:t>
      </w:r>
    </w:p>
    <w:p>
      <w:r>
        <w:br w:type="page"/>
      </w:r>
    </w:p>
    <w:p>
      <w:pPr>
        <w:keepNext/>
        <w:spacing w:before="360" w:after="160"/>
        <w:pBdr>
          <w:bottom w:val="single" w:sz="8" w:space="2" w:color="1F3B57"/>
        </w:pBdr>
      </w:pPr>
      <w:r>
        <w:rPr>
          <w:b/>
          <w:color w:val="1F3B57"/>
          <w:sz w:val="28"/>
        </w:rPr>
        <w:t>PARTIE V — HIRSON (AISNE) : TROIS RIVIÈRES BIOPELLETS</w:t>
      </w:r>
    </w:p>
    <w:p>
      <w:pPr>
        <w:jc w:val="both"/>
      </w:pPr>
      <w:r>
        <w:rPr>
          <w:b/>
          <w:i/>
          <w:sz w:val="21"/>
        </w:rPr>
        <w:t>Capacité retenue : 100 000 t/an.</w:t>
      </w:r>
      <w:r>
        <w:rPr>
          <w:b w:val="0"/>
          <w:i/>
          <w:sz w:val="21"/>
        </w:rPr>
        <w:t xml:space="preserve"> Réhabilitation de la Rotonde de Buire, ancien site ferroviaire communal de 3,56 hectares. Autorisations en cours d’instruction ; foncier sécurisé par délibération du conseil municipal.</w:t>
      </w:r>
    </w:p>
    <w:p>
      <w:pPr>
        <w:keepNext/>
        <w:spacing w:before="240" w:after="80"/>
      </w:pPr>
      <w:r>
        <w:rPr>
          <w:b/>
          <w:color w:val="1F3B57"/>
          <w:sz w:val="24"/>
        </w:rPr>
        <w:t>5.1 Le diagnostic territorial : le plus dégradé des trois, et c’est l’argument</w:t>
      </w:r>
    </w:p>
    <w:p>
      <w:pPr>
        <w:jc w:val="both"/>
      </w:pPr>
      <w:r>
        <w:rPr>
          <w:b w:val="0"/>
          <w:i w:val="0"/>
          <w:sz w:val="21"/>
        </w:rPr>
        <w:t>Hirson présente un profil socio-économique parmi les plus dégradés de France métropolitaine. Le taux de chômage communal s’établissait à 15,3 % de la population active au sens du BIT en 2022, soit plus du double de la moyenne nationale ; la zone d’emploi se classait 291e sur 321 ; le revenu moyen par habitant, de l’ordre de 16 460 euros annuels, se situe environ 20 % en dessous de la moyenne nationale ; la population décroît continûment depuis 1975 ; deux quartiers prioritaires de la politique de la ville concentrent la précarité.</w:t>
      </w:r>
    </w:p>
    <w:p>
      <w:pPr>
        <w:jc w:val="both"/>
      </w:pPr>
      <w:r>
        <w:rPr>
          <w:b w:val="0"/>
          <w:i w:val="0"/>
          <w:sz w:val="21"/>
        </w:rPr>
        <w:t xml:space="preserve">Dans un tel contexte, la création de 30 emplois industriels permanents et d’une centaine d’emplois indirects ne relève pas de la statistique industrielle ordinaire. C’est le registre à assumer auprès des services de l’État et de la Région : </w:t>
      </w:r>
      <w:r>
        <w:rPr>
          <w:b/>
          <w:i w:val="0"/>
          <w:sz w:val="21"/>
        </w:rPr>
        <w:t>Hirson est le territoire où l’euro public investi produit le plus d’effet social par euro engagé.</w:t>
      </w:r>
      <w:r>
        <w:rPr>
          <w:b w:val="0"/>
          <w:i w:val="0"/>
          <w:sz w:val="21"/>
        </w:rPr>
        <w:t xml:space="preserve"> La masse salariale directe, de l’ordre de 1,1 à 1,4 million d’euros par an, intégralement dépensée dans le bassin de vie, représente une injection considérable au regard de la base économique locale.</w:t>
      </w:r>
    </w:p>
    <w:p>
      <w:pPr>
        <w:jc w:val="both"/>
      </w:pPr>
      <w:r>
        <w:rPr>
          <w:b w:val="0"/>
          <w:i w:val="0"/>
          <w:sz w:val="21"/>
        </w:rPr>
        <w:t>Le territoire dispose par ailleurs d’une double richesse sylvicole — forêt communale de plus de 500 hectares, forêts d’Hirson et de Saint-Michel à proximité immédiate, et un bocage thiérachien dense — dans une région qui recense de l’ordre de 20 000 kilomètres de haies dont le gisement d’entretien, estimé à au moins 70 000 tonnes de bois par an, n’est aujourd’hui valorisé en bois-énergie qu’à hauteur de quelques pourcents.</w:t>
      </w:r>
    </w:p>
    <w:p>
      <w:pPr>
        <w:keepNext/>
        <w:spacing w:before="240" w:after="80"/>
      </w:pPr>
      <w:r>
        <w:rPr>
          <w:b/>
          <w:color w:val="1F3B57"/>
          <w:sz w:val="24"/>
        </w:rPr>
        <w:t>5.2 L’insertion dans les dynamiques régionales — Hauts-de-France</w:t>
      </w:r>
    </w:p>
    <w:p>
      <w:pPr>
        <w:keepNext/>
        <w:spacing w:before="180" w:after="60"/>
      </w:pPr>
      <w:r>
        <w:rPr>
          <w:b/>
          <w:color w:val="2E6B3E"/>
          <w:sz w:val="21"/>
        </w:rPr>
        <w:t>Rev3 : le cadre naturel du projet</w:t>
      </w:r>
    </w:p>
    <w:p>
      <w:pPr>
        <w:jc w:val="both"/>
      </w:pPr>
      <w:r>
        <w:rPr>
          <w:b w:val="0"/>
          <w:i w:val="0"/>
          <w:sz w:val="21"/>
        </w:rPr>
        <w:t>La Révolution industrielle, numérique et énergétique est la marque distinctive de la stratégie économique des Hauts-de-France depuis 2015 : transformation de l’appareil productif vers une économie décarbonée et circulaire, portée conjointement par la Région, l’État, les entreprises et les territoires. Le projet en relève dans son principe même — il réindustrialise un site en friche par une technologie de production d’énergie renouvelable, valorise la ressource forestière et bocagère régionale en circuit court, crée des emplois industriels non délocalisables dans un territoire en déprise et contribue à la décarbonation du chauffage. L’écosystème Rev3 a par ailleurs accompagné Picardie Granulation à Chaulnes, dans la Somme : une opération de même nature, conduite par la même équipe, menée jusqu’à la mise en service industrielle en mars 2025. C’est la meilleure preuve d’exécution dont nous disposons en région.</w:t>
      </w:r>
    </w:p>
    <w:p>
      <w:pPr>
        <w:keepNext/>
        <w:spacing w:before="180" w:after="60"/>
      </w:pPr>
      <w:r>
        <w:rPr>
          <w:b/>
          <w:color w:val="2E6B3E"/>
          <w:sz w:val="21"/>
        </w:rPr>
        <w:t>SRADDET modifié en 2024 : sobriété foncière et report modal</w:t>
      </w:r>
    </w:p>
    <w:p>
      <w:pPr>
        <w:jc w:val="both"/>
      </w:pPr>
      <w:r>
        <w:rPr>
          <w:b w:val="0"/>
          <w:i w:val="0"/>
          <w:sz w:val="21"/>
        </w:rPr>
        <w:t>Le SRADDET des Hauts-de-France, adopté le 30 juin 2020 et modifié en séance plénière le 21 novembre 2024, intègre une trajectoire chiffrée de réduction de 54,47 % de la consommation d’espaces naturels, agricoles et forestiers sur 2021-2031 par rapport à la décennie précédente. C’est la trajectoire la plus exigeante des trois régions de la plateforme, et c’est une bonne nouvelle pour nous : dans une région où le foncier économique neuf devient rare, une opération de recyclage d’un site industriel existant est structurellement prioritaire.</w:t>
      </w:r>
    </w:p>
    <w:p>
      <w:pPr>
        <w:jc w:val="both"/>
      </w:pPr>
      <w:r>
        <w:rPr>
          <w:b w:val="0"/>
          <w:i w:val="0"/>
          <w:sz w:val="21"/>
        </w:rPr>
        <w:t>Le SRADDET rappelle également la nécessité de privilégier le report modal vers le fluvial et le ferroviaire. Le projet intègre dès sa conception une option de transport ferroviaire des granulés depuis le site, en phase 2, rendue possible par la présence de voies adjacentes — héritage direct de la vocation ferroviaire historique de la Rotonde. Cet engagement doit être formalisé dans nos échanges avec la Région : c’est un différenciant réel dans le paysage des projets de granulation français.</w:t>
      </w:r>
    </w:p>
    <w:p>
      <w:pPr>
        <w:keepNext/>
        <w:spacing w:before="180" w:after="60"/>
      </w:pPr>
      <w:r>
        <w:rPr>
          <w:b/>
          <w:color w:val="2E6B3E"/>
          <w:sz w:val="21"/>
        </w:rPr>
        <w:t>SRDEII, Master Plan forêt-bois et FEDER</w:t>
      </w:r>
    </w:p>
    <w:p>
      <w:pPr>
        <w:jc w:val="both"/>
      </w:pPr>
      <w:r>
        <w:rPr>
          <w:b w:val="0"/>
          <w:i w:val="0"/>
          <w:sz w:val="21"/>
        </w:rPr>
        <w:t>Le SRDEII 2022-2028, adopté le 8 décembre 2022, structure l’action économique régionale autour de six orientations et de neuf ambitions thématiques, dont l’ambition « Énergie » — cadre stratégique le plus direct pour le projet. Il prévoit la signature de conventions entre la Région et les EPCI pour déterminer les conditions d’intervention en matière d’aide aux entreprises : la Communauté de communes des Trois Rivières s’inscrit naturellement dans ce dispositif partenarial.</w:t>
      </w:r>
    </w:p>
    <w:p>
      <w:pPr>
        <w:jc w:val="both"/>
      </w:pPr>
      <w:r>
        <w:rPr>
          <w:b w:val="0"/>
          <w:i w:val="0"/>
          <w:sz w:val="21"/>
        </w:rPr>
        <w:t>Le Master Plan forêt-bois 2022-2027, produit par la filière régionale en partenariat avec la Région, porte expressément le développement de la filière bois-énergie parmi ses priorités. Les 35 scieries de première transformation de la région produisent environ la moitié de leurs volumes en connexes, gisement largement sous-valorisé faute de débouché industriel de grande capacité. Un besoin contractualisé de l’ordre de 170 000 tonnes de bois entrant par an est l’incitation économique qui permet de faire passer la filière bocagère thiérachienne de l’artisanat à l’échelle industrielle.</w:t>
      </w:r>
    </w:p>
    <w:p>
      <w:pPr>
        <w:jc w:val="both"/>
      </w:pPr>
      <w:r>
        <w:rPr>
          <w:b w:val="0"/>
          <w:i w:val="0"/>
          <w:sz w:val="21"/>
        </w:rPr>
        <w:t>Le programme régional FEDER 2021-2027, dont la Région est autorité de gestion, constitue un vecteur de cofinancement européen direct au titre de la transition verte et de la compétitivité des entreprises — pour un projet qui combine réhabilitation de friche, création d’emplois industriels et production d’énergie renouvelable. La fenêtre de programmation se referme progressivement : c’est un point de calendrier à intégrer.</w:t>
      </w:r>
    </w:p>
    <w:p>
      <w:pPr>
        <w:keepNext/>
        <w:spacing w:before="240" w:after="80"/>
      </w:pPr>
      <w:r>
        <w:rPr>
          <w:b/>
          <w:color w:val="1F3B57"/>
          <w:sz w:val="24"/>
        </w:rPr>
        <w:t>5.3 Les dispositifs de cohésion : la singularité d’Hirson</w:t>
      </w:r>
    </w:p>
    <w:p>
      <w:pPr>
        <w:keepNext/>
        <w:spacing w:before="180" w:after="60"/>
      </w:pPr>
      <w:r>
        <w:rPr>
          <w:b/>
          <w:color w:val="2E6B3E"/>
          <w:sz w:val="21"/>
        </w:rPr>
        <w:t>Le Pacte pour la réussite de la Sambre-Avesnois-Thiérache — acte 3, 2025-2029</w:t>
      </w:r>
    </w:p>
    <w:p>
      <w:pPr>
        <w:jc w:val="both"/>
      </w:pPr>
      <w:r>
        <w:rPr>
          <w:b w:val="0"/>
          <w:i w:val="0"/>
          <w:sz w:val="21"/>
        </w:rPr>
        <w:t xml:space="preserve">Hirson est partie prenante du Pacte pour la réussite de la Sambre-Avesnois-Thiérache, démarche interdépartementale et interrégionale associant l’État, la Région, les Départements du Nord, de l’Aisne et du Pas-de-Calais et les intercommunalités concernées, sur un territoire de quelque 305 000 habitants. </w:t>
      </w:r>
      <w:r>
        <w:rPr>
          <w:b/>
          <w:i w:val="0"/>
          <w:sz w:val="21"/>
        </w:rPr>
        <w:t>Le troisième acte du Pacte a été signé le 2 septembre 2025 pour la période 2025-2029, avec 44 signataires, autour de trois axes prioritaires</w:t>
      </w:r>
      <w:r>
        <w:rPr>
          <w:b w:val="0"/>
          <w:i w:val="0"/>
          <w:sz w:val="21"/>
        </w:rPr>
        <w:t xml:space="preserve"> — dont le renouveau économique et industriel du territoire.</w:t>
      </w:r>
    </w:p>
    <w:p>
      <w:pPr>
        <w:jc w:val="both"/>
      </w:pPr>
      <w:r>
        <w:rPr>
          <w:b w:val="0"/>
          <w:i w:val="0"/>
          <w:sz w:val="21"/>
        </w:rPr>
        <w:t>C’est le point d’entrée institutionnel le plus efficace sur Hirson, et il est d’actualité. Un projet industriel de 48 millions d’euros créateur de 30 emplois directs et d’une centaine d’emplois indirects, sur une friche emblématique d’une commune du périmètre, correspond très exactement à ce que le Pacte est conçu pour soutenir. Les dossiers sources évoquaient encore les actes précédents du Pacte : la référence doit être mise à jour dans toutes nos productions.</w:t>
      </w:r>
    </w:p>
    <w:p>
      <w:pPr>
        <w:keepNext/>
        <w:spacing w:before="180" w:after="60"/>
      </w:pPr>
      <w:r>
        <w:rPr>
          <w:b/>
          <w:color w:val="2E6B3E"/>
          <w:sz w:val="21"/>
        </w:rPr>
        <w:t>Petite Ville de Demain, contrat de ville et Territoires d’industrie</w:t>
      </w:r>
    </w:p>
    <w:p>
      <w:pPr>
        <w:jc w:val="both"/>
      </w:pPr>
      <w:r>
        <w:rPr>
          <w:b w:val="0"/>
          <w:i w:val="0"/>
          <w:sz w:val="21"/>
        </w:rPr>
        <w:t xml:space="preserve">Hirson est labellisée Petite Ville de Demain par l’État. Cette labellisation a une portée directe pour le montage financier : les instructions du Fonds vert « recyclage foncier des friches » accordent un traitement préférentiel aux projets situés dans des communes labellisées. Compte tenu de la contraction de l’enveloppe nationale du Fonds vert — ramenée à environ 834 millions d’euros en 2026, contre 2,5 milliards en 2024 — cette priorisation n’est pas un détail : c’est ce qui peut faire la différence entre un dossier retenu et un dossier ajourné. </w:t>
      </w:r>
      <w:r>
        <w:rPr>
          <w:b/>
          <w:i w:val="0"/>
          <w:sz w:val="21"/>
        </w:rPr>
        <w:t>Déposer tôt dans la campagne 2026-2027 est un impératif.</w:t>
      </w:r>
    </w:p>
    <w:p>
      <w:pPr>
        <w:jc w:val="both"/>
      </w:pPr>
      <w:r>
        <w:rPr>
          <w:b w:val="0"/>
          <w:i w:val="0"/>
          <w:sz w:val="21"/>
        </w:rPr>
        <w:t>Hirson est par ailleurs la seule commune en politique de la ville de son intercommunalité, avec deux quartiers prioritaires. Le contrat de ville 2024-2030, signé en mars 2024, rassemble la préfecture, la Région, le Département, la CAF, l’ARS, la mission locale, France Travail et les bailleurs sociaux autour d’objectifs d’accès à l’emploi et de requalification urbaine. Le quartier Gare et Verrière jouxte directement la zone ferroviaire et industrielle du projet. Enfin, le programme Territoires d’industrie, dans sa phase 2023-2027, avec sa gouvernance binôme élu-industriel, offre un cadre d’appui et d’ingénierie qu’il faut solliciter explicitement.</w:t>
      </w:r>
    </w:p>
    <w:p>
      <w:pPr>
        <w:keepNext/>
        <w:spacing w:before="240" w:after="80"/>
      </w:pPr>
      <w:r>
        <w:rPr>
          <w:b/>
          <w:color w:val="1F3B57"/>
          <w:sz w:val="24"/>
        </w:rPr>
        <w:t>5.4 Commune et foncier : un alignement rare</w:t>
      </w:r>
    </w:p>
    <w:p>
      <w:pPr>
        <w:jc w:val="both"/>
      </w:pPr>
      <w:r>
        <w:rPr>
          <w:b w:val="0"/>
          <w:i w:val="0"/>
          <w:sz w:val="21"/>
        </w:rPr>
        <w:t>La configuration foncière d’Hirson est la plus simple des trois projets et constitue un atout politique majeur : le propriétaire du terrain est la commune elle-même. Le conseil municipal a délibéré la cession des parcelles BD 84, BD 93 et BD 95, soit 35 629 m², au bénéfice de la société de projet, au prix de 1,12 million d’euros hors taxes, la proposition foncière ayant été obtenue le 10 décembre 2025. Il n’y a ni morcellement, ni copropriété complexe, ni contentieux de délimitation.</w:t>
      </w:r>
    </w:p>
    <w:p>
      <w:pPr>
        <w:jc w:val="both"/>
      </w:pPr>
      <w:r>
        <w:rPr>
          <w:b w:val="0"/>
          <w:i w:val="0"/>
          <w:sz w:val="21"/>
        </w:rPr>
        <w:t>Une commune aux finances contraintes qui engage son patrimoine foncier dans un projet industriel émet un signal politique fort, qu’il faut savoir faire valoir auprès de la Région et des services de l’État : c’est la collectivité la plus proche du terrain, et la plus exposée, qui a choisi de faire confiance au projet. Le maire d’Hirson préside également la Communauté de communes des Trois Rivières, ce qui aligne les échelons communal et intercommunal sur une même position.</w:t>
      </w:r>
    </w:p>
    <w:p>
      <w:pPr>
        <w:keepNext/>
        <w:spacing w:before="240" w:after="80"/>
      </w:pPr>
      <w:r>
        <w:rPr>
          <w:b/>
          <w:color w:val="1F3B57"/>
          <w:sz w:val="24"/>
        </w:rPr>
        <w:t>5.5 Ce qui reste à faire sur Hirson</w:t>
      </w:r>
    </w:p>
    <w:p>
      <w:pPr>
        <w:pStyle w:val="ListBullet"/>
        <w:spacing w:after="60"/>
        <w:ind w:left="340"/>
        <w:jc w:val="both"/>
      </w:pPr>
      <w:r>
        <w:rPr>
          <w:b/>
          <w:sz w:val="21"/>
        </w:rPr>
        <w:t>Sécuriser l’instruction du permis de construire et de l’autorisation d’exploiter</w:t>
      </w:r>
      <w:r>
        <w:rPr>
          <w:b w:val="0"/>
          <w:sz w:val="21"/>
        </w:rPr>
        <w:t xml:space="preserve"> : c’est la priorité absolue, tout le reste en dépend.</w:t>
      </w:r>
    </w:p>
    <w:p>
      <w:pPr>
        <w:pStyle w:val="ListBullet"/>
        <w:spacing w:after="60"/>
        <w:ind w:left="340"/>
        <w:jc w:val="both"/>
      </w:pPr>
      <w:r>
        <w:rPr>
          <w:b w:val="0"/>
          <w:sz w:val="21"/>
        </w:rPr>
        <w:t xml:space="preserve">Traiter en amont le </w:t>
      </w:r>
      <w:r>
        <w:rPr>
          <w:b/>
          <w:sz w:val="21"/>
        </w:rPr>
        <w:t>point de gabarit</w:t>
      </w:r>
      <w:r>
        <w:rPr>
          <w:b w:val="0"/>
          <w:sz w:val="21"/>
        </w:rPr>
        <w:t xml:space="preserve"> : la hauteur des silos de stockage et de la cheminée de chaufferie au regard du règlement du PLU. Si une modification simplifiée s’avère nécessaire, elle demande trois à six mois et doit être engagée avec la commune et la DDT de l’Aisne </w:t>
      </w:r>
      <w:r>
        <w:rPr>
          <w:b/>
          <w:sz w:val="21"/>
        </w:rPr>
        <w:t>avant</w:t>
      </w:r>
      <w:r>
        <w:rPr>
          <w:b w:val="0"/>
          <w:sz w:val="21"/>
        </w:rPr>
        <w:t xml:space="preserve"> qu’elle ne devienne critique pour le calendrier.</w:t>
      </w:r>
    </w:p>
    <w:p>
      <w:pPr>
        <w:pStyle w:val="ListBullet"/>
        <w:spacing w:after="60"/>
        <w:ind w:left="340"/>
        <w:jc w:val="both"/>
      </w:pPr>
      <w:r>
        <w:rPr>
          <w:b w:val="0"/>
          <w:sz w:val="21"/>
        </w:rPr>
        <w:t xml:space="preserve">Déposer au titre du </w:t>
      </w:r>
      <w:r>
        <w:rPr>
          <w:b/>
          <w:sz w:val="21"/>
        </w:rPr>
        <w:t>Fonds vert recyclage foncier</w:t>
      </w:r>
      <w:r>
        <w:rPr>
          <w:b w:val="0"/>
          <w:sz w:val="21"/>
        </w:rPr>
        <w:t xml:space="preserve"> en s’appuyant sur la labellisation Petite Ville de Demain, sans attendre l’obtention des autorisations.</w:t>
      </w:r>
    </w:p>
    <w:p>
      <w:pPr>
        <w:pStyle w:val="ListBullet"/>
        <w:spacing w:after="60"/>
        <w:ind w:left="340"/>
        <w:jc w:val="both"/>
      </w:pPr>
      <w:r>
        <w:rPr>
          <w:b w:val="0"/>
          <w:sz w:val="21"/>
        </w:rPr>
        <w:t xml:space="preserve">Inscrire le projet à l’ordre du jour de la </w:t>
      </w:r>
      <w:r>
        <w:rPr>
          <w:b/>
          <w:sz w:val="21"/>
        </w:rPr>
        <w:t>gouvernance du Pacte SAT acte 3</w:t>
      </w:r>
      <w:r>
        <w:rPr>
          <w:b w:val="0"/>
          <w:sz w:val="21"/>
        </w:rPr>
        <w:t xml:space="preserve"> et du binôme Territoires d’industrie.</w:t>
      </w:r>
    </w:p>
    <w:p>
      <w:pPr>
        <w:pStyle w:val="ListBullet"/>
        <w:spacing w:after="60"/>
        <w:ind w:left="340"/>
        <w:jc w:val="both"/>
      </w:pPr>
      <w:r>
        <w:rPr>
          <w:b w:val="0"/>
          <w:sz w:val="21"/>
        </w:rPr>
        <w:t xml:space="preserve">Confirmer formellement le </w:t>
      </w:r>
      <w:r>
        <w:rPr>
          <w:b/>
          <w:sz w:val="21"/>
        </w:rPr>
        <w:t>classement FRR</w:t>
      </w:r>
      <w:r>
        <w:rPr>
          <w:b w:val="0"/>
          <w:sz w:val="21"/>
        </w:rPr>
        <w:t xml:space="preserve"> de la commune auprès de la préfecture ou de la DDFiP (annexe B).</w:t>
      </w:r>
    </w:p>
    <w:p>
      <w:r>
        <w:br w:type="page"/>
      </w:r>
    </w:p>
    <w:p>
      <w:pPr>
        <w:keepNext/>
        <w:spacing w:before="360" w:after="160"/>
        <w:pBdr>
          <w:bottom w:val="single" w:sz="8" w:space="2" w:color="1F3B57"/>
        </w:pBdr>
      </w:pPr>
      <w:r>
        <w:rPr>
          <w:b/>
          <w:color w:val="1F3B57"/>
          <w:sz w:val="28"/>
        </w:rPr>
        <w:t>PARTIE VI — ÉCOMMOY (SARTHE) : DYNAMIS</w:t>
      </w:r>
    </w:p>
    <w:p>
      <w:pPr>
        <w:jc w:val="both"/>
      </w:pPr>
      <w:r>
        <w:rPr>
          <w:b/>
          <w:i/>
          <w:sz w:val="21"/>
        </w:rPr>
        <w:t>Capacité retenue : 92 000 t/an.</w:t>
      </w:r>
      <w:r>
        <w:rPr>
          <w:b w:val="0"/>
          <w:i/>
          <w:sz w:val="21"/>
        </w:rPr>
        <w:t xml:space="preserve"> Réhabilitation de la friche industrielle BELIPA, 8,5 hectares dont 8 500 m² couverts. Projet entièrement autorisé, purgé de recours. Seul site de la plateforme doté d’une chaudière CSR.</w:t>
      </w:r>
    </w:p>
    <w:p>
      <w:pPr>
        <w:keepNext/>
        <w:spacing w:before="240" w:after="80"/>
      </w:pPr>
      <w:r>
        <w:rPr>
          <w:b/>
          <w:color w:val="1F3B57"/>
          <w:sz w:val="24"/>
        </w:rPr>
        <w:t>6.1 Le diagnostic territorial : une vulnérabilité latente, pas déclarée</w:t>
      </w:r>
    </w:p>
    <w:p>
      <w:pPr>
        <w:jc w:val="both"/>
      </w:pPr>
      <w:r>
        <w:rPr>
          <w:b w:val="0"/>
          <w:i w:val="0"/>
          <w:sz w:val="21"/>
        </w:rPr>
        <w:t>Écommoy est une commune de 4 868 habitants, chef-lieu de canton et pôle de services du sud-Sarthe, située à vingt kilomètres au sud du Mans, membre de la Communauté de communes Orée de Bercé-Bélinois (8 communes, 19 486 habitants). Son profil socio-économique n’est pas celui d’un territoire en déprise aiguë : le taux de chômage communal, de 8,1 % en 2022, est proche de la moyenne nationale, et la commune bénéficie de l’attractivité résidentielle de la couronne mancelle.</w:t>
      </w:r>
    </w:p>
    <w:p>
      <w:pPr>
        <w:jc w:val="both"/>
      </w:pPr>
      <w:r>
        <w:rPr>
          <w:b w:val="0"/>
          <w:i w:val="0"/>
          <w:sz w:val="21"/>
        </w:rPr>
        <w:t>La fragilité y est d’une autre nature, et l’argumentaire doit en tenir compte : dépendance aux emplois du Mans, déficit de base économique productive locale, revenu médian départemental inférieur de près de 5 % à la médiane nationale, prix de l’immobilier inférieur de près de 30 %, et surtout la trace laissée par la liquidation judiciaire de BELIPA, prononcée le 31 octobre 2012, qui a supprimé 118 emplois industriels après dix-huit mois de procédure et douze dossiers de reprise étudiés sans succès.</w:t>
      </w:r>
    </w:p>
    <w:tbl>
      <w:tblPr>
        <w:tblStyle w:val="TableGrid"/>
        <w:tblW w:type="auto" w:w="0"/>
        <w:tblLook w:firstColumn="1" w:firstRow="1" w:lastColumn="0" w:lastRow="0" w:noHBand="0" w:noVBand="1" w:val="04A0"/>
      </w:tblPr>
      <w:tblGrid>
        <w:gridCol w:w="9746"/>
      </w:tblGrid>
      <w:tr>
        <w:tc>
          <w:tcPr>
            <w:tcW w:type="dxa" w:w="9746"/>
            <w:shd w:val="clear" w:fill="EEF3F8"/>
          </w:tcPr>
          <w:p>
            <w:r/>
            <w:r>
              <w:rPr>
                <w:b/>
                <w:color w:val="1F3B57"/>
                <w:sz w:val="20"/>
              </w:rPr>
              <w:t>Le registre à employer sur Écommoy</w:t>
            </w:r>
          </w:p>
          <w:p>
            <w:pPr>
              <w:jc w:val="both"/>
            </w:pPr>
            <w:r>
              <w:rPr>
                <w:b w:val="0"/>
                <w:sz w:val="19"/>
              </w:rPr>
              <w:t xml:space="preserve">Ne pas transposer le discours d’Hirson. Sur Écommoy, l’argument n’est pas la détresse sociale mais </w:t>
            </w:r>
            <w:r>
              <w:rPr>
                <w:b/>
                <w:sz w:val="19"/>
              </w:rPr>
              <w:t>la reconstitution d’une base productive et la continuité industrielle</w:t>
            </w:r>
            <w:r>
              <w:rPr>
                <w:b w:val="0"/>
                <w:sz w:val="19"/>
              </w:rPr>
              <w:t xml:space="preserve">. BELIPA consommait entre 120 000 et 150 000 tonnes de résidus de bois par an ; son arrêt a contraint les opérateurs forestiers locaux à expédier leur bois à plusieurs centaines de kilomètres, parfois en Belgique. Dynamis ne crée pas un usage nouveau sur ce site : il </w:t>
            </w:r>
            <w:r>
              <w:rPr>
                <w:b/>
                <w:sz w:val="19"/>
              </w:rPr>
              <w:t>restaure un débouché bois qui existait et qui a disparu</w:t>
            </w:r>
            <w:r>
              <w:rPr>
                <w:b w:val="0"/>
                <w:sz w:val="19"/>
              </w:rPr>
              <w:t>. C’est un argument économique vérifiable, et c’est aussi le récit local le plus juste.</w:t>
            </w:r>
          </w:p>
        </w:tc>
      </w:tr>
    </w:tbl>
    <w:p>
      <w:pPr>
        <w:spacing w:after="80"/>
      </w:pPr>
    </w:p>
    <w:p>
      <w:pPr>
        <w:keepNext/>
        <w:spacing w:before="240" w:after="80"/>
      </w:pPr>
      <w:r>
        <w:rPr>
          <w:b/>
          <w:color w:val="1F3B57"/>
          <w:sz w:val="24"/>
        </w:rPr>
        <w:t>6.2 L’insertion dans les dynamiques régionales — Pays de la Loire</w:t>
      </w:r>
    </w:p>
    <w:p>
      <w:pPr>
        <w:keepNext/>
        <w:spacing w:before="180" w:after="60"/>
      </w:pPr>
      <w:r>
        <w:rPr>
          <w:b/>
          <w:color w:val="2E6B3E"/>
          <w:sz w:val="21"/>
        </w:rPr>
        <w:t>Le SRADDET approuvé le 7 février 2022</w:t>
      </w:r>
    </w:p>
    <w:p>
      <w:pPr>
        <w:jc w:val="both"/>
      </w:pPr>
      <w:r>
        <w:rPr>
          <w:b w:val="0"/>
          <w:i w:val="0"/>
          <w:sz w:val="21"/>
        </w:rPr>
        <w:t>Le SRADDET des Pays de la Loire articule trente objectifs autour de deux priorités : conjuguer attractivité et équilibre des territoires, et réussir la transition écologique en préservant les identités territoriales ligériennes. Il fixe l’ambition d’une région à énergie positive en 2050 et soutient un mix énergétique mobilisant les ressources naturelles régionales, la biomasse-énergie étant explicitement citée aux côtés de l’éolien, du solaire et de la méthanisation. Le projet y répond sur trois registres : la production d’énergie renouvelable, le rééquilibrage économique d’un territoire périurbain dont la base productive s’est érodée, et la sobriété foncière — le SRADDET intégrant les objectifs de la loi Climat et Résilience.</w:t>
      </w:r>
    </w:p>
    <w:p>
      <w:pPr>
        <w:jc w:val="both"/>
      </w:pPr>
      <w:r>
        <w:rPr>
          <w:b w:val="0"/>
          <w:i w:val="0"/>
          <w:sz w:val="21"/>
        </w:rPr>
        <w:t xml:space="preserve">Sur ce dernier point, Écommoy dispose d’un atout dont aucun des deux autres sites ne dispose sous cette forme : </w:t>
      </w:r>
      <w:r>
        <w:rPr>
          <w:b/>
          <w:i w:val="0"/>
          <w:sz w:val="21"/>
        </w:rPr>
        <w:t>la validation explicite, par le commissaire enquêteur, de l’adéquation foncière du projet</w:t>
      </w:r>
      <w:r>
        <w:rPr>
          <w:b w:val="0"/>
          <w:i w:val="0"/>
          <w:sz w:val="21"/>
        </w:rPr>
        <w:t>. Son avis relève que « le site retenu est conforme aux dispositions du PLUi pour ce type d’activités » et qu’il « présente, en outre, l’avantage de ne pas consommer de foncier ». Une appréciation portée par un tiers indépendant au terme d’une enquête publique a une valeur probante supérieure à toute affirmation du porteur de projet : elle doit être citée textuellement dans chaque dossier adressé à un financeur public.</w:t>
      </w:r>
    </w:p>
    <w:p>
      <w:pPr>
        <w:keepNext/>
        <w:spacing w:before="180" w:after="60"/>
      </w:pPr>
      <w:r>
        <w:rPr>
          <w:b/>
          <w:color w:val="2E6B3E"/>
          <w:sz w:val="21"/>
        </w:rPr>
        <w:t>SRDEII, schéma régional biomasse et ressource sarthoise</w:t>
      </w:r>
    </w:p>
    <w:p>
      <w:pPr>
        <w:jc w:val="both"/>
      </w:pPr>
      <w:r>
        <w:rPr>
          <w:b w:val="0"/>
          <w:i w:val="0"/>
          <w:sz w:val="21"/>
        </w:rPr>
        <w:t>Le SRDEII des Pays de la Loire 2022-2028 consacre, en priorité 11, le développement des filières énergétiques d’avenir et l’accélération des projets d’énergie renouvelable, en articulation avec la compétence régionale de formation professionnelle. Un investissement industriel de 56 millions d’euros créant 30 emplois qualifiés non délocalisables et structurant une filière d’approvisionnement locale relève directement de cette priorité.</w:t>
      </w:r>
    </w:p>
    <w:p>
      <w:pPr>
        <w:jc w:val="both"/>
      </w:pPr>
      <w:r>
        <w:rPr>
          <w:b w:val="0"/>
          <w:i w:val="0"/>
          <w:sz w:val="21"/>
        </w:rPr>
        <w:t>Le schéma régional biomasse, arrêté le 14 décembre 2020, fixe des objectifs quantitatifs de mobilisation à l’horizon 2030 et rappelle la hiérarchie des usages. Il souligne que, malgré un taux de boisement régional de seulement 11 %, la disponibilité de la biomasse demeure suffisante pour développer de nouveaux projets. En 2024, la région comptait 540 chaufferies collectives et industrielles produisant 1 522 GWh d’énergie finale bois-énergie. La Sarthe, avec un taux de boisement de 19 % — le plus élevé de la région — et la proximité de la forêt domaniale de Bercé, labellisée Forêt d’Exception en 2017, des massifs du Bélinois, du Perche méridional et du bocage sarthois, constitue le gisement prioritaire régional.</w:t>
      </w:r>
    </w:p>
    <w:tbl>
      <w:tblPr>
        <w:tblStyle w:val="TableGrid"/>
        <w:tblW w:type="auto" w:w="0"/>
        <w:tblLook w:firstColumn="1" w:firstRow="1" w:lastColumn="0" w:lastRow="0" w:noHBand="0" w:noVBand="1" w:val="04A0"/>
      </w:tblPr>
      <w:tblGrid>
        <w:gridCol w:w="9746"/>
      </w:tblGrid>
      <w:tr>
        <w:tc>
          <w:tcPr>
            <w:tcW w:type="dxa" w:w="9746"/>
            <w:shd w:val="clear" w:fill="EEF3F8"/>
          </w:tcPr>
          <w:p>
            <w:r/>
            <w:r>
              <w:rPr>
                <w:b/>
                <w:color w:val="1F3B57"/>
                <w:sz w:val="20"/>
              </w:rPr>
              <w:t>Point de vigilance — la ressource est la variable critique d’Écommoy</w:t>
            </w:r>
          </w:p>
          <w:p>
            <w:pPr>
              <w:jc w:val="both"/>
            </w:pPr>
            <w:r>
              <w:rPr>
                <w:b w:val="0"/>
                <w:sz w:val="19"/>
              </w:rPr>
              <w:t xml:space="preserve">Avec un taux de boisement régional de 11 %, les Pays de la Loire sont la moins forestière des trois régions de la plateforme. Le dossier source indique un volume en cours de contractualisation d’environ 119 500 tonnes par an au titre des lettres d’intention de février 2024, couvrant environ 70 % du besoin. Le passage de la capacité de 100 000 à </w:t>
            </w:r>
            <w:r>
              <w:rPr>
                <w:b/>
                <w:sz w:val="19"/>
              </w:rPr>
              <w:t>92 000 tonnes par an réduit le besoin à environ 156 000 tonnes de bois entrant</w:t>
            </w:r>
            <w:r>
              <w:rPr>
                <w:b w:val="0"/>
                <w:sz w:val="19"/>
              </w:rPr>
              <w:t xml:space="preserve"> et améliore mécaniquement le taux de couverture contractuelle, qui passe à l’ordre de 75-77 %. C’est un point à faire valoir : le dimensionnement retenu est </w:t>
            </w:r>
            <w:r>
              <w:rPr>
                <w:b/>
                <w:sz w:val="19"/>
              </w:rPr>
              <w:t>calé sur la ressource réellement mobilisable</w:t>
            </w:r>
            <w:r>
              <w:rPr>
                <w:b w:val="0"/>
                <w:sz w:val="19"/>
              </w:rPr>
              <w:t>, et non l’inverse. Les taux de certification PEFC contractuels, très hétérogènes d’une lettre d’intention à l’autre, restent à consolider avant le closing.</w:t>
            </w:r>
          </w:p>
        </w:tc>
      </w:tr>
    </w:tbl>
    <w:p>
      <w:pPr>
        <w:spacing w:after="80"/>
      </w:pPr>
    </w:p>
    <w:p>
      <w:pPr>
        <w:keepNext/>
        <w:spacing w:before="240" w:after="80"/>
      </w:pPr>
      <w:r>
        <w:rPr>
          <w:b/>
          <w:color w:val="1F3B57"/>
          <w:sz w:val="24"/>
        </w:rPr>
        <w:t>6.3 EPCI et échelon supra-intercommunal</w:t>
      </w:r>
    </w:p>
    <w:p>
      <w:pPr>
        <w:jc w:val="both"/>
      </w:pPr>
      <w:r>
        <w:rPr>
          <w:b w:val="0"/>
          <w:i w:val="0"/>
          <w:sz w:val="21"/>
        </w:rPr>
        <w:t>Écommoy bénéficie depuis 2021 du programme national Petites Villes de Demain. La convention-cadre valant opération de revitalisation de territoire, signée le 21 décembre 2022, regroupe trois centralités — Écommoy, le pôle Laigné–Saint-Gervais-en-Belin et Teloché — et définit trente actions prioritaires selon quatre axes. L’axe relatif à l’attractivité du territoire et à la qualité du cadre de vie est directement servi par la création de trente emplois qualifiés aux niveaux de rémunération supérieurs à la médiane locale, dans une commune de moins de 5 000 habitants.</w:t>
      </w:r>
    </w:p>
    <w:p>
      <w:pPr>
        <w:jc w:val="both"/>
      </w:pPr>
      <w:r>
        <w:rPr>
          <w:b w:val="0"/>
          <w:i w:val="0"/>
          <w:sz w:val="21"/>
        </w:rPr>
        <w:t xml:space="preserve">La commune est par ailleurs </w:t>
      </w:r>
      <w:r>
        <w:rPr>
          <w:b/>
          <w:i w:val="0"/>
          <w:sz w:val="21"/>
        </w:rPr>
        <w:t>classée en zone France Ruralités Revitalisation</w:t>
      </w:r>
      <w:r>
        <w:rPr>
          <w:b w:val="0"/>
          <w:i w:val="0"/>
          <w:sz w:val="21"/>
        </w:rPr>
        <w:t xml:space="preserve"> depuis le 1er juillet 2024, aux côtés de Marigné-Laillé, Saint-Biez-en-Belin et Saint-Ouen-en-Belin, ce qui ouvre droit à des exonérations fiscales et sociales à l’implantation. À noter pour nos rédactions : le dispositif s’appelle désormais FRR et non plus ZRR — les dossiers sources emploient encore l’ancienne dénomination.</w:t>
      </w:r>
    </w:p>
    <w:p>
      <w:pPr>
        <w:jc w:val="both"/>
      </w:pPr>
      <w:r>
        <w:rPr>
          <w:b w:val="0"/>
          <w:i w:val="0"/>
          <w:sz w:val="21"/>
        </w:rPr>
        <w:t>Le contrat de relance et de transition écologique du territoire articule les investissements publics locaux avec les objectifs de transition écologique et de revitalisation, et la réhabilitation de la friche BELIPA s’inscrit dans sa dimension de recyclage foncier. À l’échelon supra-intercommunal, le SCoT-AEC du Pays du Mans encourage précisément ce type d’opération dans ses orientations relatives à l’économie circulaire et au recyclage foncier, et le PCAET du Pays du Mans trouve dans le projet une contribution directe, en production locale d’énergie renouvelable comme en valorisation de la biomasse ligneuse en circuit court.</w:t>
      </w:r>
    </w:p>
    <w:p>
      <w:pPr>
        <w:jc w:val="both"/>
      </w:pPr>
      <w:r>
        <w:rPr>
          <w:b w:val="0"/>
          <w:i w:val="0"/>
          <w:sz w:val="21"/>
        </w:rPr>
        <w:t>Enfin, la richesse sylvicole du territoire offre le cadre d’une charte forestière de territoire, en articulation avec la SICA Bois Énergie du Maine et l’Union des CUMA des Pays de la Loire : le projet en fournit l’ancrage économique.</w:t>
      </w:r>
    </w:p>
    <w:p>
      <w:pPr>
        <w:keepNext/>
        <w:spacing w:before="240" w:after="80"/>
      </w:pPr>
      <w:r>
        <w:rPr>
          <w:b/>
          <w:color w:val="1F3B57"/>
          <w:sz w:val="24"/>
        </w:rPr>
        <w:t>6.4 Commune, foncier et soutien local</w:t>
      </w:r>
    </w:p>
    <w:p>
      <w:pPr>
        <w:jc w:val="both"/>
      </w:pPr>
      <w:r>
        <w:rPr>
          <w:b w:val="0"/>
          <w:i w:val="0"/>
          <w:sz w:val="21"/>
        </w:rPr>
        <w:t>Le site est implanté au 101 route de Tours, à environ un kilomètre à l’est du centre-bourg et à moins d’un kilomètre de l’A28, au contact du nœud autoroutier A11–A10–A28–A81. Le bornage cadastral de décembre 2025 a identifié les parcelles AL65 et AL79, destinées à être acquises par la société de projet, les parcelles voisines restant la propriété de JB Sol Transports et de Métamex.</w:t>
      </w:r>
    </w:p>
    <w:p>
      <w:pPr>
        <w:jc w:val="both"/>
      </w:pPr>
      <w:r>
        <w:rPr>
          <w:b w:val="0"/>
          <w:i w:val="0"/>
          <w:sz w:val="21"/>
        </w:rPr>
        <w:t>Le soutien municipal est formalisé et documenté : certificat de non-retrait et de non-recours délivré par le maire le 16 septembre 2025, confirmant l’affichage du permis de construire pendant deux mois sans contestation, et signature du transfert du permis à la société de projet le 8 décembre 2025. La zone ne fait l’objet d’aucune opposition locale. L’autorisation environnementale a été obtenue au terme d’une enquête publique conduite de novembre 2023 à janvier 2024, avec avis favorables de l’ARS, du SDIS et des communes voisines.</w:t>
      </w:r>
    </w:p>
    <w:p>
      <w:pPr>
        <w:jc w:val="both"/>
      </w:pPr>
      <w:r>
        <w:rPr>
          <w:b w:val="0"/>
          <w:i w:val="0"/>
          <w:sz w:val="21"/>
        </w:rPr>
        <w:t>JB Sol Transports, opérateur historique du site depuis la liquidation de BELIPA et à l’origine du projet de granulation, traite déjà 30 000 tonnes de résidus de scierie, 5 000 tonnes de plaquettes forestières et 15 000 tonnes de déchets verts par an. Sa connaissance du bassin d’approvisionnement est un actif opérationnel pour la structuration rapide des chaînes d’approvisionnement, et un argument de crédibilité locale auprès des institutions.</w:t>
      </w:r>
    </w:p>
    <w:p>
      <w:pPr>
        <w:keepNext/>
        <w:spacing w:before="240" w:after="80"/>
      </w:pPr>
      <w:r>
        <w:rPr>
          <w:b/>
          <w:color w:val="1F3B57"/>
          <w:sz w:val="24"/>
        </w:rPr>
        <w:t>6.5 Ce qui reste à faire sur Écommoy</w:t>
      </w:r>
    </w:p>
    <w:p>
      <w:pPr>
        <w:pStyle w:val="ListBullet"/>
        <w:spacing w:after="60"/>
        <w:ind w:left="340"/>
        <w:jc w:val="both"/>
      </w:pPr>
      <w:r>
        <w:rPr>
          <w:b/>
          <w:sz w:val="21"/>
        </w:rPr>
        <w:t>Consolider l’approvisionnement</w:t>
      </w:r>
      <w:r>
        <w:rPr>
          <w:b w:val="0"/>
          <w:sz w:val="21"/>
        </w:rPr>
        <w:t xml:space="preserve"> : transformer les lettres d’intention en contrats fermes et homogénéiser les taux de certification PEFC.</w:t>
      </w:r>
    </w:p>
    <w:p>
      <w:pPr>
        <w:pStyle w:val="ListBullet"/>
        <w:spacing w:after="60"/>
        <w:ind w:left="340"/>
        <w:jc w:val="both"/>
      </w:pPr>
      <w:r>
        <w:rPr>
          <w:b/>
          <w:sz w:val="21"/>
        </w:rPr>
        <w:t>Arbitrer la configuration thermique</w:t>
      </w:r>
      <w:r>
        <w:rPr>
          <w:b w:val="0"/>
          <w:sz w:val="21"/>
        </w:rPr>
        <w:t xml:space="preserve"> : partenariat CSR avec un opérateur énergéticien ou chaudière biomasse. L’arbitrage a des conséquences directes sur les guichets mobilisables — une chaufferie biomasse ouvre le BCIAT, une unité CSR relève d’autres logiques de soutien.</w:t>
      </w:r>
    </w:p>
    <w:p>
      <w:pPr>
        <w:pStyle w:val="ListBullet"/>
        <w:spacing w:after="60"/>
        <w:ind w:left="340"/>
        <w:jc w:val="both"/>
      </w:pPr>
      <w:r>
        <w:rPr>
          <w:b/>
          <w:sz w:val="21"/>
        </w:rPr>
        <w:t>Déposer au titre du Fonds vert recyclage foncier</w:t>
      </w:r>
      <w:r>
        <w:rPr>
          <w:b w:val="0"/>
          <w:sz w:val="21"/>
        </w:rPr>
        <w:t xml:space="preserve"> en s’appuyant sur la qualification juridique de friche au sens de l’article L. 111-26 du code de l’urbanisme et sur la labellisation Petites Villes de Demain.</w:t>
      </w:r>
    </w:p>
    <w:p>
      <w:pPr>
        <w:pStyle w:val="ListBullet"/>
        <w:spacing w:after="60"/>
        <w:ind w:left="340"/>
        <w:jc w:val="both"/>
      </w:pPr>
      <w:r>
        <w:rPr>
          <w:b/>
          <w:sz w:val="21"/>
        </w:rPr>
        <w:t>Corriger la dénomination du zonage</w:t>
      </w:r>
      <w:r>
        <w:rPr>
          <w:b w:val="0"/>
          <w:sz w:val="21"/>
        </w:rPr>
        <w:t xml:space="preserve"> (FRR et non ZRR) et actualiser les références MaPrimeRénov’ dans le dossier régional.</w:t>
      </w:r>
    </w:p>
    <w:p>
      <w:r>
        <w:br w:type="page"/>
      </w:r>
    </w:p>
    <w:p>
      <w:pPr>
        <w:keepNext/>
        <w:spacing w:before="360" w:after="160"/>
        <w:pBdr>
          <w:bottom w:val="single" w:sz="8" w:space="2" w:color="1F3B57"/>
        </w:pBdr>
      </w:pPr>
      <w:r>
        <w:rPr>
          <w:b/>
          <w:color w:val="1F3B57"/>
          <w:sz w:val="28"/>
        </w:rPr>
        <w:t>PARTIE VII — SYNTHÈSE PLATEFORME</w:t>
      </w:r>
    </w:p>
    <w:p>
      <w:pPr>
        <w:keepNext/>
        <w:spacing w:before="240" w:after="80"/>
      </w:pPr>
      <w:r>
        <w:rPr>
          <w:b/>
          <w:color w:val="1F3B57"/>
          <w:sz w:val="24"/>
        </w:rPr>
        <w:t>7.1 Ce que les trois projets font, ensemble, que chacun ne fait pas seul</w:t>
      </w:r>
    </w:p>
    <w:p>
      <w:pPr>
        <w:jc w:val="both"/>
      </w:pPr>
      <w:r>
        <w:rPr>
          <w:b w:val="0"/>
          <w:i w:val="0"/>
          <w:sz w:val="21"/>
        </w:rPr>
        <w:t xml:space="preserve">Présentés séparément, les trois projets sont trois implantations industrielles régionales. Présentés ensemble, ils constituent autre chose : </w:t>
      </w:r>
      <w:r>
        <w:rPr>
          <w:b/>
          <w:i w:val="0"/>
          <w:sz w:val="21"/>
        </w:rPr>
        <w:t>une réponse industrielle cohérente à un déficit national de capacité de granulation, déployée précisément là où la ressource est disponible et où le territoire en a le plus besoin.</w:t>
      </w:r>
      <w:r>
        <w:rPr>
          <w:b w:val="0"/>
          <w:i w:val="0"/>
          <w:sz w:val="21"/>
        </w:rPr>
        <w:t xml:space="preserve"> Quatre éléments fondent cette lecture d’ensemble.</w:t>
      </w:r>
    </w:p>
    <w:p>
      <w:pPr>
        <w:pStyle w:val="ListBullet"/>
        <w:spacing w:after="60"/>
        <w:ind w:left="340"/>
        <w:jc w:val="both"/>
      </w:pPr>
      <w:r>
        <w:rPr>
          <w:b/>
          <w:sz w:val="21"/>
        </w:rPr>
        <w:t>Trois bassins d’approvisionnement disjoints.</w:t>
      </w:r>
      <w:r>
        <w:rPr>
          <w:b w:val="0"/>
          <w:sz w:val="21"/>
        </w:rPr>
        <w:t xml:space="preserve"> Grand Est, Hauts-de-France, Pays de la Loire : les rayons de 150 kilomètres ne se recouvrent pas. Les projets ne se concurrencent pas sur la ressource — objection que soulèvera tout interlocuteur averti, et à laquelle il faut pouvoir répondre par une carte.</w:t>
      </w:r>
    </w:p>
    <w:p>
      <w:pPr>
        <w:pStyle w:val="ListBullet"/>
        <w:spacing w:after="60"/>
        <w:ind w:left="340"/>
        <w:jc w:val="both"/>
      </w:pPr>
      <w:r>
        <w:rPr>
          <w:b/>
          <w:sz w:val="21"/>
        </w:rPr>
        <w:t>Trois opérations de recyclage foncier, zéro artificialisation.</w:t>
      </w:r>
      <w:r>
        <w:rPr>
          <w:b w:val="0"/>
          <w:sz w:val="21"/>
        </w:rPr>
        <w:t xml:space="preserve"> Une emprise militaire, un site ferroviaire, une friche industrielle. Trois familles de reconversion, un seul résultat : aucun mètre carré d’espace naturel, agricole ou forestier consommé.</w:t>
      </w:r>
    </w:p>
    <w:p>
      <w:pPr>
        <w:pStyle w:val="ListBullet"/>
        <w:spacing w:after="60"/>
        <w:ind w:left="340"/>
        <w:jc w:val="both"/>
      </w:pPr>
      <w:r>
        <w:rPr>
          <w:b/>
          <w:sz w:val="21"/>
        </w:rPr>
        <w:t>Un même standard industriel et une même équipe.</w:t>
      </w:r>
      <w:r>
        <w:rPr>
          <w:b w:val="0"/>
          <w:sz w:val="21"/>
        </w:rPr>
        <w:t xml:space="preserve"> Process standardisé, certification ENplus, contractualisation longue de l’amont et de l’aval, structuration EPC avec garanties de performance, référence opérationnelle de Picardie Granulation livrée en mars 2025. La mutualisation des compétences de développement, de financement, d’approvisionnement et de commercialisation réduit le risque de chaque actif pris isolément.</w:t>
      </w:r>
    </w:p>
    <w:p>
      <w:pPr>
        <w:pStyle w:val="ListBullet"/>
        <w:spacing w:after="60"/>
        <w:ind w:left="340"/>
        <w:jc w:val="both"/>
      </w:pPr>
      <w:r>
        <w:rPr>
          <w:b/>
          <w:sz w:val="21"/>
        </w:rPr>
        <w:t>Un effet d’échelle sur l’emploi et la filière.</w:t>
      </w:r>
      <w:r>
        <w:rPr>
          <w:b w:val="0"/>
          <w:sz w:val="21"/>
        </w:rPr>
        <w:t xml:space="preserve"> 90 emplois directs et environ 300 emplois indirects, répartis sur trois bassins ruraux ou post-industriels, avec dans chaque cas une chaîne de valeur locale — scieries, exploitants forestiers, déchiquetage, transport amont et aval, maintenance, négoce.</w:t>
      </w:r>
    </w:p>
    <w:p>
      <w:pPr>
        <w:keepNext/>
        <w:spacing w:before="240" w:after="80"/>
      </w:pPr>
      <w:r>
        <w:rPr>
          <w:b/>
          <w:color w:val="1F3B57"/>
          <w:sz w:val="24"/>
        </w:rPr>
        <w:t>7.2 Les trois messages à porter, selon l’interlocuteur</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F3B57"/>
          </w:tcPr>
          <w:p>
            <w:r/>
            <w:r>
              <w:rPr>
                <w:b/>
                <w:color w:val="FFFFFF"/>
                <w:sz w:val="17"/>
              </w:rPr>
              <w:t>Interlocuteur</w:t>
            </w:r>
          </w:p>
        </w:tc>
        <w:tc>
          <w:tcPr>
            <w:tcW w:type="dxa" w:w="3175"/>
            <w:shd w:val="clear" w:fill="1F3B57"/>
          </w:tcPr>
          <w:p>
            <w:r/>
            <w:r>
              <w:rPr>
                <w:b/>
                <w:color w:val="FFFFFF"/>
                <w:sz w:val="17"/>
              </w:rPr>
              <w:t>Message principal</w:t>
            </w:r>
          </w:p>
        </w:tc>
        <w:tc>
          <w:tcPr>
            <w:tcW w:type="dxa" w:w="4252"/>
            <w:shd w:val="clear" w:fill="1F3B57"/>
          </w:tcPr>
          <w:p>
            <w:r/>
            <w:r>
              <w:rPr>
                <w:b/>
                <w:color w:val="FFFFFF"/>
                <w:sz w:val="17"/>
              </w:rPr>
              <w:t>Preuve à produire</w:t>
            </w:r>
          </w:p>
        </w:tc>
      </w:tr>
      <w:tr>
        <w:tc>
          <w:tcPr>
            <w:tcW w:type="dxa" w:w="1928"/>
          </w:tcPr>
          <w:p>
            <w:pPr>
              <w:spacing w:after="40"/>
            </w:pPr>
            <w:r/>
            <w:r>
              <w:rPr>
                <w:b/>
                <w:sz w:val="17"/>
              </w:rPr>
              <w:t>Services de l’État</w:t>
            </w:r>
            <w:r>
              <w:rPr>
                <w:b w:val="0"/>
                <w:sz w:val="17"/>
              </w:rPr>
              <w:t xml:space="preserve"> (préfecture, SGAR, DREAL, DDT)</w:t>
            </w:r>
          </w:p>
        </w:tc>
        <w:tc>
          <w:tcPr>
            <w:tcW w:type="dxa" w:w="3175"/>
          </w:tcPr>
          <w:p>
            <w:pPr>
              <w:spacing w:after="40"/>
            </w:pPr>
            <w:r/>
            <w:r>
              <w:rPr>
                <w:b w:val="0"/>
                <w:sz w:val="17"/>
              </w:rPr>
              <w:t>Trois projets industriels conformes aux trajectoires nationales, instruits ou autorisés, implantés sans consommation foncière, dans des territoires prioritaires des politiques de cohésion</w:t>
            </w:r>
          </w:p>
        </w:tc>
        <w:tc>
          <w:tcPr>
            <w:tcW w:type="dxa" w:w="4252"/>
          </w:tcPr>
          <w:p>
            <w:pPr>
              <w:spacing w:after="40"/>
            </w:pPr>
            <w:r/>
            <w:r>
              <w:rPr>
                <w:b w:val="0"/>
                <w:sz w:val="17"/>
              </w:rPr>
              <w:t>Autorisations purgées de recours (Damblain, Écommoy) ; qualification ZAN ; avis du commissaire enquêteur ; appartenance aux périmètres PVD, contrat de ville, Pacte SAT, FRR</w:t>
            </w:r>
          </w:p>
        </w:tc>
      </w:tr>
      <w:tr>
        <w:tc>
          <w:tcPr>
            <w:tcW w:type="dxa" w:w="1928"/>
          </w:tcPr>
          <w:p>
            <w:pPr>
              <w:spacing w:after="40"/>
            </w:pPr>
            <w:r/>
            <w:r>
              <w:rPr>
                <w:b/>
                <w:sz w:val="17"/>
              </w:rPr>
              <w:t>Régions</w:t>
            </w:r>
          </w:p>
        </w:tc>
        <w:tc>
          <w:tcPr>
            <w:tcW w:type="dxa" w:w="3175"/>
          </w:tcPr>
          <w:p>
            <w:pPr>
              <w:spacing w:after="40"/>
            </w:pPr>
            <w:r/>
            <w:r>
              <w:rPr>
                <w:b w:val="0"/>
                <w:sz w:val="17"/>
              </w:rPr>
              <w:t>Un investissement productif qui exécute concrètement le SRADDET, le schéma biomasse et le SRDEII de la région, et qui transforme un potentiel de mobilisation forestière en débouché contractualisé</w:t>
            </w:r>
          </w:p>
        </w:tc>
        <w:tc>
          <w:tcPr>
            <w:tcW w:type="dxa" w:w="4252"/>
          </w:tcPr>
          <w:p>
            <w:pPr>
              <w:spacing w:after="40"/>
            </w:pPr>
            <w:r/>
            <w:r>
              <w:rPr>
                <w:b w:val="0"/>
                <w:sz w:val="17"/>
              </w:rPr>
              <w:t>Correspondance objectif par objectif ; volumes de biomasse contractualisés ; emplois ; CAPEX ; calendrier</w:t>
            </w:r>
          </w:p>
        </w:tc>
      </w:tr>
      <w:tr>
        <w:tc>
          <w:tcPr>
            <w:tcW w:type="dxa" w:w="1928"/>
          </w:tcPr>
          <w:p>
            <w:pPr>
              <w:spacing w:after="40"/>
            </w:pPr>
            <w:r/>
            <w:r>
              <w:rPr>
                <w:b/>
                <w:sz w:val="17"/>
              </w:rPr>
              <w:t>Départements</w:t>
            </w:r>
          </w:p>
        </w:tc>
        <w:tc>
          <w:tcPr>
            <w:tcW w:type="dxa" w:w="3175"/>
          </w:tcPr>
          <w:p>
            <w:pPr>
              <w:spacing w:after="40"/>
            </w:pPr>
            <w:r/>
            <w:r>
              <w:rPr>
                <w:b w:val="0"/>
                <w:sz w:val="17"/>
              </w:rPr>
              <w:t>Valorisation d’un actif ou d’une politique départementale ; structuration d’une filière forestière locale</w:t>
            </w:r>
          </w:p>
        </w:tc>
        <w:tc>
          <w:tcPr>
            <w:tcW w:type="dxa" w:w="4252"/>
          </w:tcPr>
          <w:p>
            <w:pPr>
              <w:spacing w:after="40"/>
            </w:pPr>
            <w:r/>
            <w:r>
              <w:rPr>
                <w:b w:val="0"/>
                <w:sz w:val="17"/>
              </w:rPr>
              <w:t>Damblain : retour sur les 34 M€ d’aménagement départemental. Hirson et Écommoy : chaîne de valeur forestière et bocagère locale</w:t>
            </w:r>
          </w:p>
        </w:tc>
      </w:tr>
      <w:tr>
        <w:tc>
          <w:tcPr>
            <w:tcW w:type="dxa" w:w="1928"/>
          </w:tcPr>
          <w:p>
            <w:pPr>
              <w:spacing w:after="40"/>
            </w:pPr>
            <w:r/>
            <w:r>
              <w:rPr>
                <w:b/>
                <w:sz w:val="17"/>
              </w:rPr>
              <w:t>EPCI et communes</w:t>
            </w:r>
          </w:p>
        </w:tc>
        <w:tc>
          <w:tcPr>
            <w:tcW w:type="dxa" w:w="3175"/>
          </w:tcPr>
          <w:p>
            <w:pPr>
              <w:spacing w:after="40"/>
            </w:pPr>
            <w:r/>
            <w:r>
              <w:rPr>
                <w:b w:val="0"/>
                <w:sz w:val="17"/>
              </w:rPr>
              <w:t>Emplois locaux durables, base fiscale consolidée, requalification d’un site dégradé, sans nuisance nouvelle sur un foncier déjà industriel</w:t>
            </w:r>
          </w:p>
        </w:tc>
        <w:tc>
          <w:tcPr>
            <w:tcW w:type="dxa" w:w="4252"/>
          </w:tcPr>
          <w:p>
            <w:pPr>
              <w:spacing w:after="40"/>
            </w:pPr>
            <w:r/>
            <w:r>
              <w:rPr>
                <w:b w:val="0"/>
                <w:sz w:val="17"/>
              </w:rPr>
              <w:t>Postes et niveaux de rémunération ; absence d’opposition ; soutien municipal formalisé ; distances aux habitations</w:t>
            </w:r>
          </w:p>
        </w:tc>
      </w:tr>
      <w:tr>
        <w:tc>
          <w:tcPr>
            <w:tcW w:type="dxa" w:w="1928"/>
          </w:tcPr>
          <w:p>
            <w:pPr>
              <w:spacing w:after="40"/>
            </w:pPr>
            <w:r/>
            <w:r>
              <w:rPr>
                <w:b/>
                <w:sz w:val="17"/>
              </w:rPr>
              <w:t>ADEME</w:t>
            </w:r>
          </w:p>
        </w:tc>
        <w:tc>
          <w:tcPr>
            <w:tcW w:type="dxa" w:w="3175"/>
          </w:tcPr>
          <w:p>
            <w:pPr>
              <w:spacing w:after="40"/>
            </w:pPr>
            <w:r/>
            <w:r>
              <w:rPr>
                <w:b w:val="0"/>
                <w:sz w:val="17"/>
              </w:rPr>
              <w:t>Chaleur renouvelable, valorisation en cascade, économie circulaire</w:t>
            </w:r>
          </w:p>
        </w:tc>
        <w:tc>
          <w:tcPr>
            <w:tcW w:type="dxa" w:w="4252"/>
          </w:tcPr>
          <w:p>
            <w:pPr>
              <w:spacing w:after="40"/>
            </w:pPr>
            <w:r/>
            <w:r>
              <w:rPr>
                <w:b w:val="0"/>
                <w:sz w:val="17"/>
              </w:rPr>
              <w:t>Autoconsommation de 30 % des écorces ; rendement de la chaufferie ; plan d’approvisionnement diversifié et tracé</w:t>
            </w:r>
          </w:p>
        </w:tc>
      </w:tr>
    </w:tbl>
    <w:p>
      <w:pPr>
        <w:spacing w:after="80"/>
      </w:pPr>
    </w:p>
    <w:p>
      <w:pPr>
        <w:keepNext/>
        <w:spacing w:before="240" w:after="80"/>
      </w:pPr>
      <w:r>
        <w:rPr>
          <w:b/>
          <w:color w:val="1F3B57"/>
          <w:sz w:val="24"/>
        </w:rPr>
        <w:t>7.3 Les quatre objections à préparer</w:t>
      </w:r>
    </w:p>
    <w:tbl>
      <w:tblPr>
        <w:tblStyle w:val="TableGrid"/>
        <w:tblW w:type="auto" w:w="0"/>
        <w:jc w:val="center"/>
        <w:tblLook w:firstColumn="1" w:firstRow="1" w:lastColumn="0" w:lastRow="0" w:noHBand="0" w:noVBand="1" w:val="04A0"/>
      </w:tblPr>
      <w:tblGrid>
        <w:gridCol w:w="4873"/>
        <w:gridCol w:w="4873"/>
      </w:tblGrid>
      <w:tr>
        <w:tc>
          <w:tcPr>
            <w:tcW w:type="dxa" w:w="3118"/>
            <w:shd w:val="clear" w:fill="1F3B57"/>
          </w:tcPr>
          <w:p>
            <w:r/>
            <w:r>
              <w:rPr>
                <w:b/>
                <w:color w:val="FFFFFF"/>
                <w:sz w:val="18"/>
              </w:rPr>
              <w:t>Objection</w:t>
            </w:r>
          </w:p>
        </w:tc>
        <w:tc>
          <w:tcPr>
            <w:tcW w:type="dxa" w:w="6236"/>
            <w:shd w:val="clear" w:fill="1F3B57"/>
          </w:tcPr>
          <w:p>
            <w:r/>
            <w:r>
              <w:rPr>
                <w:b/>
                <w:color w:val="FFFFFF"/>
                <w:sz w:val="18"/>
              </w:rPr>
              <w:t>Réponse</w:t>
            </w:r>
          </w:p>
        </w:tc>
      </w:tr>
      <w:tr>
        <w:tc>
          <w:tcPr>
            <w:tcW w:type="dxa" w:w="3118"/>
          </w:tcPr>
          <w:p>
            <w:pPr>
              <w:spacing w:after="40"/>
            </w:pPr>
            <w:r/>
            <w:r>
              <w:rPr>
                <w:b w:val="0"/>
                <w:sz w:val="18"/>
              </w:rPr>
              <w:t>« La PPE 3 revoit les ambitions biomasse à la baisse, la ressource est contrainte »</w:t>
            </w:r>
          </w:p>
        </w:tc>
        <w:tc>
          <w:tcPr>
            <w:tcW w:type="dxa" w:w="6236"/>
          </w:tcPr>
          <w:p>
            <w:pPr>
              <w:spacing w:after="40"/>
            </w:pPr>
            <w:r/>
            <w:r>
              <w:rPr>
                <w:b w:val="0"/>
                <w:sz w:val="18"/>
              </w:rPr>
              <w:t>Nos projets ne mobilisent pas de coupes dédiées mais des connexes, houppiers, bois d’éclaircie, bois scolytés et coupes sanitaires ; ils respectent la hiérarchie des usages ; ils valorisent les sous-produits du bois d’œuvre plutôt qu’ils ne le concurrencent. Trois bassins disjoints, aucune concurrence entre sites.</w:t>
            </w:r>
          </w:p>
        </w:tc>
      </w:tr>
      <w:tr>
        <w:tc>
          <w:tcPr>
            <w:tcW w:type="dxa" w:w="3118"/>
          </w:tcPr>
          <w:p>
            <w:pPr>
              <w:spacing w:after="40"/>
            </w:pPr>
            <w:r/>
            <w:r>
              <w:rPr>
                <w:b w:val="0"/>
                <w:sz w:val="18"/>
              </w:rPr>
              <w:t>« La France atteint l’autosuffisance, à quoi bon de nouvelles capacités ? »</w:t>
            </w:r>
          </w:p>
        </w:tc>
        <w:tc>
          <w:tcPr>
            <w:tcW w:type="dxa" w:w="6236"/>
          </w:tcPr>
          <w:p>
            <w:pPr>
              <w:spacing w:after="40"/>
            </w:pPr>
            <w:r/>
            <w:r>
              <w:rPr>
                <w:b w:val="0"/>
                <w:sz w:val="18"/>
              </w:rPr>
              <w:t xml:space="preserve">Le déficit demeure sur le segment </w:t>
            </w:r>
            <w:r>
              <w:rPr>
                <w:b/>
                <w:sz w:val="18"/>
              </w:rPr>
              <w:t>industriel et européen</w:t>
            </w:r>
            <w:r>
              <w:rPr>
                <w:b w:val="0"/>
                <w:sz w:val="18"/>
              </w:rPr>
              <w:t>, qui est le cœur de notre modèle. Et l’autosuffisance nationale masque des déséquilibres régionaux : chacune des trois régions produit moins que sa ressource et sa demande ne le justifieraient.</w:t>
            </w:r>
          </w:p>
        </w:tc>
      </w:tr>
      <w:tr>
        <w:tc>
          <w:tcPr>
            <w:tcW w:type="dxa" w:w="3118"/>
          </w:tcPr>
          <w:p>
            <w:pPr>
              <w:spacing w:after="40"/>
            </w:pPr>
            <w:r/>
            <w:r>
              <w:rPr>
                <w:b w:val="0"/>
                <w:sz w:val="18"/>
              </w:rPr>
              <w:t>« Le bois-énergie est contesté sur le plan environnemental »</w:t>
            </w:r>
          </w:p>
        </w:tc>
        <w:tc>
          <w:tcPr>
            <w:tcW w:type="dxa" w:w="6236"/>
          </w:tcPr>
          <w:p>
            <w:pPr>
              <w:spacing w:after="40"/>
            </w:pPr>
            <w:r/>
            <w:r>
              <w:rPr>
                <w:b w:val="0"/>
                <w:sz w:val="18"/>
              </w:rPr>
              <w:t>Certification PEFC/FSC, norme ENplus, conformité aux critères RED III, circuit court de 150 km, report modal ferroviaire à Damblain et en phase 2 à Hirson, zéro artificialisation, valorisation en cascade y compris interne.</w:t>
            </w:r>
          </w:p>
        </w:tc>
      </w:tr>
      <w:tr>
        <w:tc>
          <w:tcPr>
            <w:tcW w:type="dxa" w:w="3118"/>
          </w:tcPr>
          <w:p>
            <w:pPr>
              <w:spacing w:after="40"/>
            </w:pPr>
            <w:r/>
            <w:r>
              <w:rPr>
                <w:b w:val="0"/>
                <w:sz w:val="18"/>
              </w:rPr>
              <w:t>« Que se passe-t-il si le marché résidentiel se contracte ? »</w:t>
            </w:r>
          </w:p>
        </w:tc>
        <w:tc>
          <w:tcPr>
            <w:tcW w:type="dxa" w:w="6236"/>
          </w:tcPr>
          <w:p>
            <w:pPr>
              <w:spacing w:after="40"/>
            </w:pPr>
            <w:r/>
            <w:r>
              <w:rPr>
                <w:b w:val="0"/>
                <w:sz w:val="18"/>
              </w:rPr>
              <w:t>Le modèle repose sur des contrats d’achat de long terme avec des contreparties industrielles de premier rang, non sur le marché résidentiel diffus. Le résidentiel est un complément de valorisation, pas le socle. La réforme de MaPrimeRénov’ au 1er janvier 2026 n’affecte pas le cœur du modèle.</w:t>
            </w:r>
          </w:p>
        </w:tc>
      </w:tr>
    </w:tbl>
    <w:p>
      <w:pPr>
        <w:spacing w:after="80"/>
      </w:pPr>
    </w:p>
    <w:p>
      <w:r>
        <w:br w:type="page"/>
      </w:r>
    </w:p>
    <w:p>
      <w:pPr>
        <w:keepNext/>
        <w:spacing w:before="360" w:after="160"/>
        <w:pBdr>
          <w:bottom w:val="single" w:sz="8" w:space="2" w:color="1F3B57"/>
        </w:pBdr>
      </w:pPr>
      <w:r>
        <w:rPr>
          <w:b/>
          <w:color w:val="1F3B57"/>
          <w:sz w:val="28"/>
        </w:rPr>
        <w:t>PARTIE VIII — FEUILLE DE ROUTE INSTITUTIONNELLE</w:t>
      </w:r>
    </w:p>
    <w:p>
      <w:pPr>
        <w:jc w:val="both"/>
      </w:pPr>
      <w:r>
        <w:rPr>
          <w:b w:val="0"/>
          <w:i/>
          <w:sz w:val="21"/>
        </w:rPr>
        <w:t>Priorisation proposée à douze mois, par site. Les échéances externes contraignantes sont signalées en gras.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fill="1F3B57"/>
          </w:tcPr>
          <w:p>
            <w:r/>
            <w:r>
              <w:rPr>
                <w:b/>
                <w:color w:val="FFFFFF"/>
                <w:sz w:val="17"/>
              </w:rPr>
              <w:t>Site</w:t>
            </w:r>
          </w:p>
        </w:tc>
        <w:tc>
          <w:tcPr>
            <w:tcW w:type="dxa" w:w="2778"/>
            <w:shd w:val="clear" w:fill="1F3B57"/>
          </w:tcPr>
          <w:p>
            <w:r/>
            <w:r>
              <w:rPr>
                <w:b/>
                <w:color w:val="FFFFFF"/>
                <w:sz w:val="17"/>
              </w:rPr>
              <w:t>Priorité 1</w:t>
            </w:r>
          </w:p>
        </w:tc>
        <w:tc>
          <w:tcPr>
            <w:tcW w:type="dxa" w:w="2778"/>
            <w:shd w:val="clear" w:fill="1F3B57"/>
          </w:tcPr>
          <w:p>
            <w:r/>
            <w:r>
              <w:rPr>
                <w:b/>
                <w:color w:val="FFFFFF"/>
                <w:sz w:val="17"/>
              </w:rPr>
              <w:t>Priorité 2</w:t>
            </w:r>
          </w:p>
        </w:tc>
        <w:tc>
          <w:tcPr>
            <w:tcW w:type="dxa" w:w="2778"/>
            <w:shd w:val="clear" w:fill="1F3B57"/>
          </w:tcPr>
          <w:p>
            <w:r/>
            <w:r>
              <w:rPr>
                <w:b/>
                <w:color w:val="FFFFFF"/>
                <w:sz w:val="17"/>
              </w:rPr>
              <w:t>Priorité 3</w:t>
            </w:r>
          </w:p>
        </w:tc>
      </w:tr>
      <w:tr>
        <w:tc>
          <w:tcPr>
            <w:tcW w:type="dxa" w:w="1361"/>
          </w:tcPr>
          <w:p>
            <w:pPr>
              <w:spacing w:after="40"/>
            </w:pPr>
            <w:r/>
            <w:r>
              <w:rPr>
                <w:b/>
                <w:sz w:val="17"/>
              </w:rPr>
              <w:t>Damblain</w:t>
            </w:r>
          </w:p>
        </w:tc>
        <w:tc>
          <w:tcPr>
            <w:tcW w:type="dxa" w:w="2778"/>
          </w:tcPr>
          <w:p>
            <w:pPr>
              <w:spacing w:after="40"/>
            </w:pPr>
            <w:r/>
            <w:r>
              <w:rPr>
                <w:b w:val="0"/>
                <w:sz w:val="17"/>
              </w:rPr>
              <w:t xml:space="preserve">Engager la Région Grand Est au titre de la </w:t>
            </w:r>
            <w:r>
              <w:rPr>
                <w:b/>
                <w:sz w:val="17"/>
              </w:rPr>
              <w:t>délégation du Fonds chaleur</w:t>
            </w:r>
            <w:r>
              <w:rPr>
                <w:b w:val="0"/>
                <w:sz w:val="17"/>
              </w:rPr>
              <w:t xml:space="preserve"> (Climaxion) — circuit d’instruction le plus court de la plateforme</w:t>
            </w:r>
          </w:p>
        </w:tc>
        <w:tc>
          <w:tcPr>
            <w:tcW w:type="dxa" w:w="2778"/>
          </w:tcPr>
          <w:p>
            <w:pPr>
              <w:spacing w:after="40"/>
            </w:pPr>
            <w:r/>
            <w:r>
              <w:rPr>
                <w:b w:val="0"/>
                <w:sz w:val="17"/>
              </w:rPr>
              <w:t xml:space="preserve">Programmer la </w:t>
            </w:r>
            <w:r>
              <w:rPr>
                <w:b/>
                <w:sz w:val="17"/>
              </w:rPr>
              <w:t>réunion de pré-dépôt BCIAT</w:t>
            </w:r>
            <w:r>
              <w:rPr>
                <w:b w:val="0"/>
                <w:sz w:val="17"/>
              </w:rPr>
              <w:t>, obligatoire un mois avant l’échéance de la campagne</w:t>
            </w:r>
          </w:p>
        </w:tc>
        <w:tc>
          <w:tcPr>
            <w:tcW w:type="dxa" w:w="2778"/>
          </w:tcPr>
          <w:p>
            <w:pPr>
              <w:spacing w:after="40"/>
            </w:pPr>
            <w:r/>
            <w:r>
              <w:rPr>
                <w:b w:val="0"/>
                <w:sz w:val="17"/>
              </w:rPr>
              <w:t>Porter le projet en COP régionale comme référence de la stratégie bioénergie ; mobiliser le Département sur le retour d’investissement de l’embranchement fer</w:t>
            </w:r>
          </w:p>
        </w:tc>
      </w:tr>
      <w:tr>
        <w:tc>
          <w:tcPr>
            <w:tcW w:type="dxa" w:w="1361"/>
          </w:tcPr>
          <w:p>
            <w:pPr>
              <w:spacing w:after="40"/>
            </w:pPr>
            <w:r/>
            <w:r>
              <w:rPr>
                <w:b/>
                <w:sz w:val="17"/>
              </w:rPr>
              <w:t>Hirson</w:t>
            </w:r>
          </w:p>
        </w:tc>
        <w:tc>
          <w:tcPr>
            <w:tcW w:type="dxa" w:w="2778"/>
          </w:tcPr>
          <w:p>
            <w:pPr>
              <w:spacing w:after="40"/>
            </w:pPr>
            <w:r/>
            <w:r>
              <w:rPr>
                <w:b/>
                <w:sz w:val="17"/>
              </w:rPr>
              <w:t>Sécuriser l’instruction</w:t>
            </w:r>
            <w:r>
              <w:rPr>
                <w:b w:val="0"/>
                <w:sz w:val="17"/>
              </w:rPr>
              <w:t xml:space="preserve"> du permis de construire et de l’autorisation d’exploiter ; traiter en amont le point de gabarit PLU avec la commune et la DDT</w:t>
            </w:r>
          </w:p>
        </w:tc>
        <w:tc>
          <w:tcPr>
            <w:tcW w:type="dxa" w:w="2778"/>
          </w:tcPr>
          <w:p>
            <w:pPr>
              <w:spacing w:after="40"/>
            </w:pPr>
            <w:r/>
            <w:r>
              <w:rPr>
                <w:b/>
                <w:sz w:val="17"/>
              </w:rPr>
              <w:t>Déposer au Fonds vert recyclage foncier</w:t>
            </w:r>
            <w:r>
              <w:rPr>
                <w:b w:val="0"/>
                <w:sz w:val="17"/>
              </w:rPr>
              <w:t xml:space="preserve"> en s’appuyant sur le label Petite Ville de Demain — enveloppe nationale en contraction, déposer tôt</w:t>
            </w:r>
          </w:p>
        </w:tc>
        <w:tc>
          <w:tcPr>
            <w:tcW w:type="dxa" w:w="2778"/>
          </w:tcPr>
          <w:p>
            <w:pPr>
              <w:spacing w:after="40"/>
            </w:pPr>
            <w:r/>
            <w:r>
              <w:rPr>
                <w:b w:val="0"/>
                <w:sz w:val="17"/>
              </w:rPr>
              <w:t xml:space="preserve">Inscrire le projet à la gouvernance du </w:t>
            </w:r>
            <w:r>
              <w:rPr>
                <w:b/>
                <w:sz w:val="17"/>
              </w:rPr>
              <w:t>Pacte SAT acte 3 (2025-2029)</w:t>
            </w:r>
            <w:r>
              <w:rPr>
                <w:b w:val="0"/>
                <w:sz w:val="17"/>
              </w:rPr>
              <w:t xml:space="preserve"> et au binôme Territoires d’industrie ; confirmer le classement FRR</w:t>
            </w:r>
          </w:p>
        </w:tc>
      </w:tr>
      <w:tr>
        <w:tc>
          <w:tcPr>
            <w:tcW w:type="dxa" w:w="1361"/>
          </w:tcPr>
          <w:p>
            <w:pPr>
              <w:spacing w:after="40"/>
            </w:pPr>
            <w:r/>
            <w:r>
              <w:rPr>
                <w:b/>
                <w:sz w:val="17"/>
              </w:rPr>
              <w:t>Écommoy</w:t>
            </w:r>
          </w:p>
        </w:tc>
        <w:tc>
          <w:tcPr>
            <w:tcW w:type="dxa" w:w="2778"/>
          </w:tcPr>
          <w:p>
            <w:pPr>
              <w:spacing w:after="40"/>
            </w:pPr>
            <w:r/>
            <w:r>
              <w:rPr>
                <w:b/>
                <w:sz w:val="17"/>
              </w:rPr>
              <w:t>Arbitrer la configuration thermique</w:t>
            </w:r>
            <w:r>
              <w:rPr>
                <w:b w:val="0"/>
                <w:sz w:val="17"/>
              </w:rPr>
              <w:t xml:space="preserve"> (CSR ou biomasse) — cet arbitrage commande les guichets mobilisables</w:t>
            </w:r>
          </w:p>
        </w:tc>
        <w:tc>
          <w:tcPr>
            <w:tcW w:type="dxa" w:w="2778"/>
          </w:tcPr>
          <w:p>
            <w:pPr>
              <w:spacing w:after="40"/>
            </w:pPr>
            <w:r/>
            <w:r>
              <w:rPr>
                <w:b w:val="0"/>
                <w:sz w:val="17"/>
              </w:rPr>
              <w:t>Consolider l’approvisionnement : contrats fermes et homogénéisation des taux PEFC</w:t>
            </w:r>
          </w:p>
        </w:tc>
        <w:tc>
          <w:tcPr>
            <w:tcW w:type="dxa" w:w="2778"/>
          </w:tcPr>
          <w:p>
            <w:pPr>
              <w:spacing w:after="40"/>
            </w:pPr>
            <w:r/>
            <w:r>
              <w:rPr>
                <w:b w:val="0"/>
                <w:sz w:val="17"/>
              </w:rPr>
              <w:t>Déposer au Fonds vert recyclage foncier sur la base de la qualification juridique de friche et de l’avis du commissaire enquêteur</w:t>
            </w:r>
          </w:p>
        </w:tc>
      </w:tr>
      <w:tr>
        <w:tc>
          <w:tcPr>
            <w:tcW w:type="dxa" w:w="1361"/>
          </w:tcPr>
          <w:p>
            <w:pPr>
              <w:spacing w:after="40"/>
            </w:pPr>
            <w:r/>
            <w:r>
              <w:rPr>
                <w:b/>
                <w:sz w:val="17"/>
              </w:rPr>
              <w:t>Plateforme</w:t>
            </w:r>
          </w:p>
        </w:tc>
        <w:tc>
          <w:tcPr>
            <w:tcW w:type="dxa" w:w="2778"/>
          </w:tcPr>
          <w:p>
            <w:pPr>
              <w:spacing w:after="40"/>
            </w:pPr>
            <w:r/>
            <w:r>
              <w:rPr>
                <w:b w:val="0"/>
                <w:sz w:val="17"/>
              </w:rPr>
              <w:t>Harmoniser les trois dossiers régionaux sur les données arrêtées (capacités, emplois, méthode CO₂)</w:t>
            </w:r>
          </w:p>
        </w:tc>
        <w:tc>
          <w:tcPr>
            <w:tcW w:type="dxa" w:w="2778"/>
          </w:tcPr>
          <w:p>
            <w:pPr>
              <w:spacing w:after="40"/>
            </w:pPr>
            <w:r/>
            <w:r>
              <w:rPr>
                <w:b w:val="0"/>
                <w:sz w:val="17"/>
              </w:rPr>
              <w:t>Mettre à jour les références nationales obsolètes : PPE 3, MaPrimeRénov’, RED III, FRR</w:t>
            </w:r>
          </w:p>
        </w:tc>
        <w:tc>
          <w:tcPr>
            <w:tcW w:type="dxa" w:w="2778"/>
          </w:tcPr>
          <w:p>
            <w:pPr>
              <w:spacing w:after="40"/>
            </w:pPr>
            <w:r/>
            <w:r>
              <w:rPr>
                <w:b w:val="0"/>
                <w:sz w:val="17"/>
              </w:rPr>
              <w:t>Constituer une cartographie des trois bassins d’approvisionnement, pièce de réponse à l’objection « concurrence sur la ressource »</w:t>
            </w:r>
          </w:p>
        </w:tc>
      </w:tr>
    </w:tbl>
    <w:p>
      <w:pPr>
        <w:spacing w:after="80"/>
      </w:pPr>
    </w:p>
    <w:p>
      <w:pPr>
        <w:keepNext/>
        <w:spacing w:before="240" w:after="80"/>
      </w:pPr>
      <w:r>
        <w:rPr>
          <w:b/>
          <w:color w:val="1F3B57"/>
          <w:sz w:val="24"/>
        </w:rPr>
        <w:t>8.2 Séquence type d’une approche institutionnelle nouvelle</w:t>
      </w:r>
    </w:p>
    <w:p>
      <w:pPr>
        <w:pStyle w:val="ListNumber"/>
        <w:spacing w:after="60"/>
        <w:ind w:left="340"/>
        <w:jc w:val="both"/>
      </w:pPr>
      <w:r>
        <w:rPr>
          <w:b/>
          <w:sz w:val="21"/>
        </w:rPr>
        <w:t>Cadrer l’échelon pertinent.</w:t>
      </w:r>
      <w:r>
        <w:rPr>
          <w:b w:val="0"/>
          <w:sz w:val="21"/>
        </w:rPr>
        <w:t xml:space="preserve"> Financement de la chaleur : ADEME, ou Région Grand Est par délégation. Foncier et friche : préfecture et DDT. Emploi et développement économique : Région et EPCI. Ne pas solliciter le mauvais guichet, c’est perdre un trimestre.</w:t>
      </w:r>
    </w:p>
    <w:p>
      <w:pPr>
        <w:pStyle w:val="ListNumber"/>
        <w:spacing w:after="60"/>
        <w:ind w:left="340"/>
        <w:jc w:val="both"/>
      </w:pPr>
      <w:r>
        <w:rPr>
          <w:b/>
          <w:sz w:val="21"/>
        </w:rPr>
        <w:t>Entrer par le document qui s’impose à l’interlocuteur</w:t>
      </w:r>
      <w:r>
        <w:rPr>
          <w:b w:val="0"/>
          <w:sz w:val="21"/>
        </w:rPr>
        <w:t>, et non par le projet. Un chargé de mission régional répond d’un SRADDET, pas d’un plan d’affaires.</w:t>
      </w:r>
    </w:p>
    <w:p>
      <w:pPr>
        <w:pStyle w:val="ListNumber"/>
        <w:spacing w:after="60"/>
        <w:ind w:left="340"/>
        <w:jc w:val="both"/>
      </w:pPr>
      <w:r>
        <w:rPr>
          <w:b/>
          <w:sz w:val="21"/>
        </w:rPr>
        <w:t>Produire la preuve avant l’argument.</w:t>
      </w:r>
      <w:r>
        <w:rPr>
          <w:b w:val="0"/>
          <w:sz w:val="21"/>
        </w:rPr>
        <w:t xml:space="preserve"> Autorisation purgée de recours, délibération municipale, avis du commissaire enquêteur, lettres d’intention : ce sont les pièces qui font la différence en instruction.</w:t>
      </w:r>
    </w:p>
    <w:p>
      <w:pPr>
        <w:pStyle w:val="ListNumber"/>
        <w:spacing w:after="60"/>
        <w:ind w:left="340"/>
        <w:jc w:val="both"/>
      </w:pPr>
      <w:r>
        <w:rPr>
          <w:b/>
          <w:sz w:val="21"/>
        </w:rPr>
        <w:t>Formuler une demande précise.</w:t>
      </w:r>
      <w:r>
        <w:rPr>
          <w:b w:val="0"/>
          <w:sz w:val="21"/>
        </w:rPr>
        <w:t xml:space="preserve"> Un dossier institutionnel qui ne se conclut pas par une demande identifiée — instruction d’une aide, inscription à une gouvernance, courrier de soutien, rendez-vous technique — n’a pas de suite.</w:t>
      </w:r>
    </w:p>
    <w:p>
      <w:pPr>
        <w:pStyle w:val="ListNumber"/>
        <w:spacing w:after="60"/>
        <w:ind w:left="340"/>
        <w:jc w:val="both"/>
      </w:pPr>
      <w:r>
        <w:rPr>
          <w:b/>
          <w:sz w:val="21"/>
        </w:rPr>
        <w:t>Tracer et recontacter.</w:t>
      </w:r>
      <w:r>
        <w:rPr>
          <w:b w:val="0"/>
          <w:sz w:val="21"/>
        </w:rPr>
        <w:t xml:space="preserve"> Chaque échange donne lieu à un compte rendu et à une échéance de relance.</w:t>
      </w:r>
    </w:p>
    <w:p>
      <w:r>
        <w:br w:type="page"/>
      </w:r>
    </w:p>
    <w:p>
      <w:pPr>
        <w:keepNext/>
        <w:spacing w:before="360" w:after="160"/>
        <w:pBdr>
          <w:bottom w:val="single" w:sz="8" w:space="2" w:color="1F3B57"/>
        </w:pBdr>
      </w:pPr>
      <w:r>
        <w:rPr>
          <w:b/>
          <w:color w:val="1F3B57"/>
          <w:sz w:val="28"/>
        </w:rPr>
        <w:t>ANNEXE A — ÉCARTS ET INCOHÉRENCES RELEVÉS ENTRE LES DOSSIERS SOURCES</w:t>
      </w:r>
    </w:p>
    <w:p>
      <w:pPr>
        <w:jc w:val="both"/>
      </w:pPr>
      <w:r>
        <w:rPr>
          <w:b w:val="0"/>
          <w:i/>
          <w:sz w:val="21"/>
        </w:rPr>
        <w:t>Ces écarts sont sans conséquence tant que les dossiers circulent séparément. Ils deviennent un risque dès lors qu’un même interlocuteur — un service de l’État, une banque, l’ADEME — en voit deux. À corriger dans les versions régionales.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F3B57"/>
          </w:tcPr>
          <w:p>
            <w:r/>
            <w:r>
              <w:rPr>
                <w:b/>
                <w:color w:val="FFFFFF"/>
                <w:sz w:val="17"/>
              </w:rPr>
              <w:t>Objet</w:t>
            </w:r>
          </w:p>
        </w:tc>
        <w:tc>
          <w:tcPr>
            <w:tcW w:type="dxa" w:w="3572"/>
            <w:shd w:val="clear" w:fill="1F3B57"/>
          </w:tcPr>
          <w:p>
            <w:r/>
            <w:r>
              <w:rPr>
                <w:b/>
                <w:color w:val="FFFFFF"/>
                <w:sz w:val="17"/>
              </w:rPr>
              <w:t>Ce que disent les dossiers sources</w:t>
            </w:r>
          </w:p>
        </w:tc>
        <w:tc>
          <w:tcPr>
            <w:tcW w:type="dxa" w:w="3969"/>
            <w:shd w:val="clear" w:fill="1F3B57"/>
          </w:tcPr>
          <w:p>
            <w:r/>
            <w:r>
              <w:rPr>
                <w:b/>
                <w:color w:val="FFFFFF"/>
                <w:sz w:val="17"/>
              </w:rPr>
              <w:t>Traitement retenu</w:t>
            </w:r>
          </w:p>
        </w:tc>
      </w:tr>
      <w:tr>
        <w:tc>
          <w:tcPr>
            <w:tcW w:type="dxa" w:w="1814"/>
          </w:tcPr>
          <w:p>
            <w:pPr>
              <w:spacing w:after="40"/>
            </w:pPr>
            <w:r/>
            <w:r>
              <w:rPr>
                <w:b w:val="0"/>
                <w:sz w:val="17"/>
              </w:rPr>
              <w:t>Capacité Hirson</w:t>
            </w:r>
          </w:p>
        </w:tc>
        <w:tc>
          <w:tcPr>
            <w:tcW w:type="dxa" w:w="3572"/>
          </w:tcPr>
          <w:p>
            <w:pPr>
              <w:spacing w:after="40"/>
            </w:pPr>
            <w:r/>
            <w:r>
              <w:rPr>
                <w:b w:val="0"/>
                <w:sz w:val="17"/>
              </w:rPr>
              <w:t>120 000 t/an (dossier de mai 2026)</w:t>
            </w:r>
          </w:p>
        </w:tc>
        <w:tc>
          <w:tcPr>
            <w:tcW w:type="dxa" w:w="3969"/>
          </w:tcPr>
          <w:p>
            <w:pPr>
              <w:spacing w:after="40"/>
            </w:pPr>
            <w:r/>
            <w:r>
              <w:rPr>
                <w:b/>
                <w:sz w:val="17"/>
              </w:rPr>
              <w:t>100 000 t/an</w:t>
            </w:r>
            <w:r>
              <w:rPr>
                <w:b w:val="0"/>
                <w:sz w:val="17"/>
              </w:rPr>
              <w:t xml:space="preserve"> — arbitrage direction. À corriger dans le dossier Hirson, y compris dans les calculs de CO₂ et de besoin biomasse qui en découlent.</w:t>
            </w:r>
          </w:p>
        </w:tc>
      </w:tr>
      <w:tr>
        <w:tc>
          <w:tcPr>
            <w:tcW w:type="dxa" w:w="1814"/>
          </w:tcPr>
          <w:p>
            <w:pPr>
              <w:spacing w:after="40"/>
            </w:pPr>
            <w:r/>
            <w:r>
              <w:rPr>
                <w:b w:val="0"/>
                <w:sz w:val="17"/>
              </w:rPr>
              <w:t>Capacité Écommoy</w:t>
            </w:r>
          </w:p>
        </w:tc>
        <w:tc>
          <w:tcPr>
            <w:tcW w:type="dxa" w:w="3572"/>
          </w:tcPr>
          <w:p>
            <w:pPr>
              <w:spacing w:after="40"/>
            </w:pPr>
            <w:r/>
            <w:r>
              <w:rPr>
                <w:b w:val="0"/>
                <w:sz w:val="17"/>
              </w:rPr>
              <w:t>100 000 t/an (dossier d’avril 2026)</w:t>
            </w:r>
          </w:p>
        </w:tc>
        <w:tc>
          <w:tcPr>
            <w:tcW w:type="dxa" w:w="3969"/>
          </w:tcPr>
          <w:p>
            <w:pPr>
              <w:spacing w:after="40"/>
            </w:pPr>
            <w:r/>
            <w:r>
              <w:rPr>
                <w:b/>
                <w:sz w:val="17"/>
              </w:rPr>
              <w:t>92 000 t/an</w:t>
            </w:r>
            <w:r>
              <w:rPr>
                <w:b w:val="0"/>
                <w:sz w:val="17"/>
              </w:rPr>
              <w:t xml:space="preserve"> — arbitrage direction. Améliore le taux de couverture contractuelle de l’approvisionnement.</w:t>
            </w:r>
          </w:p>
        </w:tc>
      </w:tr>
      <w:tr>
        <w:tc>
          <w:tcPr>
            <w:tcW w:type="dxa" w:w="1814"/>
          </w:tcPr>
          <w:p>
            <w:pPr>
              <w:spacing w:after="40"/>
            </w:pPr>
            <w:r/>
            <w:r>
              <w:rPr>
                <w:b w:val="0"/>
                <w:sz w:val="17"/>
              </w:rPr>
              <w:t>Emplois directs Damblain</w:t>
            </w:r>
          </w:p>
        </w:tc>
        <w:tc>
          <w:tcPr>
            <w:tcW w:type="dxa" w:w="3572"/>
          </w:tcPr>
          <w:p>
            <w:pPr>
              <w:spacing w:after="40"/>
            </w:pPr>
            <w:r/>
            <w:r>
              <w:rPr>
                <w:b w:val="0"/>
                <w:sz w:val="17"/>
              </w:rPr>
              <w:t>Le dossier écrit tantôt 26, tantôt 30 emplois directs</w:t>
            </w:r>
          </w:p>
        </w:tc>
        <w:tc>
          <w:tcPr>
            <w:tcW w:type="dxa" w:w="3969"/>
          </w:tcPr>
          <w:p>
            <w:pPr>
              <w:spacing w:after="40"/>
            </w:pPr>
            <w:r/>
            <w:r>
              <w:rPr>
                <w:b/>
                <w:sz w:val="17"/>
              </w:rPr>
              <w:t>30</w:t>
            </w:r>
            <w:r>
              <w:rPr>
                <w:b w:val="0"/>
                <w:sz w:val="17"/>
              </w:rPr>
              <w:t xml:space="preserve"> partout.</w:t>
            </w:r>
          </w:p>
        </w:tc>
      </w:tr>
      <w:tr>
        <w:tc>
          <w:tcPr>
            <w:tcW w:type="dxa" w:w="1814"/>
          </w:tcPr>
          <w:p>
            <w:pPr>
              <w:spacing w:after="40"/>
            </w:pPr>
            <w:r/>
            <w:r>
              <w:rPr>
                <w:b w:val="0"/>
                <w:sz w:val="17"/>
              </w:rPr>
              <w:t>Emplois indirects Damblain</w:t>
            </w:r>
          </w:p>
        </w:tc>
        <w:tc>
          <w:tcPr>
            <w:tcW w:type="dxa" w:w="3572"/>
          </w:tcPr>
          <w:p>
            <w:pPr>
              <w:spacing w:after="40"/>
            </w:pPr>
            <w:r/>
            <w:r>
              <w:rPr>
                <w:b w:val="0"/>
                <w:sz w:val="17"/>
              </w:rPr>
              <w:t>Tableau totalisant « ≈ 26+ », avec une ligne manifestement erronée (« 4–1 »)</w:t>
            </w:r>
          </w:p>
        </w:tc>
        <w:tc>
          <w:tcPr>
            <w:tcW w:type="dxa" w:w="3969"/>
          </w:tcPr>
          <w:p>
            <w:pPr>
              <w:spacing w:after="40"/>
            </w:pPr>
            <w:r/>
            <w:r>
              <w:rPr>
                <w:b/>
                <w:sz w:val="17"/>
              </w:rPr>
              <w:t>100</w:t>
            </w:r>
            <w:r>
              <w:rPr>
                <w:b w:val="0"/>
                <w:sz w:val="17"/>
              </w:rPr>
              <w:t xml:space="preserve"> emplois indirects, tableau à reconstruire sur le modèle de celui d’Écommoy ou d’Hirson.</w:t>
            </w:r>
          </w:p>
        </w:tc>
      </w:tr>
      <w:tr>
        <w:tc>
          <w:tcPr>
            <w:tcW w:type="dxa" w:w="1814"/>
          </w:tcPr>
          <w:p>
            <w:pPr>
              <w:spacing w:after="40"/>
            </w:pPr>
            <w:r/>
            <w:r>
              <w:rPr>
                <w:b w:val="0"/>
                <w:sz w:val="17"/>
              </w:rPr>
              <w:t>Emplois indirects Écommoy</w:t>
            </w:r>
          </w:p>
        </w:tc>
        <w:tc>
          <w:tcPr>
            <w:tcW w:type="dxa" w:w="3572"/>
          </w:tcPr>
          <w:p>
            <w:pPr>
              <w:spacing w:after="40"/>
            </w:pPr>
            <w:r/>
            <w:r>
              <w:rPr>
                <w:b w:val="0"/>
                <w:sz w:val="17"/>
              </w:rPr>
              <w:t>Tableau totalisant ≈ 90, texte titré « 90+ »</w:t>
            </w:r>
          </w:p>
        </w:tc>
        <w:tc>
          <w:tcPr>
            <w:tcW w:type="dxa" w:w="3969"/>
          </w:tcPr>
          <w:p>
            <w:pPr>
              <w:spacing w:after="40"/>
            </w:pPr>
            <w:r/>
            <w:r>
              <w:rPr>
                <w:b/>
                <w:sz w:val="17"/>
              </w:rPr>
              <w:t>100</w:t>
            </w:r>
            <w:r>
              <w:rPr>
                <w:b w:val="0"/>
                <w:sz w:val="17"/>
              </w:rPr>
              <w:t>, tableau à ajuster.</w:t>
            </w:r>
          </w:p>
        </w:tc>
      </w:tr>
      <w:tr>
        <w:tc>
          <w:tcPr>
            <w:tcW w:type="dxa" w:w="1814"/>
          </w:tcPr>
          <w:p>
            <w:pPr>
              <w:spacing w:after="40"/>
            </w:pPr>
            <w:r/>
            <w:r>
              <w:rPr>
                <w:b w:val="0"/>
                <w:sz w:val="17"/>
              </w:rPr>
              <w:t>CO₂ évité</w:t>
            </w:r>
          </w:p>
        </w:tc>
        <w:tc>
          <w:tcPr>
            <w:tcW w:type="dxa" w:w="3572"/>
          </w:tcPr>
          <w:p>
            <w:pPr>
              <w:spacing w:after="40"/>
            </w:pPr>
            <w:r/>
            <w:r>
              <w:rPr>
                <w:b w:val="0"/>
                <w:sz w:val="17"/>
              </w:rPr>
              <w:t>Damblain : 111 132 t (référence gaz). Hirson : 154 000 t pour 120 000 t. Écommoy : 128 000 t (référence fioul)</w:t>
            </w:r>
          </w:p>
        </w:tc>
        <w:tc>
          <w:tcPr>
            <w:tcW w:type="dxa" w:w="3969"/>
          </w:tcPr>
          <w:p>
            <w:pPr>
              <w:spacing w:after="40"/>
            </w:pPr>
            <w:r/>
            <w:r>
              <w:rPr>
                <w:b w:val="0"/>
                <w:sz w:val="17"/>
              </w:rPr>
              <w:t>Méthode unique du § 2.8 appliquée aux trois sites, avec note de méthode. Écarts à assumer auprès des interlocuteurs déjà destinataires des versions antérieures.</w:t>
            </w:r>
          </w:p>
        </w:tc>
      </w:tr>
      <w:tr>
        <w:tc>
          <w:tcPr>
            <w:tcW w:type="dxa" w:w="1814"/>
          </w:tcPr>
          <w:p>
            <w:pPr>
              <w:spacing w:after="40"/>
            </w:pPr>
            <w:r/>
            <w:r>
              <w:rPr>
                <w:b w:val="0"/>
                <w:sz w:val="17"/>
              </w:rPr>
              <w:t>Rédacteur du dossier Écommoy</w:t>
            </w:r>
          </w:p>
        </w:tc>
        <w:tc>
          <w:tcPr>
            <w:tcW w:type="dxa" w:w="3572"/>
          </w:tcPr>
          <w:p>
            <w:pPr>
              <w:spacing w:after="40"/>
            </w:pPr>
            <w:r/>
            <w:r>
              <w:rPr>
                <w:b w:val="0"/>
                <w:sz w:val="17"/>
              </w:rPr>
              <w:t>« Rédigé par : Snooke — Secrétariat Général »</w:t>
            </w:r>
          </w:p>
        </w:tc>
        <w:tc>
          <w:tcPr>
            <w:tcW w:type="dxa" w:w="3969"/>
          </w:tcPr>
          <w:p>
            <w:pPr>
              <w:spacing w:after="40"/>
            </w:pPr>
            <w:r/>
            <w:r>
              <w:rPr>
                <w:b w:val="0"/>
                <w:sz w:val="17"/>
              </w:rPr>
              <w:t>À corriger : le contact institutionnel indiqué en pied de page est bien Maxence Druelle Fourniez.</w:t>
            </w:r>
          </w:p>
        </w:tc>
      </w:tr>
      <w:tr>
        <w:tc>
          <w:tcPr>
            <w:tcW w:type="dxa" w:w="1814"/>
          </w:tcPr>
          <w:p>
            <w:pPr>
              <w:spacing w:after="40"/>
            </w:pPr>
            <w:r/>
            <w:r>
              <w:rPr>
                <w:b w:val="0"/>
                <w:sz w:val="17"/>
              </w:rPr>
              <w:t>Dénomination du zonage rural</w:t>
            </w:r>
          </w:p>
        </w:tc>
        <w:tc>
          <w:tcPr>
            <w:tcW w:type="dxa" w:w="3572"/>
          </w:tcPr>
          <w:p>
            <w:pPr>
              <w:spacing w:after="40"/>
            </w:pPr>
            <w:r/>
            <w:r>
              <w:rPr>
                <w:b w:val="0"/>
                <w:sz w:val="17"/>
              </w:rPr>
              <w:t>Le dossier Écommoy parle de « ZRR depuis le 1er juillet 2024 »</w:t>
            </w:r>
          </w:p>
        </w:tc>
        <w:tc>
          <w:tcPr>
            <w:tcW w:type="dxa" w:w="3969"/>
          </w:tcPr>
          <w:p>
            <w:pPr>
              <w:spacing w:after="40"/>
            </w:pPr>
            <w:r/>
            <w:r>
              <w:rPr>
                <w:b/>
                <w:sz w:val="17"/>
              </w:rPr>
              <w:t>France Ruralités Revitalisation (FRR)</w:t>
            </w:r>
            <w:r>
              <w:rPr>
                <w:b w:val="0"/>
                <w:sz w:val="17"/>
              </w:rPr>
              <w:t xml:space="preserve"> : c’est la réforme qui a remplacé les ZRR à cette date.</w:t>
            </w:r>
          </w:p>
        </w:tc>
      </w:tr>
      <w:tr>
        <w:tc>
          <w:tcPr>
            <w:tcW w:type="dxa" w:w="1814"/>
          </w:tcPr>
          <w:p>
            <w:pPr>
              <w:spacing w:after="40"/>
            </w:pPr>
            <w:r/>
            <w:r>
              <w:rPr>
                <w:b w:val="0"/>
                <w:sz w:val="17"/>
              </w:rPr>
              <w:t>MaPrimeRénov’</w:t>
            </w:r>
          </w:p>
        </w:tc>
        <w:tc>
          <w:tcPr>
            <w:tcW w:type="dxa" w:w="3572"/>
          </w:tcPr>
          <w:p>
            <w:pPr>
              <w:spacing w:after="40"/>
            </w:pPr>
            <w:r/>
            <w:r>
              <w:rPr>
                <w:b w:val="0"/>
                <w:sz w:val="17"/>
              </w:rPr>
              <w:t>« jusqu’à 10 000 € pour une chaudière à granulés »</w:t>
            </w:r>
          </w:p>
        </w:tc>
        <w:tc>
          <w:tcPr>
            <w:tcW w:type="dxa" w:w="3969"/>
          </w:tcPr>
          <w:p>
            <w:pPr>
              <w:spacing w:after="40"/>
            </w:pPr>
            <w:r/>
            <w:r>
              <w:rPr>
                <w:b w:val="0"/>
                <w:sz w:val="17"/>
              </w:rPr>
              <w:t>Non éligible en geste unique depuis le 1er janvier 2026. Reformuler (§ 2.7).</w:t>
            </w:r>
          </w:p>
        </w:tc>
      </w:tr>
      <w:tr>
        <w:tc>
          <w:tcPr>
            <w:tcW w:type="dxa" w:w="1814"/>
          </w:tcPr>
          <w:p>
            <w:pPr>
              <w:spacing w:after="40"/>
            </w:pPr>
            <w:r/>
            <w:r>
              <w:rPr>
                <w:b w:val="0"/>
                <w:sz w:val="17"/>
              </w:rPr>
              <w:t>Pacte Sambre-Avesnois-Thiérache</w:t>
            </w:r>
          </w:p>
        </w:tc>
        <w:tc>
          <w:tcPr>
            <w:tcW w:type="dxa" w:w="3572"/>
          </w:tcPr>
          <w:p>
            <w:pPr>
              <w:spacing w:after="40"/>
            </w:pPr>
            <w:r/>
            <w:r>
              <w:rPr>
                <w:b w:val="0"/>
                <w:sz w:val="17"/>
              </w:rPr>
              <w:t>Référence aux actes antérieurs</w:t>
            </w:r>
          </w:p>
        </w:tc>
        <w:tc>
          <w:tcPr>
            <w:tcW w:type="dxa" w:w="3969"/>
          </w:tcPr>
          <w:p>
            <w:pPr>
              <w:spacing w:after="40"/>
            </w:pPr>
            <w:r/>
            <w:r>
              <w:rPr>
                <w:b/>
                <w:sz w:val="17"/>
              </w:rPr>
              <w:t>Acte 3 signé le 2 septembre 2025 pour 2025-2029, 44 signataires.</w:t>
            </w:r>
          </w:p>
        </w:tc>
      </w:tr>
      <w:tr>
        <w:tc>
          <w:tcPr>
            <w:tcW w:type="dxa" w:w="1814"/>
          </w:tcPr>
          <w:p>
            <w:pPr>
              <w:spacing w:after="40"/>
            </w:pPr>
            <w:r/>
            <w:r>
              <w:rPr>
                <w:b w:val="0"/>
                <w:sz w:val="17"/>
              </w:rPr>
              <w:t>Référence à « la PPE »</w:t>
            </w:r>
          </w:p>
        </w:tc>
        <w:tc>
          <w:tcPr>
            <w:tcW w:type="dxa" w:w="3572"/>
          </w:tcPr>
          <w:p>
            <w:pPr>
              <w:spacing w:after="40"/>
            </w:pPr>
            <w:r/>
            <w:r>
              <w:rPr>
                <w:b w:val="0"/>
                <w:sz w:val="17"/>
              </w:rPr>
              <w:t>Générique</w:t>
            </w:r>
          </w:p>
        </w:tc>
        <w:tc>
          <w:tcPr>
            <w:tcW w:type="dxa" w:w="3969"/>
          </w:tcPr>
          <w:p>
            <w:pPr>
              <w:spacing w:after="40"/>
            </w:pPr>
            <w:r/>
            <w:r>
              <w:rPr>
                <w:b/>
                <w:sz w:val="17"/>
              </w:rPr>
              <w:t>Décret n° 2026-76 du 12 février 2026</w:t>
            </w:r>
            <w:r>
              <w:rPr>
                <w:b w:val="0"/>
                <w:sz w:val="17"/>
              </w:rPr>
              <w:t xml:space="preserve"> (PPE 3, 2026-2035).</w:t>
            </w:r>
          </w:p>
        </w:tc>
      </w:tr>
      <w:tr>
        <w:tc>
          <w:tcPr>
            <w:tcW w:type="dxa" w:w="1814"/>
          </w:tcPr>
          <w:p>
            <w:pPr>
              <w:spacing w:after="40"/>
            </w:pPr>
            <w:r/>
            <w:r>
              <w:rPr>
                <w:b w:val="0"/>
                <w:sz w:val="17"/>
              </w:rPr>
              <w:t>Transposition RED III</w:t>
            </w:r>
          </w:p>
        </w:tc>
        <w:tc>
          <w:tcPr>
            <w:tcW w:type="dxa" w:w="3572"/>
          </w:tcPr>
          <w:p>
            <w:pPr>
              <w:spacing w:after="40"/>
            </w:pPr>
            <w:r/>
            <w:r>
              <w:rPr>
                <w:b w:val="0"/>
                <w:sz w:val="17"/>
              </w:rPr>
              <w:t>Présentée comme acquise</w:t>
            </w:r>
          </w:p>
        </w:tc>
        <w:tc>
          <w:tcPr>
            <w:tcW w:type="dxa" w:w="3969"/>
          </w:tcPr>
          <w:p>
            <w:pPr>
              <w:spacing w:after="40"/>
            </w:pPr>
            <w:r/>
            <w:r>
              <w:rPr>
                <w:b w:val="0"/>
                <w:sz w:val="17"/>
              </w:rPr>
              <w:t xml:space="preserve">Transposition </w:t>
            </w:r>
            <w:r>
              <w:rPr>
                <w:b/>
                <w:sz w:val="17"/>
              </w:rPr>
              <w:t>en cours</w:t>
            </w:r>
            <w:r>
              <w:rPr>
                <w:b w:val="0"/>
                <w:sz w:val="17"/>
              </w:rPr>
              <w:t xml:space="preserve"> ; clause d’antériorité RED II applicable dans l’intervalle.</w:t>
            </w:r>
          </w:p>
        </w:tc>
      </w:tr>
      <w:tr>
        <w:tc>
          <w:tcPr>
            <w:tcW w:type="dxa" w:w="1814"/>
          </w:tcPr>
          <w:p>
            <w:pPr>
              <w:spacing w:after="40"/>
            </w:pPr>
            <w:r/>
            <w:r>
              <w:rPr>
                <w:b w:val="0"/>
                <w:sz w:val="17"/>
              </w:rPr>
              <w:t>Chaudière CSR</w:t>
            </w:r>
          </w:p>
        </w:tc>
        <w:tc>
          <w:tcPr>
            <w:tcW w:type="dxa" w:w="3572"/>
          </w:tcPr>
          <w:p>
            <w:pPr>
              <w:spacing w:after="40"/>
            </w:pPr>
            <w:r/>
            <w:r>
              <w:rPr>
                <w:b w:val="0"/>
                <w:sz w:val="17"/>
              </w:rPr>
              <w:t>Le dossier Damblain n’en parle pas ; le dossier Écommoy la couvre</w:t>
            </w:r>
          </w:p>
        </w:tc>
        <w:tc>
          <w:tcPr>
            <w:tcW w:type="dxa" w:w="3969"/>
          </w:tcPr>
          <w:p>
            <w:pPr>
              <w:spacing w:after="40"/>
            </w:pPr>
            <w:r/>
            <w:r>
              <w:rPr>
                <w:b w:val="0"/>
                <w:sz w:val="17"/>
              </w:rPr>
              <w:t xml:space="preserve">Le CSR concerne </w:t>
            </w:r>
            <w:r>
              <w:rPr>
                <w:b/>
                <w:sz w:val="17"/>
              </w:rPr>
              <w:t>Écommoy uniquement</w:t>
            </w:r>
            <w:r>
              <w:rPr>
                <w:b w:val="0"/>
                <w:sz w:val="17"/>
              </w:rPr>
              <w:t>. Ne pas l’introduire sur les deux autres sites.</w:t>
            </w:r>
          </w:p>
        </w:tc>
      </w:tr>
    </w:tbl>
    <w:p>
      <w:pPr>
        <w:spacing w:after="80"/>
      </w:pPr>
    </w:p>
    <w:p>
      <w:pPr>
        <w:keepNext/>
        <w:spacing w:before="360" w:after="160"/>
        <w:pBdr>
          <w:bottom w:val="single" w:sz="8" w:space="2" w:color="1F3B57"/>
        </w:pBdr>
      </w:pPr>
      <w:r>
        <w:rPr>
          <w:b/>
          <w:color w:val="1F3B57"/>
          <w:sz w:val="28"/>
        </w:rPr>
        <w:t>ANNEXE B — DONNÉES À CONFIRMER AVANT DIFFUSION</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B57"/>
          </w:tcPr>
          <w:p>
            <w:r/>
            <w:r>
              <w:rPr>
                <w:b/>
                <w:color w:val="FFFFFF"/>
                <w:sz w:val="17"/>
              </w:rPr>
              <w:t>Point</w:t>
            </w:r>
          </w:p>
        </w:tc>
        <w:tc>
          <w:tcPr>
            <w:tcW w:type="dxa" w:w="3685"/>
            <w:shd w:val="clear" w:fill="1F3B57"/>
          </w:tcPr>
          <w:p>
            <w:r/>
            <w:r>
              <w:rPr>
                <w:b/>
                <w:color w:val="FFFFFF"/>
                <w:sz w:val="17"/>
              </w:rPr>
              <w:t>Pourquoi</w:t>
            </w:r>
          </w:p>
        </w:tc>
        <w:tc>
          <w:tcPr>
            <w:tcW w:type="dxa" w:w="3118"/>
            <w:shd w:val="clear" w:fill="1F3B57"/>
          </w:tcPr>
          <w:p>
            <w:r/>
            <w:r>
              <w:rPr>
                <w:b/>
                <w:color w:val="FFFFFF"/>
                <w:sz w:val="17"/>
              </w:rPr>
              <w:t>Qui peut confirmer</w:t>
            </w:r>
          </w:p>
        </w:tc>
      </w:tr>
      <w:tr>
        <w:tc>
          <w:tcPr>
            <w:tcW w:type="dxa" w:w="2551"/>
          </w:tcPr>
          <w:p>
            <w:pPr>
              <w:spacing w:after="40"/>
            </w:pPr>
            <w:r/>
            <w:r>
              <w:rPr>
                <w:b w:val="0"/>
                <w:sz w:val="17"/>
              </w:rPr>
              <w:t>Classement FRR de Hirson et de Damblain</w:t>
            </w:r>
          </w:p>
        </w:tc>
        <w:tc>
          <w:tcPr>
            <w:tcW w:type="dxa" w:w="3685"/>
          </w:tcPr>
          <w:p>
            <w:pPr>
              <w:spacing w:after="40"/>
            </w:pPr>
            <w:r/>
            <w:r>
              <w:rPr>
                <w:b w:val="0"/>
                <w:sz w:val="17"/>
              </w:rPr>
              <w:t>Le classement d’Écommoy est confirmé ; celui des deux autres communes est affirmé dans les dossiers sans référence à l’arrêté</w:t>
            </w:r>
          </w:p>
        </w:tc>
        <w:tc>
          <w:tcPr>
            <w:tcW w:type="dxa" w:w="3118"/>
          </w:tcPr>
          <w:p>
            <w:pPr>
              <w:spacing w:after="40"/>
            </w:pPr>
            <w:r/>
            <w:r>
              <w:rPr>
                <w:b w:val="0"/>
                <w:sz w:val="17"/>
              </w:rPr>
              <w:t>Préfecture de département, DDFiP, ou simulateur officiel du zonage FRR</w:t>
            </w:r>
          </w:p>
        </w:tc>
      </w:tr>
      <w:tr>
        <w:tc>
          <w:tcPr>
            <w:tcW w:type="dxa" w:w="2551"/>
          </w:tcPr>
          <w:p>
            <w:pPr>
              <w:spacing w:after="40"/>
            </w:pPr>
            <w:r/>
            <w:r>
              <w:rPr>
                <w:b w:val="0"/>
                <w:sz w:val="17"/>
              </w:rPr>
              <w:t>Présidence de la CC Orée de Bercé-Bélinois</w:t>
            </w:r>
          </w:p>
        </w:tc>
        <w:tc>
          <w:tcPr>
            <w:tcW w:type="dxa" w:w="3685"/>
          </w:tcPr>
          <w:p>
            <w:pPr>
              <w:spacing w:after="40"/>
            </w:pPr>
            <w:r/>
            <w:r>
              <w:rPr>
                <w:b w:val="0"/>
                <w:sz w:val="17"/>
              </w:rPr>
              <w:t>Le dossier Écommoy attribue à Sébastien Gouhier à la fois la mairie d’Écommoy et la présidence de l’EPCI — à vérifier, une confusion dans un dossier institutionnel coûte cher</w:t>
            </w:r>
          </w:p>
        </w:tc>
        <w:tc>
          <w:tcPr>
            <w:tcW w:type="dxa" w:w="3118"/>
          </w:tcPr>
          <w:p>
            <w:pPr>
              <w:spacing w:after="40"/>
            </w:pPr>
            <w:r/>
            <w:r>
              <w:rPr>
                <w:b w:val="0"/>
                <w:sz w:val="17"/>
              </w:rPr>
              <w:t>Site de l’EPCI ; secrétariat général de la mairie</w:t>
            </w:r>
          </w:p>
        </w:tc>
      </w:tr>
      <w:tr>
        <w:tc>
          <w:tcPr>
            <w:tcW w:type="dxa" w:w="2551"/>
          </w:tcPr>
          <w:p>
            <w:pPr>
              <w:spacing w:after="40"/>
            </w:pPr>
            <w:r/>
            <w:r>
              <w:rPr>
                <w:b w:val="0"/>
                <w:sz w:val="17"/>
              </w:rPr>
              <w:t>Identité et mandats des exécutifs locaux</w:t>
            </w:r>
          </w:p>
        </w:tc>
        <w:tc>
          <w:tcPr>
            <w:tcW w:type="dxa" w:w="3685"/>
          </w:tcPr>
          <w:p>
            <w:pPr>
              <w:spacing w:after="40"/>
            </w:pPr>
            <w:r/>
            <w:r>
              <w:rPr>
                <w:b w:val="0"/>
                <w:sz w:val="17"/>
              </w:rPr>
              <w:t>Les dossiers citent des élus nommément ; les mandats évoluent</w:t>
            </w:r>
          </w:p>
        </w:tc>
        <w:tc>
          <w:tcPr>
            <w:tcW w:type="dxa" w:w="3118"/>
          </w:tcPr>
          <w:p>
            <w:pPr>
              <w:spacing w:after="40"/>
            </w:pPr>
            <w:r/>
            <w:r>
              <w:rPr>
                <w:b w:val="0"/>
                <w:sz w:val="17"/>
              </w:rPr>
              <w:t>Sites officiels des collectivités, à la date de diffusion</w:t>
            </w:r>
          </w:p>
        </w:tc>
      </w:tr>
      <w:tr>
        <w:tc>
          <w:tcPr>
            <w:tcW w:type="dxa" w:w="2551"/>
          </w:tcPr>
          <w:p>
            <w:pPr>
              <w:spacing w:after="40"/>
            </w:pPr>
            <w:r/>
            <w:r>
              <w:rPr>
                <w:b w:val="0"/>
                <w:sz w:val="17"/>
              </w:rPr>
              <w:t>Taux de couverture de l’approvisionnement recalculé</w:t>
            </w:r>
          </w:p>
        </w:tc>
        <w:tc>
          <w:tcPr>
            <w:tcW w:type="dxa" w:w="3685"/>
          </w:tcPr>
          <w:p>
            <w:pPr>
              <w:spacing w:after="40"/>
            </w:pPr>
            <w:r/>
            <w:r>
              <w:rPr>
                <w:b w:val="0"/>
                <w:sz w:val="17"/>
              </w:rPr>
              <w:t>Le passage à 92 000 t/an sur Écommoy modifie mécaniquement les ratios</w:t>
            </w:r>
          </w:p>
        </w:tc>
        <w:tc>
          <w:tcPr>
            <w:tcW w:type="dxa" w:w="3118"/>
          </w:tcPr>
          <w:p>
            <w:pPr>
              <w:spacing w:after="40"/>
            </w:pPr>
            <w:r/>
            <w:r>
              <w:rPr>
                <w:b w:val="0"/>
                <w:sz w:val="17"/>
              </w:rPr>
              <w:t>Équipe approvisionnement (BlackCime)</w:t>
            </w:r>
          </w:p>
        </w:tc>
      </w:tr>
      <w:tr>
        <w:tc>
          <w:tcPr>
            <w:tcW w:type="dxa" w:w="2551"/>
          </w:tcPr>
          <w:p>
            <w:pPr>
              <w:spacing w:after="40"/>
            </w:pPr>
            <w:r/>
            <w:r>
              <w:rPr>
                <w:b w:val="0"/>
                <w:sz w:val="17"/>
              </w:rPr>
              <w:t>Montant du CAPEX par site après réajustement des capacités</w:t>
            </w:r>
          </w:p>
        </w:tc>
        <w:tc>
          <w:tcPr>
            <w:tcW w:type="dxa" w:w="3685"/>
          </w:tcPr>
          <w:p>
            <w:pPr>
              <w:spacing w:after="40"/>
            </w:pPr>
            <w:r/>
            <w:r>
              <w:rPr>
                <w:b w:val="0"/>
                <w:sz w:val="17"/>
              </w:rPr>
              <w:t>Les CAPEX des dossiers sources correspondent aux capacités antérieures</w:t>
            </w:r>
          </w:p>
        </w:tc>
        <w:tc>
          <w:tcPr>
            <w:tcW w:type="dxa" w:w="3118"/>
          </w:tcPr>
          <w:p>
            <w:pPr>
              <w:spacing w:after="40"/>
            </w:pPr>
            <w:r/>
            <w:r>
              <w:rPr>
                <w:b w:val="0"/>
                <w:sz w:val="17"/>
              </w:rPr>
              <w:t>Adenfi</w:t>
            </w:r>
          </w:p>
        </w:tc>
      </w:tr>
      <w:tr>
        <w:tc>
          <w:tcPr>
            <w:tcW w:type="dxa" w:w="2551"/>
          </w:tcPr>
          <w:p>
            <w:pPr>
              <w:spacing w:after="40"/>
            </w:pPr>
            <w:r/>
            <w:r>
              <w:rPr>
                <w:b w:val="0"/>
                <w:sz w:val="17"/>
              </w:rPr>
              <w:t>Calendrier de la campagne BCIAT suivante</w:t>
            </w:r>
          </w:p>
        </w:tc>
        <w:tc>
          <w:tcPr>
            <w:tcW w:type="dxa" w:w="3685"/>
          </w:tcPr>
          <w:p>
            <w:pPr>
              <w:spacing w:after="40"/>
            </w:pPr>
            <w:r/>
            <w:r>
              <w:rPr>
                <w:b w:val="0"/>
                <w:sz w:val="17"/>
              </w:rPr>
              <w:t>La campagne 2026 s’est close le 17 juillet 2026 ; la réunion de pré-dépôt est obligatoire</w:t>
            </w:r>
          </w:p>
        </w:tc>
        <w:tc>
          <w:tcPr>
            <w:tcW w:type="dxa" w:w="3118"/>
          </w:tcPr>
          <w:p>
            <w:pPr>
              <w:spacing w:after="40"/>
            </w:pPr>
            <w:r/>
            <w:r>
              <w:rPr>
                <w:b w:val="0"/>
                <w:sz w:val="17"/>
              </w:rPr>
              <w:t>ADEME — boisenergie@ademe.fr</w:t>
            </w:r>
          </w:p>
        </w:tc>
      </w:tr>
      <w:tr>
        <w:tc>
          <w:tcPr>
            <w:tcW w:type="dxa" w:w="2551"/>
          </w:tcPr>
          <w:p>
            <w:pPr>
              <w:spacing w:after="40"/>
            </w:pPr>
            <w:r/>
            <w:r>
              <w:rPr>
                <w:b w:val="0"/>
                <w:sz w:val="17"/>
              </w:rPr>
              <w:t>Modalités et calendrier de la campagne Fonds vert friches applicable</w:t>
            </w:r>
          </w:p>
        </w:tc>
        <w:tc>
          <w:tcPr>
            <w:tcW w:type="dxa" w:w="3685"/>
          </w:tcPr>
          <w:p>
            <w:pPr>
              <w:spacing w:after="40"/>
            </w:pPr>
            <w:r/>
            <w:r>
              <w:rPr>
                <w:b w:val="0"/>
                <w:sz w:val="17"/>
              </w:rPr>
              <w:t>Enveloppe nationale en contraction ; instruction déconcentrée</w:t>
            </w:r>
          </w:p>
        </w:tc>
        <w:tc>
          <w:tcPr>
            <w:tcW w:type="dxa" w:w="3118"/>
          </w:tcPr>
          <w:p>
            <w:pPr>
              <w:spacing w:after="40"/>
            </w:pPr>
            <w:r/>
            <w:r>
              <w:rPr>
                <w:b w:val="0"/>
                <w:sz w:val="17"/>
              </w:rPr>
              <w:t>DREAL et DDT de chaque département</w:t>
            </w:r>
          </w:p>
        </w:tc>
      </w:tr>
    </w:tbl>
    <w:p>
      <w:pPr>
        <w:spacing w:after="80"/>
      </w:pPr>
    </w:p>
    <w:p>
      <w:pPr>
        <w:keepNext/>
        <w:spacing w:before="360" w:after="160"/>
        <w:pBdr>
          <w:bottom w:val="single" w:sz="8" w:space="2" w:color="1F3B57"/>
        </w:pBdr>
      </w:pPr>
      <w:r>
        <w:rPr>
          <w:b/>
          <w:color w:val="1F3B57"/>
          <w:sz w:val="28"/>
        </w:rPr>
        <w:t>ANNEXE C — SOURCES</w:t>
      </w:r>
    </w:p>
    <w:p>
      <w:pPr>
        <w:keepNext/>
        <w:spacing w:before="180" w:after="60"/>
      </w:pPr>
      <w:r>
        <w:rPr>
          <w:b/>
          <w:color w:val="2E6B3E"/>
          <w:sz w:val="21"/>
        </w:rPr>
        <w:t>Documents internes</w:t>
      </w:r>
    </w:p>
    <w:p>
      <w:pPr>
        <w:pStyle w:val="ListBullet"/>
        <w:spacing w:after="60"/>
        <w:ind w:left="340"/>
        <w:jc w:val="both"/>
      </w:pPr>
      <w:r>
        <w:rPr>
          <w:b w:val="0"/>
          <w:sz w:val="21"/>
        </w:rPr>
        <w:t>Dossier de présentation institutionnelle — Projet Jeferco Pellets Grand Est, Damblain, juin 2026.</w:t>
      </w:r>
    </w:p>
    <w:p>
      <w:pPr>
        <w:pStyle w:val="ListBullet"/>
        <w:spacing w:after="60"/>
        <w:ind w:left="340"/>
        <w:jc w:val="both"/>
      </w:pPr>
      <w:r>
        <w:rPr>
          <w:b w:val="0"/>
          <w:sz w:val="21"/>
        </w:rPr>
        <w:t>Dossier de présentation institutionnelle — Projet Trois Rivières Biopellets, Hirson, mai 2026.</w:t>
      </w:r>
    </w:p>
    <w:p>
      <w:pPr>
        <w:pStyle w:val="ListBullet"/>
        <w:spacing w:after="60"/>
        <w:ind w:left="340"/>
        <w:jc w:val="both"/>
      </w:pPr>
      <w:r>
        <w:rPr>
          <w:b w:val="0"/>
          <w:sz w:val="21"/>
        </w:rPr>
        <w:t>Dossier de présentation institutionnelle — Projet Dynamis, Écommoy, avril 2026.</w:t>
      </w:r>
    </w:p>
    <w:p>
      <w:pPr>
        <w:pStyle w:val="ListBullet"/>
        <w:spacing w:after="60"/>
        <w:ind w:left="340"/>
        <w:jc w:val="both"/>
      </w:pPr>
      <w:r>
        <w:rPr>
          <w:b w:val="0"/>
          <w:sz w:val="21"/>
        </w:rPr>
        <w:t>Company Deck Arbange Group — Biomass infrastructure platform, mai 2026.</w:t>
      </w:r>
    </w:p>
    <w:p>
      <w:pPr>
        <w:keepNext/>
        <w:spacing w:before="180" w:after="60"/>
      </w:pPr>
      <w:r>
        <w:rPr>
          <w:b/>
          <w:color w:val="2E6B3E"/>
          <w:sz w:val="21"/>
        </w:rPr>
        <w:t>Sources publiques consultées (vérification de septembre 2026)</w:t>
      </w:r>
    </w:p>
    <w:p>
      <w:pPr>
        <w:pStyle w:val="ListBullet"/>
        <w:spacing w:after="60"/>
        <w:ind w:left="340"/>
        <w:jc w:val="both"/>
      </w:pPr>
      <w:r>
        <w:rPr>
          <w:b w:val="0"/>
          <w:sz w:val="21"/>
        </w:rPr>
        <w:t>Décret n° 2026-76 du 12 février 2026 relatif à la programmation pluriannuelle de l’énergie (JO du 13 février 2026) ; dossier de présentation PPE 3 (2026-2035), economie.gouv.fr et info.gouv.fr.</w:t>
      </w:r>
    </w:p>
    <w:p>
      <w:pPr>
        <w:pStyle w:val="ListBullet"/>
        <w:spacing w:after="60"/>
        <w:ind w:left="340"/>
        <w:jc w:val="both"/>
      </w:pPr>
      <w:r>
        <w:rPr>
          <w:b w:val="0"/>
          <w:sz w:val="21"/>
        </w:rPr>
        <w:t>Propellet France — chiffres clés de la filière, prix et marché du granulé, T4 2025 et 2026.</w:t>
      </w:r>
    </w:p>
    <w:p>
      <w:pPr>
        <w:pStyle w:val="ListBullet"/>
        <w:spacing w:after="60"/>
        <w:ind w:left="340"/>
        <w:jc w:val="both"/>
      </w:pPr>
      <w:r>
        <w:rPr>
          <w:b w:val="0"/>
          <w:sz w:val="21"/>
        </w:rPr>
        <w:t>ADEME — appel à projets BCIAT 2026 (ouverture le 26 mars 2026, clôture le 17 juillet 2026) ; Fonds chaleur, budget 2026.</w:t>
      </w:r>
    </w:p>
    <w:p>
      <w:pPr>
        <w:pStyle w:val="ListBullet"/>
        <w:spacing w:after="60"/>
        <w:ind w:left="340"/>
        <w:jc w:val="both"/>
      </w:pPr>
      <w:r>
        <w:rPr>
          <w:b w:val="0"/>
          <w:sz w:val="21"/>
        </w:rPr>
        <w:t>Ministère de la Transition écologique — mesure « recyclage foncier des friches » du Fonds vert, campagne 2026 ; loi de finances pour 2026.</w:t>
      </w:r>
    </w:p>
    <w:p>
      <w:pPr>
        <w:pStyle w:val="ListBullet"/>
        <w:spacing w:after="60"/>
        <w:ind w:left="340"/>
        <w:jc w:val="both"/>
      </w:pPr>
      <w:r>
        <w:rPr>
          <w:b w:val="0"/>
          <w:sz w:val="21"/>
        </w:rPr>
        <w:t>Préfecture de région Hauts-de-France et Région Hauts-de-France — Pacte pour la réussite de la Sambre-Avesnois-Thiérache, acte 3, 2025-2029 (signé le 2 septembre 2025).</w:t>
      </w:r>
    </w:p>
    <w:p>
      <w:pPr>
        <w:pStyle w:val="ListBullet"/>
        <w:spacing w:after="60"/>
        <w:ind w:left="340"/>
        <w:jc w:val="both"/>
      </w:pPr>
      <w:r>
        <w:rPr>
          <w:b w:val="0"/>
          <w:sz w:val="21"/>
        </w:rPr>
        <w:t>Climaxion (ADEME – Région Grand Est) — programme et délégation du Fonds chaleur.</w:t>
      </w:r>
    </w:p>
    <w:p>
      <w:pPr>
        <w:pStyle w:val="ListBullet"/>
        <w:spacing w:after="60"/>
        <w:ind w:left="340"/>
        <w:jc w:val="both"/>
      </w:pPr>
      <w:r>
        <w:rPr>
          <w:b w:val="0"/>
          <w:sz w:val="21"/>
        </w:rPr>
        <w:t>Direction générale des Entreprises — programme Territoires d’industrie, phase 2023-2027.</w:t>
      </w:r>
    </w:p>
    <w:p>
      <w:pPr>
        <w:pStyle w:val="ListBullet"/>
        <w:spacing w:after="60"/>
        <w:ind w:left="340"/>
        <w:jc w:val="both"/>
      </w:pPr>
      <w:r>
        <w:rPr>
          <w:b w:val="0"/>
          <w:sz w:val="21"/>
        </w:rPr>
        <w:t>Arrêté du 19 juin 2024 constatant le classement de communes en zone France Ruralités Revitalisation ; communication de la CC Orée de Bercé-Bélinois sur le classement FRR au 1er juillet 2024.</w:t>
      </w:r>
    </w:p>
    <w:p>
      <w:pPr>
        <w:pStyle w:val="ListBullet"/>
        <w:spacing w:after="60"/>
        <w:ind w:left="340"/>
        <w:jc w:val="both"/>
      </w:pPr>
      <w:r>
        <w:rPr>
          <w:b w:val="0"/>
          <w:sz w:val="21"/>
        </w:rPr>
        <w:t>CIBE et ministère de la Transition écologique — mise en œuvre de la durabilité des bioénergies, directive RED III et état de sa transposition.</w:t>
      </w:r>
    </w:p>
    <w:p>
      <w:pPr>
        <w:pStyle w:val="ListBullet"/>
        <w:spacing w:after="60"/>
        <w:ind w:left="340"/>
        <w:jc w:val="both"/>
      </w:pPr>
      <w:r>
        <w:rPr>
          <w:b w:val="0"/>
          <w:sz w:val="21"/>
        </w:rPr>
        <w:t>Dispositifs d’aide au chauffage résidentiel — évolution de MaPrimeRénov’ au 1er janvier 2026, TVA à 5,5 %.</w:t>
      </w:r>
    </w:p>
    <w:p/>
    <w:p>
      <w:pPr>
        <w:jc w:val="center"/>
      </w:pPr>
      <w:r>
        <w:rPr>
          <w:i/>
          <w:color w:val="595959"/>
          <w:sz w:val="19"/>
        </w:rPr>
        <w:t>Document établi par Maxence Druelle Fourniez — Secrétariat Général, Arbange Capital</w:t>
        <w:br/>
        <w:t>Usage strictement interne — Septembre 2026</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Document interne — Confidentiel   |   Arbange Capital — Secrétariat Général   —   page </w:t>
    </w:r>
    <w:r>
      <w:rPr>
        <w:color w:val="595959"/>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95959"/>
        <w:sz w:val="15"/>
      </w:rPr>
      <w:t>PLATEFORME ARBANGE — Insertion des projets dans les dynamiques territoriales   |   Damblain · Hirson · Écommoy   |   Septembre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