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B57"/>
          <w:sz w:val="52"/>
        </w:rPr>
        <w:t>PLATEFORME ARBANGE</w:t>
      </w:r>
    </w:p>
    <w:p>
      <w:pPr>
        <w:jc w:val="center"/>
      </w:pPr>
      <w:r>
        <w:rPr>
          <w:color w:val="1F3B57"/>
          <w:sz w:val="30"/>
        </w:rPr>
        <w:t>Insertion de trois projets d’unités de granulation</w:t>
        <w:br/>
        <w:t>dans les dynamiques territoriales conduites par l’État,</w:t>
        <w:br/>
        <w:t>ses services déconcentrés et les collectivités territoriales</w:t>
      </w:r>
    </w:p>
    <w:p/>
    <w:p>
      <w:pPr>
        <w:jc w:val="center"/>
      </w:pPr>
      <w:r>
        <w:rPr>
          <w:b/>
          <w:color w:val="2E6B3E"/>
          <w:sz w:val="26"/>
        </w:rPr>
        <w:t>DAMBLAIN (Vosges, 88)  ·  HIRSON (Aisne, 02)  ·  ÉCOMMOY (Sarthe, 72)</w:t>
      </w:r>
    </w:p>
    <w:p/>
    <w:p>
      <w:pPr>
        <w:jc w:val="center"/>
      </w:pPr>
      <w:r>
        <w:rPr>
          <w:i/>
          <w:color w:val="595959"/>
          <w:sz w:val="22"/>
        </w:rPr>
        <w:t>Jeferco Pellets Grand Est  ·  Trois Rivières Biopellets  ·  Dynamis</w:t>
      </w:r>
    </w:p>
    <w:p/>
    <w:p/>
    <w:p>
      <w:pPr>
        <w:jc w:val="center"/>
      </w:pPr>
      <w:r>
        <w:rPr>
          <w:b/>
          <w:color w:val="1F3B57"/>
          <w:sz w:val="21"/>
        </w:rPr>
        <w:t>312 000 TONNES DE GRANULÉS PAR AN  ·  90 EMPLOIS DIRECTS  ·  300 EMPLOIS INDIRECTS</w:t>
        <w:br/>
        <w:t>TROIS OPÉRATIONS DE RECYCLAGE FONCIER — AUCUNE ARTIFICIALISATION NOUVELLE</w:t>
      </w:r>
    </w:p>
    <w:p/>
    <w:p/>
    <w:p/>
    <w:p/>
    <w:p>
      <w:pPr>
        <w:jc w:val="center"/>
      </w:pPr>
      <w:r>
        <w:rPr>
          <w:color w:val="595959"/>
          <w:sz w:val="21"/>
        </w:rPr>
        <w:t>Septembre 2026</w:t>
        <w:br/>
        <w:t>Document de présentation — diffusion restreinte</w:t>
        <w:br/>
        <w:br/>
        <w:t>Arbange Capital — Secrétariat Général</w:t>
        <w:br/>
        <w:t>Maxence Druelle Fourniez — Relations institutionnelles et financements publics</w:t>
      </w:r>
    </w:p>
    <w:p>
      <w:r>
        <w:br w:type="page"/>
      </w:r>
    </w:p>
    <w:p>
      <w:pPr>
        <w:keepNext/>
        <w:spacing w:before="360" w:after="160"/>
        <w:pBdr>
          <w:bottom w:val="single" w:sz="8" w:space="2" w:color="1F3B57"/>
        </w:pBdr>
      </w:pPr>
      <w:r>
        <w:rPr>
          <w:b/>
          <w:color w:val="1F3B57"/>
          <w:sz w:val="28"/>
        </w:rPr>
        <w:t>SOMMAIRE</w:t>
      </w:r>
    </w:p>
    <w:tbl>
      <w:tblPr>
        <w:tblStyle w:val="TableGrid"/>
        <w:tblW w:type="auto" w:w="0"/>
        <w:jc w:val="center"/>
        <w:tblLook w:firstColumn="1" w:firstRow="1" w:lastColumn="0" w:lastRow="0" w:noHBand="0" w:noVBand="1" w:val="04A0"/>
      </w:tblPr>
      <w:tblGrid>
        <w:gridCol w:w="4873"/>
        <w:gridCol w:w="4873"/>
      </w:tblGrid>
      <w:tr>
        <w:tc>
          <w:tcPr>
            <w:tcW w:type="dxa" w:w="3118"/>
            <w:shd w:val="clear" w:fill="1F3B57"/>
          </w:tcPr>
          <w:p>
            <w:r/>
            <w:r>
              <w:rPr>
                <w:b/>
                <w:color w:val="FFFFFF"/>
                <w:sz w:val="18"/>
              </w:rPr>
              <w:t>Partie</w:t>
            </w:r>
          </w:p>
        </w:tc>
        <w:tc>
          <w:tcPr>
            <w:tcW w:type="dxa" w:w="6236"/>
            <w:shd w:val="clear" w:fill="1F3B57"/>
          </w:tcPr>
          <w:p>
            <w:r/>
            <w:r>
              <w:rPr>
                <w:b/>
                <w:color w:val="FFFFFF"/>
                <w:sz w:val="18"/>
              </w:rPr>
              <w:t>Objet</w:t>
            </w:r>
          </w:p>
        </w:tc>
      </w:tr>
      <w:tr>
        <w:tc>
          <w:tcPr>
            <w:tcW w:type="dxa" w:w="3118"/>
          </w:tcPr>
          <w:p>
            <w:pPr>
              <w:spacing w:after="40"/>
            </w:pPr>
            <w:r/>
            <w:r>
              <w:rPr>
                <w:b w:val="0"/>
                <w:sz w:val="18"/>
              </w:rPr>
              <w:t>Préambule et objet du document</w:t>
            </w:r>
          </w:p>
        </w:tc>
        <w:tc>
          <w:tcPr>
            <w:tcW w:type="dxa" w:w="6236"/>
          </w:tcPr>
          <w:p>
            <w:pPr>
              <w:spacing w:after="40"/>
            </w:pPr>
            <w:r/>
            <w:r>
              <w:rPr>
                <w:b w:val="0"/>
                <w:sz w:val="18"/>
              </w:rPr>
              <w:t>Périmètre de l’analyse, méthode, conventions de chiffrage</w:t>
            </w:r>
          </w:p>
        </w:tc>
      </w:tr>
      <w:tr>
        <w:tc>
          <w:tcPr>
            <w:tcW w:type="dxa" w:w="3118"/>
          </w:tcPr>
          <w:p>
            <w:pPr>
              <w:spacing w:after="40"/>
            </w:pPr>
            <w:r/>
            <w:r>
              <w:rPr>
                <w:b w:val="0"/>
                <w:sz w:val="18"/>
              </w:rPr>
              <w:t>I. La plateforme et ses trois projets</w:t>
            </w:r>
          </w:p>
        </w:tc>
        <w:tc>
          <w:tcPr>
            <w:tcW w:type="dxa" w:w="6236"/>
          </w:tcPr>
          <w:p>
            <w:pPr>
              <w:spacing w:after="40"/>
            </w:pPr>
            <w:r/>
            <w:r>
              <w:rPr>
                <w:b w:val="0"/>
                <w:sz w:val="18"/>
              </w:rPr>
              <w:t>Caractéristiques comparées, modèle industriel, configuration énergétique</w:t>
            </w:r>
          </w:p>
        </w:tc>
      </w:tr>
      <w:tr>
        <w:tc>
          <w:tcPr>
            <w:tcW w:type="dxa" w:w="3118"/>
          </w:tcPr>
          <w:p>
            <w:pPr>
              <w:spacing w:after="40"/>
            </w:pPr>
            <w:r/>
            <w:r>
              <w:rPr>
                <w:b w:val="0"/>
                <w:sz w:val="18"/>
              </w:rPr>
              <w:t>II. Le cadre national</w:t>
            </w:r>
          </w:p>
        </w:tc>
        <w:tc>
          <w:tcPr>
            <w:tcW w:type="dxa" w:w="6236"/>
          </w:tcPr>
          <w:p>
            <w:pPr>
              <w:spacing w:after="40"/>
            </w:pPr>
            <w:r/>
            <w:r>
              <w:rPr>
                <w:b w:val="0"/>
                <w:sz w:val="18"/>
              </w:rPr>
              <w:t>Programmation énergétique, stratégie bas-carbone, marché du granulé, durabilité, sobriété foncière, dispositifs publics</w:t>
            </w:r>
          </w:p>
        </w:tc>
      </w:tr>
      <w:tr>
        <w:tc>
          <w:tcPr>
            <w:tcW w:type="dxa" w:w="3118"/>
          </w:tcPr>
          <w:p>
            <w:pPr>
              <w:spacing w:after="40"/>
            </w:pPr>
            <w:r/>
            <w:r>
              <w:rPr>
                <w:b w:val="0"/>
                <w:sz w:val="18"/>
              </w:rPr>
              <w:t>III. Grille d’analyse territoriale</w:t>
            </w:r>
          </w:p>
        </w:tc>
        <w:tc>
          <w:tcPr>
            <w:tcW w:type="dxa" w:w="6236"/>
          </w:tcPr>
          <w:p>
            <w:pPr>
              <w:spacing w:after="40"/>
            </w:pPr>
            <w:r/>
            <w:r>
              <w:rPr>
                <w:b w:val="0"/>
                <w:sz w:val="18"/>
              </w:rPr>
              <w:t>Méthode d’analyse à cinq échelons, renseignée pour les trois projets</w:t>
            </w:r>
          </w:p>
        </w:tc>
      </w:tr>
      <w:tr>
        <w:tc>
          <w:tcPr>
            <w:tcW w:type="dxa" w:w="3118"/>
          </w:tcPr>
          <w:p>
            <w:pPr>
              <w:spacing w:after="40"/>
            </w:pPr>
            <w:r/>
            <w:r>
              <w:rPr>
                <w:b w:val="0"/>
                <w:sz w:val="18"/>
              </w:rPr>
              <w:t>IV. Damblain — Grand Est</w:t>
            </w:r>
          </w:p>
        </w:tc>
        <w:tc>
          <w:tcPr>
            <w:tcW w:type="dxa" w:w="6236"/>
          </w:tcPr>
          <w:p>
            <w:pPr>
              <w:spacing w:after="40"/>
            </w:pPr>
            <w:r/>
            <w:r>
              <w:rPr>
                <w:b w:val="0"/>
                <w:sz w:val="18"/>
              </w:rPr>
              <w:t>Diagnostic territorial et inscription dans les cadres régionaux, départementaux, intercommunaux et communaux</w:t>
            </w:r>
          </w:p>
        </w:tc>
      </w:tr>
      <w:tr>
        <w:tc>
          <w:tcPr>
            <w:tcW w:type="dxa" w:w="3118"/>
          </w:tcPr>
          <w:p>
            <w:pPr>
              <w:spacing w:after="40"/>
            </w:pPr>
            <w:r/>
            <w:r>
              <w:rPr>
                <w:b w:val="0"/>
                <w:sz w:val="18"/>
              </w:rPr>
              <w:t>V. Hirson — Hauts-de-France</w:t>
            </w:r>
          </w:p>
        </w:tc>
        <w:tc>
          <w:tcPr>
            <w:tcW w:type="dxa" w:w="6236"/>
          </w:tcPr>
          <w:p>
            <w:pPr>
              <w:spacing w:after="40"/>
            </w:pPr>
            <w:r/>
            <w:r>
              <w:rPr>
                <w:b w:val="0"/>
                <w:sz w:val="18"/>
              </w:rPr>
              <w:t>Idem</w:t>
            </w:r>
          </w:p>
        </w:tc>
      </w:tr>
      <w:tr>
        <w:tc>
          <w:tcPr>
            <w:tcW w:type="dxa" w:w="3118"/>
          </w:tcPr>
          <w:p>
            <w:pPr>
              <w:spacing w:after="40"/>
            </w:pPr>
            <w:r/>
            <w:r>
              <w:rPr>
                <w:b w:val="0"/>
                <w:sz w:val="18"/>
              </w:rPr>
              <w:t>VI. Écommoy — Pays de la Loire</w:t>
            </w:r>
          </w:p>
        </w:tc>
        <w:tc>
          <w:tcPr>
            <w:tcW w:type="dxa" w:w="6236"/>
          </w:tcPr>
          <w:p>
            <w:pPr>
              <w:spacing w:after="40"/>
            </w:pPr>
            <w:r/>
            <w:r>
              <w:rPr>
                <w:b w:val="0"/>
                <w:sz w:val="18"/>
              </w:rPr>
              <w:t>Idem</w:t>
            </w:r>
          </w:p>
        </w:tc>
      </w:tr>
      <w:tr>
        <w:tc>
          <w:tcPr>
            <w:tcW w:type="dxa" w:w="3118"/>
          </w:tcPr>
          <w:p>
            <w:pPr>
              <w:spacing w:after="40"/>
            </w:pPr>
            <w:r/>
            <w:r>
              <w:rPr>
                <w:b w:val="0"/>
                <w:sz w:val="18"/>
              </w:rPr>
              <w:t>VII. Lecture consolidée</w:t>
            </w:r>
          </w:p>
        </w:tc>
        <w:tc>
          <w:tcPr>
            <w:tcW w:type="dxa" w:w="6236"/>
          </w:tcPr>
          <w:p>
            <w:pPr>
              <w:spacing w:after="40"/>
            </w:pPr>
            <w:r/>
            <w:r>
              <w:rPr>
                <w:b w:val="0"/>
                <w:sz w:val="18"/>
              </w:rPr>
              <w:t>Ce que les trois projets représentent à l’échelle de la plateforme</w:t>
            </w:r>
          </w:p>
        </w:tc>
      </w:tr>
      <w:tr>
        <w:tc>
          <w:tcPr>
            <w:tcW w:type="dxa" w:w="3118"/>
          </w:tcPr>
          <w:p>
            <w:pPr>
              <w:spacing w:after="40"/>
            </w:pPr>
            <w:r/>
            <w:r>
              <w:rPr>
                <w:b w:val="0"/>
                <w:sz w:val="18"/>
              </w:rPr>
              <w:t>VIII. État d’avancement et étapes à venir</w:t>
            </w:r>
          </w:p>
        </w:tc>
        <w:tc>
          <w:tcPr>
            <w:tcW w:type="dxa" w:w="6236"/>
          </w:tcPr>
          <w:p>
            <w:pPr>
              <w:spacing w:after="40"/>
            </w:pPr>
            <w:r/>
            <w:r>
              <w:rPr>
                <w:b w:val="0"/>
                <w:sz w:val="18"/>
              </w:rPr>
              <w:t>Situation de chaque projet et séquence de développement</w:t>
            </w:r>
          </w:p>
        </w:tc>
      </w:tr>
      <w:tr>
        <w:tc>
          <w:tcPr>
            <w:tcW w:type="dxa" w:w="3118"/>
          </w:tcPr>
          <w:p>
            <w:pPr>
              <w:spacing w:after="40"/>
            </w:pPr>
            <w:r/>
            <w:r>
              <w:rPr>
                <w:b w:val="0"/>
                <w:sz w:val="18"/>
              </w:rPr>
              <w:t>Annexes</w:t>
            </w:r>
          </w:p>
        </w:tc>
        <w:tc>
          <w:tcPr>
            <w:tcW w:type="dxa" w:w="6236"/>
          </w:tcPr>
          <w:p>
            <w:pPr>
              <w:spacing w:after="40"/>
            </w:pPr>
            <w:r/>
            <w:r>
              <w:rPr>
                <w:b w:val="0"/>
                <w:sz w:val="18"/>
              </w:rPr>
              <w:t>Méthode de calcul des émissions évitées ; sources</w:t>
            </w:r>
          </w:p>
        </w:tc>
      </w:tr>
    </w:tbl>
    <w:p>
      <w:pPr>
        <w:spacing w:after="80"/>
      </w:pPr>
    </w:p>
    <w:p>
      <w:r>
        <w:br w:type="page"/>
      </w:r>
    </w:p>
    <w:p>
      <w:pPr>
        <w:keepNext/>
        <w:spacing w:before="360" w:after="160"/>
        <w:pBdr>
          <w:bottom w:val="single" w:sz="8" w:space="2" w:color="1F3B57"/>
        </w:pBdr>
      </w:pPr>
      <w:r>
        <w:rPr>
          <w:b/>
          <w:color w:val="1F3B57"/>
          <w:sz w:val="28"/>
        </w:rPr>
        <w:t>PRÉAMBULE ET OBJET DU DOCUMENT</w:t>
      </w:r>
    </w:p>
    <w:p>
      <w:pPr>
        <w:keepNext/>
        <w:spacing w:before="240" w:after="80"/>
      </w:pPr>
      <w:r>
        <w:rPr>
          <w:b/>
          <w:color w:val="1F3B57"/>
          <w:sz w:val="24"/>
        </w:rPr>
        <w:t>Objet</w:t>
      </w:r>
    </w:p>
    <w:p>
      <w:pPr>
        <w:jc w:val="both"/>
      </w:pPr>
      <w:r>
        <w:rPr>
          <w:b w:val="0"/>
          <w:i w:val="0"/>
          <w:sz w:val="21"/>
        </w:rPr>
        <w:t xml:space="preserve">Le présent document réunit en une analyse unique l’examen de l’insertion de trois projets d’unités industrielles de production de granulés de bois — </w:t>
      </w:r>
      <w:r>
        <w:rPr>
          <w:b/>
          <w:i w:val="0"/>
          <w:sz w:val="21"/>
        </w:rPr>
        <w:t>Damblain</w:t>
      </w:r>
      <w:r>
        <w:rPr>
          <w:b w:val="0"/>
          <w:i w:val="0"/>
          <w:sz w:val="21"/>
        </w:rPr>
        <w:t xml:space="preserve"> (Vosges, projet Jeferco Pellets Grand Est), </w:t>
      </w:r>
      <w:r>
        <w:rPr>
          <w:b/>
          <w:i w:val="0"/>
          <w:sz w:val="21"/>
        </w:rPr>
        <w:t>Hirson</w:t>
      </w:r>
      <w:r>
        <w:rPr>
          <w:b w:val="0"/>
          <w:i w:val="0"/>
          <w:sz w:val="21"/>
        </w:rPr>
        <w:t xml:space="preserve"> (Aisne, projet Trois Rivières Biopellets) et </w:t>
      </w:r>
      <w:r>
        <w:rPr>
          <w:b/>
          <w:i w:val="0"/>
          <w:sz w:val="21"/>
        </w:rPr>
        <w:t>Écommoy</w:t>
      </w:r>
      <w:r>
        <w:rPr>
          <w:b w:val="0"/>
          <w:i w:val="0"/>
          <w:sz w:val="21"/>
        </w:rPr>
        <w:t xml:space="preserve"> (Sarthe, projet Dynamis) — dans les dynamiques territoriales conduites par l’État, ses services déconcentrés et les collectivités territoriales : régions, départements, établissements publics de coopération intercommunale et communes.</w:t>
      </w:r>
    </w:p>
    <w:p>
      <w:pPr>
        <w:jc w:val="both"/>
      </w:pPr>
      <w:r>
        <w:rPr>
          <w:b w:val="0"/>
          <w:i w:val="0"/>
          <w:sz w:val="21"/>
        </w:rPr>
        <w:t>Chacun des trois projets a fait l’objet d’un dossier institutionnel autonome, adressé à l’échelon régional compétent. Ces dossiers répondent à la logique propre de chaque territoire. Le présent document poursuit un autre objet : rendre compte de la cohérence d’ensemble de la démarche, et exposer de manière homogène et comparable la manière dont chaque projet s’inscrit dans les cadres réglementaires et programmatiques qui s’imposent à lui.</w:t>
      </w:r>
    </w:p>
    <w:p>
      <w:pPr>
        <w:jc w:val="both"/>
      </w:pPr>
      <w:r>
        <w:rPr>
          <w:b w:val="0"/>
          <w:i w:val="0"/>
          <w:sz w:val="21"/>
        </w:rPr>
        <w:t>Il est structuré de façon à pouvoir être lu à deux niveaux : un cadre national commun aux trois projets, et une déclinaison territoriale propre à chacun.</w:t>
      </w:r>
    </w:p>
    <w:p>
      <w:pPr>
        <w:keepNext/>
        <w:spacing w:before="240" w:after="80"/>
      </w:pPr>
      <w:r>
        <w:rPr>
          <w:b/>
          <w:color w:val="1F3B57"/>
          <w:sz w:val="24"/>
        </w:rPr>
        <w:t>Méthode</w:t>
      </w:r>
    </w:p>
    <w:p>
      <w:pPr>
        <w:jc w:val="both"/>
      </w:pPr>
      <w:r>
        <w:rPr>
          <w:b w:val="0"/>
          <w:i w:val="0"/>
          <w:sz w:val="21"/>
        </w:rPr>
        <w:t>L’analyse repose sur une grille systématique, exposée en partie III, qui croise cinq échelons de décision publique — Europe et État, région, département, intercommunalité et échelon supra-intercommunal, commune — avec cinq registres d’examen : le document ou dispositif applicable, ce qu’il prescrit, la contribution du projet, le levier mobilisable et l’autorité compétente.</w:t>
      </w:r>
    </w:p>
    <w:p>
      <w:pPr>
        <w:jc w:val="both"/>
      </w:pPr>
      <w:r>
        <w:rPr>
          <w:b w:val="0"/>
          <w:i w:val="0"/>
          <w:sz w:val="21"/>
        </w:rPr>
        <w:t>Les cadres publics cités ont fait l’objet d’une vérification documentaire en septembre 2026. Plusieurs d’entre eux ont évolué au cours de l’année, notamment la programmation pluriannuelle de l’énergie, adoptée par décret en février 2026, et les dispositifs de soutien au chauffage résidentiel, modifiés au 1er janvier 2026. Les sources sont listées en annexe B.</w:t>
      </w:r>
    </w:p>
    <w:p>
      <w:pPr>
        <w:keepNext/>
        <w:spacing w:before="240" w:after="80"/>
      </w:pPr>
      <w:r>
        <w:rPr>
          <w:b/>
          <w:color w:val="1F3B57"/>
          <w:sz w:val="24"/>
        </w:rPr>
        <w:t>Conventions de chiffrage</w:t>
      </w:r>
    </w:p>
    <w:p>
      <w:pPr>
        <w:jc w:val="both"/>
      </w:pPr>
      <w:r>
        <w:rPr>
          <w:b w:val="0"/>
          <w:i w:val="0"/>
          <w:sz w:val="21"/>
        </w:rPr>
        <w:t xml:space="preserve">Les capacités retenues sont de </w:t>
      </w:r>
      <w:r>
        <w:rPr>
          <w:b/>
          <w:i w:val="0"/>
          <w:sz w:val="21"/>
        </w:rPr>
        <w:t>120 000 tonnes par an à Damblain, 100 000 tonnes par an à Hirson et 92 000 tonnes par an à Écommoy</w:t>
      </w:r>
      <w:r>
        <w:rPr>
          <w:b w:val="0"/>
          <w:i w:val="0"/>
          <w:sz w:val="21"/>
        </w:rPr>
        <w:t xml:space="preserve">, soit </w:t>
      </w:r>
      <w:r>
        <w:rPr>
          <w:b/>
          <w:i w:val="0"/>
          <w:sz w:val="21"/>
        </w:rPr>
        <w:t>312 000 tonnes par an</w:t>
      </w:r>
      <w:r>
        <w:rPr>
          <w:b w:val="0"/>
          <w:i w:val="0"/>
          <w:sz w:val="21"/>
        </w:rPr>
        <w:t xml:space="preserve"> à l’échelle des trois projets.</w:t>
      </w:r>
    </w:p>
    <w:p>
      <w:pPr>
        <w:jc w:val="both"/>
      </w:pPr>
      <w:r>
        <w:rPr>
          <w:b w:val="0"/>
          <w:i w:val="0"/>
          <w:sz w:val="21"/>
        </w:rPr>
        <w:t xml:space="preserve">L’emploi est exprimé de manière homogène à </w:t>
      </w:r>
      <w:r>
        <w:rPr>
          <w:b/>
          <w:i w:val="0"/>
          <w:sz w:val="21"/>
        </w:rPr>
        <w:t>30 emplois directs permanents et 100 emplois indirects par site</w:t>
      </w:r>
      <w:r>
        <w:rPr>
          <w:b w:val="0"/>
          <w:i w:val="0"/>
          <w:sz w:val="21"/>
        </w:rPr>
        <w:t>, soit 90 emplois directs et environ 300 emplois indirects.</w:t>
      </w:r>
    </w:p>
    <w:p>
      <w:pPr>
        <w:jc w:val="both"/>
      </w:pPr>
      <w:r>
        <w:rPr>
          <w:b w:val="0"/>
          <w:i w:val="0"/>
          <w:sz w:val="21"/>
        </w:rPr>
        <w:t xml:space="preserve">Les besoins en biomasse sont établis sur la base d’un ratio de l’ordre de </w:t>
      </w:r>
      <w:r>
        <w:rPr>
          <w:b/>
          <w:i w:val="0"/>
          <w:sz w:val="21"/>
        </w:rPr>
        <w:t>1,7 tonne de bois entrant par tonne de granulés produite</w:t>
      </w:r>
      <w:r>
        <w:rPr>
          <w:b w:val="0"/>
          <w:i w:val="0"/>
          <w:sz w:val="21"/>
        </w:rPr>
        <w:t>.</w:t>
      </w:r>
    </w:p>
    <w:p>
      <w:pPr>
        <w:jc w:val="both"/>
      </w:pPr>
      <w:r>
        <w:rPr>
          <w:b w:val="0"/>
          <w:i w:val="0"/>
          <w:sz w:val="21"/>
        </w:rPr>
        <w:t>Les émissions évitées sont calculées selon une méthode unique, explicitée en annexe A, afin que les trois projets demeurent comparables entre eux.</w:t>
      </w:r>
    </w:p>
    <w:p>
      <w:r>
        <w:br w:type="page"/>
      </w:r>
    </w:p>
    <w:p>
      <w:pPr>
        <w:keepNext/>
        <w:spacing w:before="360" w:after="160"/>
        <w:pBdr>
          <w:bottom w:val="single" w:sz="8" w:space="2" w:color="1F3B57"/>
        </w:pBdr>
      </w:pPr>
      <w:r>
        <w:rPr>
          <w:b/>
          <w:color w:val="1F3B57"/>
          <w:sz w:val="28"/>
        </w:rPr>
        <w:t>PARTIE I — LA PLATEFORME ET SES TROIS PROJETS</w:t>
      </w:r>
    </w:p>
    <w:p>
      <w:pPr>
        <w:keepNext/>
        <w:spacing w:before="240" w:after="80"/>
      </w:pPr>
      <w:r>
        <w:rPr>
          <w:b/>
          <w:color w:val="1F3B57"/>
          <w:sz w:val="24"/>
        </w:rPr>
        <w:t>1.1 Trois territoires, une même logique industrielle</w:t>
      </w:r>
    </w:p>
    <w:p>
      <w:pPr>
        <w:jc w:val="both"/>
      </w:pPr>
      <w:r>
        <w:rPr>
          <w:b w:val="0"/>
          <w:i w:val="0"/>
          <w:sz w:val="21"/>
        </w:rPr>
        <w:t xml:space="preserve">Les trois projets reposent sur une structure industrielle et économique identique : une unité de granulation de grande capacité, implantée sur un foncier </w:t>
      </w:r>
      <w:r>
        <w:rPr>
          <w:b/>
          <w:i w:val="0"/>
          <w:sz w:val="21"/>
        </w:rPr>
        <w:t>déjà artificialisé</w:t>
      </w:r>
      <w:r>
        <w:rPr>
          <w:b w:val="0"/>
          <w:i w:val="0"/>
          <w:sz w:val="21"/>
        </w:rPr>
        <w:t xml:space="preserve">, approvisionnée en </w:t>
      </w:r>
      <w:r>
        <w:rPr>
          <w:b/>
          <w:i w:val="0"/>
          <w:sz w:val="21"/>
        </w:rPr>
        <w:t>circuit court dans un rayon d’environ 150 kilomètres</w:t>
      </w:r>
      <w:r>
        <w:rPr>
          <w:b w:val="0"/>
          <w:i w:val="0"/>
          <w:sz w:val="21"/>
        </w:rPr>
        <w:t xml:space="preserve"> en connexes de scierie et en bois sans débouché en bois d’œuvre, produisant des granulés certifiés ENplus destinés à un débouché majoritairement industriel et complémentairement résidentiel, et créant une trentaine d’emplois industriels permanents.</w:t>
      </w:r>
    </w:p>
    <w:p>
      <w:pPr>
        <w:jc w:val="both"/>
      </w:pPr>
      <w:r>
        <w:rPr>
          <w:b w:val="0"/>
          <w:i w:val="0"/>
          <w:sz w:val="21"/>
        </w:rPr>
        <w:t>Trois variables les différencient, et déterminent la manière dont chacun s’inscrit dans son territoire :</w:t>
      </w:r>
    </w:p>
    <w:p>
      <w:pPr>
        <w:pStyle w:val="ListBullet"/>
        <w:spacing w:after="60"/>
        <w:ind w:left="340"/>
        <w:jc w:val="both"/>
      </w:pPr>
      <w:r>
        <w:rPr>
          <w:b/>
          <w:sz w:val="21"/>
        </w:rPr>
        <w:t>La nature du site repris.</w:t>
      </w:r>
      <w:r>
        <w:rPr>
          <w:b w:val="0"/>
          <w:sz w:val="21"/>
        </w:rPr>
        <w:t xml:space="preserve"> Damblain occupe une ancienne emprise militaire de l’OTAN, reconvertie en zone d’activité par le Département des Vosges ; Hirson réhabilite un site ferroviaire et industriel communal, la Rotonde de Buire ; Écommoy réinvestit une friche industrielle privée, l’ancienne usine de panneaux de particules BELIPA.</w:t>
      </w:r>
    </w:p>
    <w:p>
      <w:pPr>
        <w:pStyle w:val="ListBullet"/>
        <w:spacing w:after="60"/>
        <w:ind w:left="340"/>
        <w:jc w:val="both"/>
      </w:pPr>
      <w:r>
        <w:rPr>
          <w:b/>
          <w:sz w:val="21"/>
        </w:rPr>
        <w:t>La situation socio-économique du bassin.</w:t>
      </w:r>
      <w:r>
        <w:rPr>
          <w:b w:val="0"/>
          <w:sz w:val="21"/>
        </w:rPr>
        <w:t xml:space="preserve"> Hirson présente un profil parmi les plus fragiles de France métropolitaine ; Damblain est une commune rurale de 250 habitants en déprise démographique longue, adossée à un actif logistique de premier ordre ; Écommoy est une commune périurbaine de près de 5 000 habitants dont la base productive s’est érodée.</w:t>
      </w:r>
    </w:p>
    <w:p>
      <w:pPr>
        <w:pStyle w:val="ListBullet"/>
        <w:spacing w:after="60"/>
        <w:ind w:left="340"/>
        <w:jc w:val="both"/>
      </w:pPr>
      <w:r>
        <w:rPr>
          <w:b/>
          <w:sz w:val="21"/>
        </w:rPr>
        <w:t>La configuration énergétique du séchage.</w:t>
      </w:r>
      <w:r>
        <w:rPr>
          <w:b w:val="0"/>
          <w:sz w:val="21"/>
        </w:rPr>
        <w:t xml:space="preserve"> Damblain et Hirson reposent sur une chaudière biomasse ; Écommoy intègre une chaudière alimentée en combustibles solides de récupération, couverte par son autorisation environnementale.</w:t>
      </w:r>
    </w:p>
    <w:p>
      <w:pPr>
        <w:keepNext/>
        <w:spacing w:before="240" w:after="80"/>
      </w:pPr>
      <w:r>
        <w:rPr>
          <w:b/>
          <w:color w:val="1F3B57"/>
          <w:sz w:val="24"/>
        </w:rPr>
        <w:t>1.2 Caractéristiques comparées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fill="1F3B57"/>
          </w:tcPr>
          <w:p>
            <w:r/>
            <w:r>
              <w:rPr>
                <w:b/>
                <w:color w:val="FFFFFF"/>
                <w:sz w:val="16"/>
              </w:rPr>
              <w:t>Paramètre</w:t>
            </w:r>
          </w:p>
        </w:tc>
        <w:tc>
          <w:tcPr>
            <w:tcW w:type="dxa" w:w="2494"/>
            <w:shd w:val="clear" w:fill="1F3B57"/>
          </w:tcPr>
          <w:p>
            <w:r/>
            <w:r>
              <w:rPr>
                <w:b/>
                <w:color w:val="FFFFFF"/>
                <w:sz w:val="16"/>
              </w:rPr>
              <w:t>DAMBLAIN (88)</w:t>
            </w:r>
          </w:p>
        </w:tc>
        <w:tc>
          <w:tcPr>
            <w:tcW w:type="dxa" w:w="2381"/>
            <w:shd w:val="clear" w:fill="1F3B57"/>
          </w:tcPr>
          <w:p>
            <w:r/>
            <w:r>
              <w:rPr>
                <w:b/>
                <w:color w:val="FFFFFF"/>
                <w:sz w:val="16"/>
              </w:rPr>
              <w:t>HIRSON (02)</w:t>
            </w:r>
          </w:p>
        </w:tc>
        <w:tc>
          <w:tcPr>
            <w:tcW w:type="dxa" w:w="2438"/>
            <w:shd w:val="clear" w:fill="1F3B57"/>
          </w:tcPr>
          <w:p>
            <w:r/>
            <w:r>
              <w:rPr>
                <w:b/>
                <w:color w:val="FFFFFF"/>
                <w:sz w:val="16"/>
              </w:rPr>
              <w:t>ÉCOMMOY (72)</w:t>
            </w:r>
          </w:p>
        </w:tc>
      </w:tr>
      <w:tr>
        <w:tc>
          <w:tcPr>
            <w:tcW w:type="dxa" w:w="2041"/>
          </w:tcPr>
          <w:p>
            <w:pPr>
              <w:spacing w:after="40"/>
            </w:pPr>
            <w:r/>
            <w:r>
              <w:rPr>
                <w:b w:val="0"/>
                <w:sz w:val="16"/>
              </w:rPr>
              <w:t>Société de projet</w:t>
            </w:r>
          </w:p>
        </w:tc>
        <w:tc>
          <w:tcPr>
            <w:tcW w:type="dxa" w:w="2494"/>
          </w:tcPr>
          <w:p>
            <w:pPr>
              <w:spacing w:after="40"/>
            </w:pPr>
            <w:r/>
            <w:r>
              <w:rPr>
                <w:b w:val="0"/>
                <w:sz w:val="16"/>
              </w:rPr>
              <w:t>Jeferco Pellets Grand Est SAS</w:t>
            </w:r>
          </w:p>
        </w:tc>
        <w:tc>
          <w:tcPr>
            <w:tcW w:type="dxa" w:w="2381"/>
          </w:tcPr>
          <w:p>
            <w:pPr>
              <w:spacing w:after="40"/>
            </w:pPr>
            <w:r/>
            <w:r>
              <w:rPr>
                <w:b w:val="0"/>
                <w:sz w:val="16"/>
              </w:rPr>
              <w:t>Trois Rivières Biopellets</w:t>
            </w:r>
          </w:p>
        </w:tc>
        <w:tc>
          <w:tcPr>
            <w:tcW w:type="dxa" w:w="2438"/>
          </w:tcPr>
          <w:p>
            <w:pPr>
              <w:spacing w:after="40"/>
            </w:pPr>
            <w:r/>
            <w:r>
              <w:rPr>
                <w:b w:val="0"/>
                <w:sz w:val="16"/>
              </w:rPr>
              <w:t>Dynamis</w:t>
            </w:r>
          </w:p>
        </w:tc>
      </w:tr>
      <w:tr>
        <w:tc>
          <w:tcPr>
            <w:tcW w:type="dxa" w:w="2041"/>
          </w:tcPr>
          <w:p>
            <w:pPr>
              <w:spacing w:after="40"/>
            </w:pPr>
            <w:r/>
            <w:r>
              <w:rPr>
                <w:b w:val="0"/>
                <w:sz w:val="16"/>
              </w:rPr>
              <w:t>Région</w:t>
            </w:r>
          </w:p>
        </w:tc>
        <w:tc>
          <w:tcPr>
            <w:tcW w:type="dxa" w:w="2494"/>
          </w:tcPr>
          <w:p>
            <w:pPr>
              <w:spacing w:after="40"/>
            </w:pPr>
            <w:r/>
            <w:r>
              <w:rPr>
                <w:b w:val="0"/>
                <w:sz w:val="16"/>
              </w:rPr>
              <w:t>Grand Est</w:t>
            </w:r>
          </w:p>
        </w:tc>
        <w:tc>
          <w:tcPr>
            <w:tcW w:type="dxa" w:w="2381"/>
          </w:tcPr>
          <w:p>
            <w:pPr>
              <w:spacing w:after="40"/>
            </w:pPr>
            <w:r/>
            <w:r>
              <w:rPr>
                <w:b w:val="0"/>
                <w:sz w:val="16"/>
              </w:rPr>
              <w:t>Hauts-de-France</w:t>
            </w:r>
          </w:p>
        </w:tc>
        <w:tc>
          <w:tcPr>
            <w:tcW w:type="dxa" w:w="2438"/>
          </w:tcPr>
          <w:p>
            <w:pPr>
              <w:spacing w:after="40"/>
            </w:pPr>
            <w:r/>
            <w:r>
              <w:rPr>
                <w:b w:val="0"/>
                <w:sz w:val="16"/>
              </w:rPr>
              <w:t>Pays de la Loire</w:t>
            </w:r>
          </w:p>
        </w:tc>
      </w:tr>
      <w:tr>
        <w:tc>
          <w:tcPr>
            <w:tcW w:type="dxa" w:w="2041"/>
          </w:tcPr>
          <w:p>
            <w:pPr>
              <w:spacing w:after="40"/>
            </w:pPr>
            <w:r/>
            <w:r>
              <w:rPr>
                <w:b w:val="0"/>
                <w:sz w:val="16"/>
              </w:rPr>
              <w:t>Intercommunalité</w:t>
            </w:r>
          </w:p>
        </w:tc>
        <w:tc>
          <w:tcPr>
            <w:tcW w:type="dxa" w:w="2494"/>
          </w:tcPr>
          <w:p>
            <w:pPr>
              <w:spacing w:after="40"/>
            </w:pPr>
            <w:r/>
            <w:r>
              <w:rPr>
                <w:b w:val="0"/>
                <w:sz w:val="16"/>
              </w:rPr>
              <w:t>CC de l’Ouest Vosgien (70 communes, 24 512 hab.)</w:t>
            </w:r>
          </w:p>
        </w:tc>
        <w:tc>
          <w:tcPr>
            <w:tcW w:type="dxa" w:w="2381"/>
          </w:tcPr>
          <w:p>
            <w:pPr>
              <w:spacing w:after="40"/>
            </w:pPr>
            <w:r/>
            <w:r>
              <w:rPr>
                <w:b w:val="0"/>
                <w:sz w:val="16"/>
              </w:rPr>
              <w:t>CC du Pays des Trois Rivières (26 communes)</w:t>
            </w:r>
          </w:p>
        </w:tc>
        <w:tc>
          <w:tcPr>
            <w:tcW w:type="dxa" w:w="2438"/>
          </w:tcPr>
          <w:p>
            <w:pPr>
              <w:spacing w:after="40"/>
            </w:pPr>
            <w:r/>
            <w:r>
              <w:rPr>
                <w:b w:val="0"/>
                <w:sz w:val="16"/>
              </w:rPr>
              <w:t>CC Orée de Bercé-Bélinois (8 communes, 19 486 hab.)</w:t>
            </w:r>
          </w:p>
        </w:tc>
      </w:tr>
      <w:tr>
        <w:tc>
          <w:tcPr>
            <w:tcW w:type="dxa" w:w="2041"/>
          </w:tcPr>
          <w:p>
            <w:pPr>
              <w:spacing w:after="40"/>
            </w:pPr>
            <w:r/>
            <w:r>
              <w:rPr>
                <w:b w:val="0"/>
                <w:sz w:val="16"/>
              </w:rPr>
              <w:t>Population communale</w:t>
            </w:r>
          </w:p>
        </w:tc>
        <w:tc>
          <w:tcPr>
            <w:tcW w:type="dxa" w:w="2494"/>
          </w:tcPr>
          <w:p>
            <w:pPr>
              <w:spacing w:after="40"/>
            </w:pPr>
            <w:r/>
            <w:r>
              <w:rPr>
                <w:b w:val="0"/>
                <w:sz w:val="16"/>
              </w:rPr>
              <w:t>≈ 250 hab. (−50 % depuis 1968)</w:t>
            </w:r>
          </w:p>
        </w:tc>
        <w:tc>
          <w:tcPr>
            <w:tcW w:type="dxa" w:w="2381"/>
          </w:tcPr>
          <w:p>
            <w:pPr>
              <w:spacing w:after="40"/>
            </w:pPr>
            <w:r/>
            <w:r>
              <w:rPr>
                <w:b w:val="0"/>
                <w:sz w:val="16"/>
              </w:rPr>
              <w:t>8 565 hab. (2022), en baisse continue depuis 1975</w:t>
            </w:r>
          </w:p>
        </w:tc>
        <w:tc>
          <w:tcPr>
            <w:tcW w:type="dxa" w:w="2438"/>
          </w:tcPr>
          <w:p>
            <w:pPr>
              <w:spacing w:after="40"/>
            </w:pPr>
            <w:r/>
            <w:r>
              <w:rPr>
                <w:b w:val="0"/>
                <w:sz w:val="16"/>
              </w:rPr>
              <w:t>4 868 hab. (2023)</w:t>
            </w:r>
          </w:p>
        </w:tc>
      </w:tr>
      <w:tr>
        <w:tc>
          <w:tcPr>
            <w:tcW w:type="dxa" w:w="2041"/>
          </w:tcPr>
          <w:p>
            <w:pPr>
              <w:spacing w:after="40"/>
            </w:pPr>
            <w:r/>
            <w:r>
              <w:rPr>
                <w:b w:val="0"/>
                <w:sz w:val="16"/>
              </w:rPr>
              <w:t>Nature du site</w:t>
            </w:r>
          </w:p>
        </w:tc>
        <w:tc>
          <w:tcPr>
            <w:tcW w:type="dxa" w:w="2494"/>
          </w:tcPr>
          <w:p>
            <w:pPr>
              <w:spacing w:after="40"/>
            </w:pPr>
            <w:r/>
            <w:r>
              <w:rPr>
                <w:b w:val="0"/>
                <w:sz w:val="16"/>
              </w:rPr>
              <w:t>Ancienne base aérienne de l’OTAN — ZA Cap Vosges (302 ha, ≈ 20 ha pour le projet)</w:t>
            </w:r>
          </w:p>
        </w:tc>
        <w:tc>
          <w:tcPr>
            <w:tcW w:type="dxa" w:w="2381"/>
          </w:tcPr>
          <w:p>
            <w:pPr>
              <w:spacing w:after="40"/>
            </w:pPr>
            <w:r/>
            <w:r>
              <w:rPr>
                <w:b w:val="0"/>
                <w:sz w:val="16"/>
              </w:rPr>
              <w:t>Rotonde de Buire — ancien site ferroviaire (3,56 ha)</w:t>
            </w:r>
          </w:p>
        </w:tc>
        <w:tc>
          <w:tcPr>
            <w:tcW w:type="dxa" w:w="2438"/>
          </w:tcPr>
          <w:p>
            <w:pPr>
              <w:spacing w:after="40"/>
            </w:pPr>
            <w:r/>
            <w:r>
              <w:rPr>
                <w:b w:val="0"/>
                <w:sz w:val="16"/>
              </w:rPr>
              <w:t>Friche industrielle BELIPA (8,5 ha, dont 8 500 m² couverts)</w:t>
            </w:r>
          </w:p>
        </w:tc>
      </w:tr>
      <w:tr>
        <w:tc>
          <w:tcPr>
            <w:tcW w:type="dxa" w:w="2041"/>
          </w:tcPr>
          <w:p>
            <w:pPr>
              <w:spacing w:after="40"/>
            </w:pPr>
            <w:r/>
            <w:r>
              <w:rPr>
                <w:b w:val="0"/>
                <w:sz w:val="16"/>
              </w:rPr>
              <w:t>Origine du foncier</w:t>
            </w:r>
          </w:p>
        </w:tc>
        <w:tc>
          <w:tcPr>
            <w:tcW w:type="dxa" w:w="2494"/>
          </w:tcPr>
          <w:p>
            <w:pPr>
              <w:spacing w:after="40"/>
            </w:pPr>
            <w:r/>
            <w:r>
              <w:rPr>
                <w:b w:val="0"/>
                <w:sz w:val="16"/>
              </w:rPr>
              <w:t>Département des Vosges — acquisition en 2005, 34 M€ d’aménagement</w:t>
            </w:r>
          </w:p>
        </w:tc>
        <w:tc>
          <w:tcPr>
            <w:tcW w:type="dxa" w:w="2381"/>
          </w:tcPr>
          <w:p>
            <w:pPr>
              <w:spacing w:after="40"/>
            </w:pPr>
            <w:r/>
            <w:r>
              <w:rPr>
                <w:b w:val="0"/>
                <w:sz w:val="16"/>
              </w:rPr>
              <w:t>Commune d’Hirson</w:t>
            </w:r>
          </w:p>
        </w:tc>
        <w:tc>
          <w:tcPr>
            <w:tcW w:type="dxa" w:w="2438"/>
          </w:tcPr>
          <w:p>
            <w:pPr>
              <w:spacing w:after="40"/>
            </w:pPr>
            <w:r/>
            <w:r>
              <w:rPr>
                <w:b w:val="0"/>
                <w:sz w:val="16"/>
              </w:rPr>
              <w:t>Propriété privée — parcelles AL65 et AL79</w:t>
            </w:r>
          </w:p>
        </w:tc>
      </w:tr>
      <w:tr>
        <w:tc>
          <w:tcPr>
            <w:tcW w:type="dxa" w:w="2041"/>
          </w:tcPr>
          <w:p>
            <w:pPr>
              <w:spacing w:after="40"/>
            </w:pPr>
            <w:r/>
            <w:r>
              <w:rPr>
                <w:b w:val="0"/>
                <w:sz w:val="16"/>
              </w:rPr>
              <w:t>Maîtrise foncière</w:t>
            </w:r>
          </w:p>
        </w:tc>
        <w:tc>
          <w:tcPr>
            <w:tcW w:type="dxa" w:w="2494"/>
          </w:tcPr>
          <w:p>
            <w:pPr>
              <w:spacing w:after="40"/>
            </w:pPr>
            <w:r/>
            <w:r>
              <w:rPr>
                <w:b w:val="0"/>
                <w:sz w:val="16"/>
              </w:rPr>
              <w:t>Vente contractualisée au bénéfice de la société de projet</w:t>
            </w:r>
          </w:p>
        </w:tc>
        <w:tc>
          <w:tcPr>
            <w:tcW w:type="dxa" w:w="2381"/>
          </w:tcPr>
          <w:p>
            <w:pPr>
              <w:spacing w:after="40"/>
            </w:pPr>
            <w:r/>
            <w:r>
              <w:rPr>
                <w:b w:val="0"/>
                <w:sz w:val="16"/>
              </w:rPr>
              <w:t>Cession délibérée par le conseil municipal — 1,12 M€ HT, proposition du 10 décembre 2025</w:t>
            </w:r>
          </w:p>
        </w:tc>
        <w:tc>
          <w:tcPr>
            <w:tcW w:type="dxa" w:w="2438"/>
          </w:tcPr>
          <w:p>
            <w:pPr>
              <w:spacing w:after="40"/>
            </w:pPr>
            <w:r/>
            <w:r>
              <w:rPr>
                <w:b w:val="0"/>
                <w:sz w:val="16"/>
              </w:rPr>
              <w:t>Acquisition par la société de projet — bornage cadastral de décembre 2025</w:t>
            </w:r>
          </w:p>
        </w:tc>
      </w:tr>
      <w:tr>
        <w:tc>
          <w:tcPr>
            <w:tcW w:type="dxa" w:w="2041"/>
          </w:tcPr>
          <w:p>
            <w:pPr>
              <w:spacing w:after="40"/>
            </w:pPr>
            <w:r/>
            <w:r>
              <w:rPr>
                <w:b/>
                <w:sz w:val="16"/>
              </w:rPr>
              <w:t>Capacité de production</w:t>
            </w:r>
          </w:p>
        </w:tc>
        <w:tc>
          <w:tcPr>
            <w:tcW w:type="dxa" w:w="2494"/>
          </w:tcPr>
          <w:p>
            <w:pPr>
              <w:spacing w:after="40"/>
            </w:pPr>
            <w:r/>
            <w:r>
              <w:rPr>
                <w:b/>
                <w:sz w:val="16"/>
              </w:rPr>
              <w:t>120 000 t/an</w:t>
            </w:r>
          </w:p>
        </w:tc>
        <w:tc>
          <w:tcPr>
            <w:tcW w:type="dxa" w:w="2381"/>
          </w:tcPr>
          <w:p>
            <w:pPr>
              <w:spacing w:after="40"/>
            </w:pPr>
            <w:r/>
            <w:r>
              <w:rPr>
                <w:b/>
                <w:sz w:val="16"/>
              </w:rPr>
              <w:t>100 000 t/an</w:t>
            </w:r>
          </w:p>
        </w:tc>
        <w:tc>
          <w:tcPr>
            <w:tcW w:type="dxa" w:w="2438"/>
          </w:tcPr>
          <w:p>
            <w:pPr>
              <w:spacing w:after="40"/>
            </w:pPr>
            <w:r/>
            <w:r>
              <w:rPr>
                <w:b/>
                <w:sz w:val="16"/>
              </w:rPr>
              <w:t>92 000 t/an</w:t>
            </w:r>
          </w:p>
        </w:tc>
      </w:tr>
      <w:tr>
        <w:tc>
          <w:tcPr>
            <w:tcW w:type="dxa" w:w="2041"/>
          </w:tcPr>
          <w:p>
            <w:pPr>
              <w:spacing w:after="40"/>
            </w:pPr>
            <w:r/>
            <w:r>
              <w:rPr>
                <w:b w:val="0"/>
                <w:sz w:val="16"/>
              </w:rPr>
              <w:t>Besoin en biomasse</w:t>
            </w:r>
          </w:p>
        </w:tc>
        <w:tc>
          <w:tcPr>
            <w:tcW w:type="dxa" w:w="2494"/>
          </w:tcPr>
          <w:p>
            <w:pPr>
              <w:spacing w:after="40"/>
            </w:pPr>
            <w:r/>
            <w:r>
              <w:rPr>
                <w:b w:val="0"/>
                <w:sz w:val="16"/>
              </w:rPr>
              <w:t>≈ 204 000 t/an</w:t>
            </w:r>
          </w:p>
        </w:tc>
        <w:tc>
          <w:tcPr>
            <w:tcW w:type="dxa" w:w="2381"/>
          </w:tcPr>
          <w:p>
            <w:pPr>
              <w:spacing w:after="40"/>
            </w:pPr>
            <w:r/>
            <w:r>
              <w:rPr>
                <w:b w:val="0"/>
                <w:sz w:val="16"/>
              </w:rPr>
              <w:t>≈ 170 000 t/an</w:t>
            </w:r>
          </w:p>
        </w:tc>
        <w:tc>
          <w:tcPr>
            <w:tcW w:type="dxa" w:w="2438"/>
          </w:tcPr>
          <w:p>
            <w:pPr>
              <w:spacing w:after="40"/>
            </w:pPr>
            <w:r/>
            <w:r>
              <w:rPr>
                <w:b w:val="0"/>
                <w:sz w:val="16"/>
              </w:rPr>
              <w:t>≈ 156 000 t/an</w:t>
            </w:r>
          </w:p>
        </w:tc>
      </w:tr>
      <w:tr>
        <w:tc>
          <w:tcPr>
            <w:tcW w:type="dxa" w:w="2041"/>
          </w:tcPr>
          <w:p>
            <w:pPr>
              <w:spacing w:after="40"/>
            </w:pPr>
            <w:r/>
            <w:r>
              <w:rPr>
                <w:b w:val="0"/>
                <w:sz w:val="16"/>
              </w:rPr>
              <w:t>Énergie de séchage</w:t>
            </w:r>
          </w:p>
        </w:tc>
        <w:tc>
          <w:tcPr>
            <w:tcW w:type="dxa" w:w="2494"/>
          </w:tcPr>
          <w:p>
            <w:pPr>
              <w:spacing w:after="40"/>
            </w:pPr>
            <w:r/>
            <w:r>
              <w:rPr>
                <w:b w:val="0"/>
                <w:sz w:val="16"/>
              </w:rPr>
              <w:t>Chaudière biomasse — autoconsommation de 30 % des écorces issues des bois ronds</w:t>
            </w:r>
          </w:p>
        </w:tc>
        <w:tc>
          <w:tcPr>
            <w:tcW w:type="dxa" w:w="2381"/>
          </w:tcPr>
          <w:p>
            <w:pPr>
              <w:spacing w:after="40"/>
            </w:pPr>
            <w:r/>
            <w:r>
              <w:rPr>
                <w:b w:val="0"/>
                <w:sz w:val="16"/>
              </w:rPr>
              <w:t>Chaudière biomasse — autoconsommation de 30 % des écorces issues des bois ronds</w:t>
            </w:r>
          </w:p>
        </w:tc>
        <w:tc>
          <w:tcPr>
            <w:tcW w:type="dxa" w:w="2438"/>
          </w:tcPr>
          <w:p>
            <w:pPr>
              <w:spacing w:after="40"/>
            </w:pPr>
            <w:r/>
            <w:r>
              <w:rPr>
                <w:b w:val="0"/>
                <w:sz w:val="16"/>
              </w:rPr>
              <w:t>Chaudière CSR, couverte par l’autorisation environnementale ; alternative biomasse</w:t>
            </w:r>
          </w:p>
        </w:tc>
      </w:tr>
      <w:tr>
        <w:tc>
          <w:tcPr>
            <w:tcW w:type="dxa" w:w="2041"/>
          </w:tcPr>
          <w:p>
            <w:pPr>
              <w:spacing w:after="40"/>
            </w:pPr>
            <w:r/>
            <w:r>
              <w:rPr>
                <w:b w:val="0"/>
                <w:sz w:val="16"/>
              </w:rPr>
              <w:t>Logistique</w:t>
            </w:r>
          </w:p>
        </w:tc>
        <w:tc>
          <w:tcPr>
            <w:tcW w:type="dxa" w:w="2494"/>
          </w:tcPr>
          <w:p>
            <w:pPr>
              <w:spacing w:after="40"/>
            </w:pPr>
            <w:r/>
            <w:r>
              <w:rPr>
                <w:b w:val="0"/>
                <w:sz w:val="16"/>
              </w:rPr>
              <w:t>Embranchement ferroviaire dédié, expédition majoritairement ferroviaire, accès A31</w:t>
            </w:r>
          </w:p>
        </w:tc>
        <w:tc>
          <w:tcPr>
            <w:tcW w:type="dxa" w:w="2381"/>
          </w:tcPr>
          <w:p>
            <w:pPr>
              <w:spacing w:after="40"/>
            </w:pPr>
            <w:r/>
            <w:r>
              <w:rPr>
                <w:b w:val="0"/>
                <w:sz w:val="16"/>
              </w:rPr>
              <w:t>Route (RD 1043) ; raccordement ferroviaire prévu en phase 2</w:t>
            </w:r>
          </w:p>
        </w:tc>
        <w:tc>
          <w:tcPr>
            <w:tcW w:type="dxa" w:w="2438"/>
          </w:tcPr>
          <w:p>
            <w:pPr>
              <w:spacing w:after="40"/>
            </w:pPr>
            <w:r/>
            <w:r>
              <w:rPr>
                <w:b w:val="0"/>
                <w:sz w:val="16"/>
              </w:rPr>
              <w:t>Route — nœud A11 / A10 / A28 / A81, A28 à moins d’un kilomètre</w:t>
            </w:r>
          </w:p>
        </w:tc>
      </w:tr>
      <w:tr>
        <w:tc>
          <w:tcPr>
            <w:tcW w:type="dxa" w:w="2041"/>
          </w:tcPr>
          <w:p>
            <w:pPr>
              <w:spacing w:after="40"/>
            </w:pPr>
            <w:r/>
            <w:r>
              <w:rPr>
                <w:b w:val="0"/>
                <w:sz w:val="16"/>
              </w:rPr>
              <w:t>Permis de construire</w:t>
            </w:r>
          </w:p>
        </w:tc>
        <w:tc>
          <w:tcPr>
            <w:tcW w:type="dxa" w:w="2494"/>
          </w:tcPr>
          <w:p>
            <w:pPr>
              <w:spacing w:after="40"/>
            </w:pPr>
            <w:r/>
            <w:r>
              <w:rPr>
                <w:b w:val="0"/>
                <w:sz w:val="16"/>
              </w:rPr>
              <w:t>Obtenu, transféré à la société de projet, purgé de recours</w:t>
            </w:r>
          </w:p>
        </w:tc>
        <w:tc>
          <w:tcPr>
            <w:tcW w:type="dxa" w:w="2381"/>
          </w:tcPr>
          <w:p>
            <w:pPr>
              <w:spacing w:after="40"/>
            </w:pPr>
            <w:r/>
            <w:r>
              <w:rPr>
                <w:b w:val="0"/>
                <w:sz w:val="16"/>
              </w:rPr>
              <w:t>En cours d’instruction</w:t>
            </w:r>
          </w:p>
        </w:tc>
        <w:tc>
          <w:tcPr>
            <w:tcW w:type="dxa" w:w="2438"/>
          </w:tcPr>
          <w:p>
            <w:pPr>
              <w:spacing w:after="40"/>
            </w:pPr>
            <w:r/>
            <w:r>
              <w:rPr>
                <w:b w:val="0"/>
                <w:sz w:val="16"/>
              </w:rPr>
              <w:t>Obtenu le 9 avril 2024, transféré le 8 décembre 2025, purgé de recours</w:t>
            </w:r>
          </w:p>
        </w:tc>
      </w:tr>
      <w:tr>
        <w:tc>
          <w:tcPr>
            <w:tcW w:type="dxa" w:w="2041"/>
          </w:tcPr>
          <w:p>
            <w:pPr>
              <w:spacing w:after="40"/>
            </w:pPr>
            <w:r/>
            <w:r>
              <w:rPr>
                <w:b w:val="0"/>
                <w:sz w:val="16"/>
              </w:rPr>
              <w:t>Autorisation environnementale (ICPE)</w:t>
            </w:r>
          </w:p>
        </w:tc>
        <w:tc>
          <w:tcPr>
            <w:tcW w:type="dxa" w:w="2494"/>
          </w:tcPr>
          <w:p>
            <w:pPr>
              <w:spacing w:after="40"/>
            </w:pPr>
            <w:r/>
            <w:r>
              <w:rPr>
                <w:b w:val="0"/>
                <w:sz w:val="16"/>
              </w:rPr>
              <w:t>Obtenue, transférée, purgée de recours</w:t>
            </w:r>
          </w:p>
        </w:tc>
        <w:tc>
          <w:tcPr>
            <w:tcW w:type="dxa" w:w="2381"/>
          </w:tcPr>
          <w:p>
            <w:pPr>
              <w:spacing w:after="40"/>
            </w:pPr>
            <w:r/>
            <w:r>
              <w:rPr>
                <w:b w:val="0"/>
                <w:sz w:val="16"/>
              </w:rPr>
              <w:t>En cours d’instruction</w:t>
            </w:r>
          </w:p>
        </w:tc>
        <w:tc>
          <w:tcPr>
            <w:tcW w:type="dxa" w:w="2438"/>
          </w:tcPr>
          <w:p>
            <w:pPr>
              <w:spacing w:after="40"/>
            </w:pPr>
            <w:r/>
            <w:r>
              <w:rPr>
                <w:b w:val="0"/>
                <w:sz w:val="16"/>
              </w:rPr>
              <w:t>Obtenue en juin 2024, transférée le 13 novembre 2025, purgée de recours</w:t>
            </w:r>
          </w:p>
        </w:tc>
      </w:tr>
      <w:tr>
        <w:tc>
          <w:tcPr>
            <w:tcW w:type="dxa" w:w="2041"/>
          </w:tcPr>
          <w:p>
            <w:pPr>
              <w:spacing w:after="40"/>
            </w:pPr>
            <w:r/>
            <w:r>
              <w:rPr>
                <w:b w:val="0"/>
                <w:sz w:val="16"/>
              </w:rPr>
              <w:t>Investissement (CAPEX)</w:t>
            </w:r>
          </w:p>
        </w:tc>
        <w:tc>
          <w:tcPr>
            <w:tcW w:type="dxa" w:w="2494"/>
          </w:tcPr>
          <w:p>
            <w:pPr>
              <w:spacing w:after="40"/>
            </w:pPr>
            <w:r/>
            <w:r>
              <w:rPr>
                <w:b w:val="0"/>
                <w:sz w:val="16"/>
              </w:rPr>
              <w:t>≈ 67 M€</w:t>
            </w:r>
          </w:p>
        </w:tc>
        <w:tc>
          <w:tcPr>
            <w:tcW w:type="dxa" w:w="2381"/>
          </w:tcPr>
          <w:p>
            <w:pPr>
              <w:spacing w:after="40"/>
            </w:pPr>
            <w:r/>
            <w:r>
              <w:rPr>
                <w:b w:val="0"/>
                <w:sz w:val="16"/>
              </w:rPr>
              <w:t>≈ 48 M€</w:t>
            </w:r>
          </w:p>
        </w:tc>
        <w:tc>
          <w:tcPr>
            <w:tcW w:type="dxa" w:w="2438"/>
          </w:tcPr>
          <w:p>
            <w:pPr>
              <w:spacing w:after="40"/>
            </w:pPr>
            <w:r/>
            <w:r>
              <w:rPr>
                <w:b w:val="0"/>
                <w:sz w:val="16"/>
              </w:rPr>
              <w:t>≈ 56 M€</w:t>
            </w:r>
          </w:p>
        </w:tc>
      </w:tr>
      <w:tr>
        <w:tc>
          <w:tcPr>
            <w:tcW w:type="dxa" w:w="2041"/>
          </w:tcPr>
          <w:p>
            <w:pPr>
              <w:spacing w:after="40"/>
            </w:pPr>
            <w:r/>
            <w:r>
              <w:rPr>
                <w:b w:val="0"/>
                <w:sz w:val="16"/>
              </w:rPr>
              <w:t>Emplois directs / indirects</w:t>
            </w:r>
          </w:p>
        </w:tc>
        <w:tc>
          <w:tcPr>
            <w:tcW w:type="dxa" w:w="2494"/>
          </w:tcPr>
          <w:p>
            <w:pPr>
              <w:spacing w:after="40"/>
            </w:pPr>
            <w:r/>
            <w:r>
              <w:rPr>
                <w:b w:val="0"/>
                <w:sz w:val="16"/>
              </w:rPr>
              <w:t>30 / 100</w:t>
            </w:r>
          </w:p>
        </w:tc>
        <w:tc>
          <w:tcPr>
            <w:tcW w:type="dxa" w:w="2381"/>
          </w:tcPr>
          <w:p>
            <w:pPr>
              <w:spacing w:after="40"/>
            </w:pPr>
            <w:r/>
            <w:r>
              <w:rPr>
                <w:b w:val="0"/>
                <w:sz w:val="16"/>
              </w:rPr>
              <w:t>30 / 100</w:t>
            </w:r>
          </w:p>
        </w:tc>
        <w:tc>
          <w:tcPr>
            <w:tcW w:type="dxa" w:w="2438"/>
          </w:tcPr>
          <w:p>
            <w:pPr>
              <w:spacing w:after="40"/>
            </w:pPr>
            <w:r/>
            <w:r>
              <w:rPr>
                <w:b w:val="0"/>
                <w:sz w:val="16"/>
              </w:rPr>
              <w:t>30 / 100</w:t>
            </w:r>
          </w:p>
        </w:tc>
      </w:tr>
      <w:tr>
        <w:tc>
          <w:tcPr>
            <w:tcW w:type="dxa" w:w="2041"/>
          </w:tcPr>
          <w:p>
            <w:pPr>
              <w:spacing w:after="40"/>
            </w:pPr>
            <w:r/>
            <w:r>
              <w:rPr>
                <w:b w:val="0"/>
                <w:sz w:val="16"/>
              </w:rPr>
              <w:t>Mise en service prévue</w:t>
            </w:r>
          </w:p>
        </w:tc>
        <w:tc>
          <w:tcPr>
            <w:tcW w:type="dxa" w:w="2494"/>
          </w:tcPr>
          <w:p>
            <w:pPr>
              <w:spacing w:after="40"/>
            </w:pPr>
            <w:r/>
            <w:r>
              <w:rPr>
                <w:b w:val="0"/>
                <w:sz w:val="16"/>
              </w:rPr>
              <w:t>Septembre 2028</w:t>
            </w:r>
          </w:p>
        </w:tc>
        <w:tc>
          <w:tcPr>
            <w:tcW w:type="dxa" w:w="2381"/>
          </w:tcPr>
          <w:p>
            <w:pPr>
              <w:spacing w:after="40"/>
            </w:pPr>
            <w:r/>
            <w:r>
              <w:rPr>
                <w:b w:val="0"/>
                <w:sz w:val="16"/>
              </w:rPr>
              <w:t>2030</w:t>
            </w:r>
          </w:p>
        </w:tc>
        <w:tc>
          <w:tcPr>
            <w:tcW w:type="dxa" w:w="2438"/>
          </w:tcPr>
          <w:p>
            <w:pPr>
              <w:spacing w:after="40"/>
            </w:pPr>
            <w:r/>
            <w:r>
              <w:rPr>
                <w:b w:val="0"/>
                <w:sz w:val="16"/>
              </w:rPr>
              <w:t>2029</w:t>
            </w:r>
          </w:p>
        </w:tc>
      </w:tr>
    </w:tbl>
    <w:p>
      <w:pPr>
        <w:spacing w:after="80"/>
      </w:pPr>
    </w:p>
    <w:p>
      <w:pPr>
        <w:keepNext/>
        <w:spacing w:before="240" w:after="80"/>
      </w:pPr>
      <w:r>
        <w:rPr>
          <w:b/>
          <w:color w:val="1F3B57"/>
          <w:sz w:val="24"/>
        </w:rPr>
        <w:t>1.3 Les agrégats de la plateforme</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1F3B57"/>
          </w:tcPr>
          <w:p>
            <w:r/>
            <w:r>
              <w:rPr>
                <w:b/>
                <w:color w:val="FFFFFF"/>
                <w:sz w:val="18"/>
              </w:rPr>
              <w:t>Agrégat (trois projets)</w:t>
            </w:r>
          </w:p>
        </w:tc>
        <w:tc>
          <w:tcPr>
            <w:tcW w:type="dxa" w:w="2268"/>
            <w:shd w:val="clear" w:fill="1F3B57"/>
          </w:tcPr>
          <w:p>
            <w:r/>
            <w:r>
              <w:rPr>
                <w:b/>
                <w:color w:val="FFFFFF"/>
                <w:sz w:val="18"/>
              </w:rPr>
              <w:t>Valeur</w:t>
            </w:r>
          </w:p>
        </w:tc>
        <w:tc>
          <w:tcPr>
            <w:tcW w:type="dxa" w:w="4252"/>
            <w:shd w:val="clear" w:fill="1F3B57"/>
          </w:tcPr>
          <w:p>
            <w:r/>
            <w:r>
              <w:rPr>
                <w:b/>
                <w:color w:val="FFFFFF"/>
                <w:sz w:val="18"/>
              </w:rPr>
              <w:t>Mise en perspective</w:t>
            </w:r>
          </w:p>
        </w:tc>
      </w:tr>
      <w:tr>
        <w:tc>
          <w:tcPr>
            <w:tcW w:type="dxa" w:w="2835"/>
          </w:tcPr>
          <w:p>
            <w:pPr>
              <w:spacing w:after="40"/>
            </w:pPr>
            <w:r/>
            <w:r>
              <w:rPr>
                <w:b w:val="0"/>
                <w:sz w:val="18"/>
              </w:rPr>
              <w:t>Capacité de production</w:t>
            </w:r>
          </w:p>
        </w:tc>
        <w:tc>
          <w:tcPr>
            <w:tcW w:type="dxa" w:w="2268"/>
          </w:tcPr>
          <w:p>
            <w:pPr>
              <w:spacing w:after="40"/>
            </w:pPr>
            <w:r/>
            <w:r>
              <w:rPr>
                <w:b w:val="0"/>
                <w:sz w:val="18"/>
              </w:rPr>
              <w:t>312 000 t/an</w:t>
            </w:r>
          </w:p>
        </w:tc>
        <w:tc>
          <w:tcPr>
            <w:tcW w:type="dxa" w:w="4252"/>
          </w:tcPr>
          <w:p>
            <w:pPr>
              <w:spacing w:after="40"/>
            </w:pPr>
            <w:r/>
            <w:r>
              <w:rPr>
                <w:b w:val="0"/>
                <w:sz w:val="18"/>
              </w:rPr>
              <w:t>Environ 13 % de la consommation française de granulés, estimée à 2,4 Mt en 2025</w:t>
            </w:r>
          </w:p>
        </w:tc>
      </w:tr>
      <w:tr>
        <w:tc>
          <w:tcPr>
            <w:tcW w:type="dxa" w:w="2835"/>
          </w:tcPr>
          <w:p>
            <w:pPr>
              <w:spacing w:after="40"/>
            </w:pPr>
            <w:r/>
            <w:r>
              <w:rPr>
                <w:b w:val="0"/>
                <w:sz w:val="18"/>
              </w:rPr>
              <w:t>Biomasse mobilisée</w:t>
            </w:r>
          </w:p>
        </w:tc>
        <w:tc>
          <w:tcPr>
            <w:tcW w:type="dxa" w:w="2268"/>
          </w:tcPr>
          <w:p>
            <w:pPr>
              <w:spacing w:after="40"/>
            </w:pPr>
            <w:r/>
            <w:r>
              <w:rPr>
                <w:b w:val="0"/>
                <w:sz w:val="18"/>
              </w:rPr>
              <w:t>≈ 530 000 t/an de bois entrant</w:t>
            </w:r>
          </w:p>
        </w:tc>
        <w:tc>
          <w:tcPr>
            <w:tcW w:type="dxa" w:w="4252"/>
          </w:tcPr>
          <w:p>
            <w:pPr>
              <w:spacing w:after="40"/>
            </w:pPr>
            <w:r/>
            <w:r>
              <w:rPr>
                <w:b w:val="0"/>
                <w:sz w:val="18"/>
              </w:rPr>
              <w:t>Trois bassins d’approvisionnement distincts de 150 km, sans recouvrement</w:t>
            </w:r>
          </w:p>
        </w:tc>
      </w:tr>
      <w:tr>
        <w:tc>
          <w:tcPr>
            <w:tcW w:type="dxa" w:w="2835"/>
          </w:tcPr>
          <w:p>
            <w:pPr>
              <w:spacing w:after="40"/>
            </w:pPr>
            <w:r/>
            <w:r>
              <w:rPr>
                <w:b w:val="0"/>
                <w:sz w:val="18"/>
              </w:rPr>
              <w:t>Investissement industriel</w:t>
            </w:r>
          </w:p>
        </w:tc>
        <w:tc>
          <w:tcPr>
            <w:tcW w:type="dxa" w:w="2268"/>
          </w:tcPr>
          <w:p>
            <w:pPr>
              <w:spacing w:after="40"/>
            </w:pPr>
            <w:r/>
            <w:r>
              <w:rPr>
                <w:b w:val="0"/>
                <w:sz w:val="18"/>
              </w:rPr>
              <w:t>≈ 171 M€</w:t>
            </w:r>
          </w:p>
        </w:tc>
        <w:tc>
          <w:tcPr>
            <w:tcW w:type="dxa" w:w="4252"/>
          </w:tcPr>
          <w:p>
            <w:pPr>
              <w:spacing w:after="40"/>
            </w:pPr>
            <w:r/>
            <w:r>
              <w:rPr>
                <w:b w:val="0"/>
                <w:sz w:val="18"/>
              </w:rPr>
              <w:t>Réparti sur trois régions et trois départements</w:t>
            </w:r>
          </w:p>
        </w:tc>
      </w:tr>
      <w:tr>
        <w:tc>
          <w:tcPr>
            <w:tcW w:type="dxa" w:w="2835"/>
          </w:tcPr>
          <w:p>
            <w:pPr>
              <w:spacing w:after="40"/>
            </w:pPr>
            <w:r/>
            <w:r>
              <w:rPr>
                <w:b w:val="0"/>
                <w:sz w:val="18"/>
              </w:rPr>
              <w:t>Emplois directs</w:t>
            </w:r>
          </w:p>
        </w:tc>
        <w:tc>
          <w:tcPr>
            <w:tcW w:type="dxa" w:w="2268"/>
          </w:tcPr>
          <w:p>
            <w:pPr>
              <w:spacing w:after="40"/>
            </w:pPr>
            <w:r/>
            <w:r>
              <w:rPr>
                <w:b w:val="0"/>
                <w:sz w:val="18"/>
              </w:rPr>
              <w:t>90 emplois permanents</w:t>
            </w:r>
          </w:p>
        </w:tc>
        <w:tc>
          <w:tcPr>
            <w:tcW w:type="dxa" w:w="4252"/>
          </w:tcPr>
          <w:p>
            <w:pPr>
              <w:spacing w:after="40"/>
            </w:pPr>
            <w:r/>
            <w:r>
              <w:rPr>
                <w:b w:val="0"/>
                <w:sz w:val="18"/>
              </w:rPr>
              <w:t>Majoritairement des postes techniques en équipes tournantes</w:t>
            </w:r>
          </w:p>
        </w:tc>
      </w:tr>
      <w:tr>
        <w:tc>
          <w:tcPr>
            <w:tcW w:type="dxa" w:w="2835"/>
          </w:tcPr>
          <w:p>
            <w:pPr>
              <w:spacing w:after="40"/>
            </w:pPr>
            <w:r/>
            <w:r>
              <w:rPr>
                <w:b w:val="0"/>
                <w:sz w:val="18"/>
              </w:rPr>
              <w:t>Emplois indirects</w:t>
            </w:r>
          </w:p>
        </w:tc>
        <w:tc>
          <w:tcPr>
            <w:tcW w:type="dxa" w:w="2268"/>
          </w:tcPr>
          <w:p>
            <w:pPr>
              <w:spacing w:after="40"/>
            </w:pPr>
            <w:r/>
            <w:r>
              <w:rPr>
                <w:b w:val="0"/>
                <w:sz w:val="18"/>
              </w:rPr>
              <w:t>≈ 300 emplois</w:t>
            </w:r>
          </w:p>
        </w:tc>
        <w:tc>
          <w:tcPr>
            <w:tcW w:type="dxa" w:w="4252"/>
          </w:tcPr>
          <w:p>
            <w:pPr>
              <w:spacing w:after="40"/>
            </w:pPr>
            <w:r/>
            <w:r>
              <w:rPr>
                <w:b w:val="0"/>
                <w:sz w:val="18"/>
              </w:rPr>
              <w:t>Scieries, exploitants forestiers, déchiquetage, transport amont et aval, maintenance, négoce</w:t>
            </w:r>
          </w:p>
        </w:tc>
      </w:tr>
      <w:tr>
        <w:tc>
          <w:tcPr>
            <w:tcW w:type="dxa" w:w="2835"/>
          </w:tcPr>
          <w:p>
            <w:pPr>
              <w:spacing w:after="40"/>
            </w:pPr>
            <w:r/>
            <w:r>
              <w:rPr>
                <w:b w:val="0"/>
                <w:sz w:val="18"/>
              </w:rPr>
              <w:t>Consommation d’espaces naturels, agricoles ou forestiers</w:t>
            </w:r>
          </w:p>
        </w:tc>
        <w:tc>
          <w:tcPr>
            <w:tcW w:type="dxa" w:w="2268"/>
          </w:tcPr>
          <w:p>
            <w:pPr>
              <w:spacing w:after="40"/>
            </w:pPr>
            <w:r/>
            <w:r>
              <w:rPr>
                <w:b w:val="0"/>
                <w:sz w:val="18"/>
              </w:rPr>
              <w:t>0 m²</w:t>
            </w:r>
          </w:p>
        </w:tc>
        <w:tc>
          <w:tcPr>
            <w:tcW w:type="dxa" w:w="4252"/>
          </w:tcPr>
          <w:p>
            <w:pPr>
              <w:spacing w:after="40"/>
            </w:pPr>
            <w:r/>
            <w:r>
              <w:rPr>
                <w:b w:val="0"/>
                <w:sz w:val="18"/>
              </w:rPr>
              <w:t>Trois opérations de recyclage foncier</w:t>
            </w:r>
          </w:p>
        </w:tc>
      </w:tr>
      <w:tr>
        <w:tc>
          <w:tcPr>
            <w:tcW w:type="dxa" w:w="2835"/>
          </w:tcPr>
          <w:p>
            <w:pPr>
              <w:spacing w:after="40"/>
            </w:pPr>
            <w:r/>
            <w:r>
              <w:rPr>
                <w:b w:val="0"/>
                <w:sz w:val="18"/>
              </w:rPr>
              <w:t>Régions concernées</w:t>
            </w:r>
          </w:p>
        </w:tc>
        <w:tc>
          <w:tcPr>
            <w:tcW w:type="dxa" w:w="2268"/>
          </w:tcPr>
          <w:p>
            <w:pPr>
              <w:spacing w:after="40"/>
            </w:pPr>
            <w:r/>
            <w:r>
              <w:rPr>
                <w:b w:val="0"/>
                <w:sz w:val="18"/>
              </w:rPr>
              <w:t>3 — Grand Est, Hauts-de-France, Pays de la Loire</w:t>
            </w:r>
          </w:p>
        </w:tc>
        <w:tc>
          <w:tcPr>
            <w:tcW w:type="dxa" w:w="4252"/>
          </w:tcPr>
          <w:p>
            <w:pPr>
              <w:spacing w:after="40"/>
            </w:pPr>
            <w:r/>
            <w:r>
              <w:rPr>
                <w:b w:val="0"/>
                <w:sz w:val="18"/>
              </w:rPr>
              <w:t>Trois SRADDET, trois SRDEII, trois programmes FEDER</w:t>
            </w:r>
          </w:p>
        </w:tc>
      </w:tr>
    </w:tbl>
    <w:p>
      <w:pPr>
        <w:spacing w:after="80"/>
      </w:pPr>
    </w:p>
    <w:p>
      <w:pPr>
        <w:keepNext/>
        <w:spacing w:before="240" w:after="80"/>
      </w:pPr>
      <w:r>
        <w:rPr>
          <w:b/>
          <w:color w:val="1F3B57"/>
          <w:sz w:val="24"/>
        </w:rPr>
        <w:t>1.4 Le procédé industriel</w:t>
      </w:r>
    </w:p>
    <w:p>
      <w:pPr>
        <w:jc w:val="both"/>
      </w:pPr>
      <w:r>
        <w:rPr>
          <w:b w:val="0"/>
          <w:i w:val="0"/>
          <w:sz w:val="21"/>
        </w:rPr>
        <w:t>Le procédé est identique sur les trois sites et se décompose en six étapes continues. Son principe économique tient en une phrase : l’unité ne mobilise pas de coupes dédiées, elle valorise des matières que la filière bois ne transforme pas en bois d’œuvre.</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3B57"/>
          </w:tcPr>
          <w:p>
            <w:r/>
            <w:r>
              <w:rPr>
                <w:b/>
                <w:color w:val="FFFFFF"/>
                <w:sz w:val="17"/>
              </w:rPr>
              <w:t>Étape</w:t>
            </w:r>
          </w:p>
        </w:tc>
        <w:tc>
          <w:tcPr>
            <w:tcW w:type="dxa" w:w="6803"/>
            <w:shd w:val="clear" w:fill="1F3B57"/>
          </w:tcPr>
          <w:p>
            <w:r/>
            <w:r>
              <w:rPr>
                <w:b/>
                <w:color w:val="FFFFFF"/>
                <w:sz w:val="17"/>
              </w:rPr>
              <w:t>Description</w:t>
            </w:r>
          </w:p>
        </w:tc>
      </w:tr>
      <w:tr>
        <w:tc>
          <w:tcPr>
            <w:tcW w:type="dxa" w:w="2551"/>
          </w:tcPr>
          <w:p>
            <w:pPr>
              <w:spacing w:after="40"/>
            </w:pPr>
            <w:r/>
            <w:r>
              <w:rPr>
                <w:b w:val="0"/>
                <w:sz w:val="17"/>
              </w:rPr>
              <w:t>1. Réception et contrôle des intrants</w:t>
            </w:r>
          </w:p>
        </w:tc>
        <w:tc>
          <w:tcPr>
            <w:tcW w:type="dxa" w:w="6803"/>
          </w:tcPr>
          <w:p>
            <w:pPr>
              <w:spacing w:after="40"/>
            </w:pPr>
            <w:r/>
            <w:r>
              <w:rPr>
                <w:b w:val="0"/>
                <w:sz w:val="17"/>
              </w:rPr>
              <w:t>Bois ronds issus d’éclaircies, connexes de scieries (sciures, copeaux, délignures, écorces), bois de faible diamètre, houppiers, plaquettes forestières, bois scolytés et produits de coupes sanitaires. Contrôle du taux d’humidité, de la granulométrie et de la certification PEFC/FSC.</w:t>
            </w:r>
          </w:p>
        </w:tc>
      </w:tr>
      <w:tr>
        <w:tc>
          <w:tcPr>
            <w:tcW w:type="dxa" w:w="2551"/>
          </w:tcPr>
          <w:p>
            <w:pPr>
              <w:spacing w:after="40"/>
            </w:pPr>
            <w:r/>
            <w:r>
              <w:rPr>
                <w:b w:val="0"/>
                <w:sz w:val="17"/>
              </w:rPr>
              <w:t>2. Broyage et déchiquetage</w:t>
            </w:r>
          </w:p>
        </w:tc>
        <w:tc>
          <w:tcPr>
            <w:tcW w:type="dxa" w:w="6803"/>
          </w:tcPr>
          <w:p>
            <w:pPr>
              <w:spacing w:after="40"/>
            </w:pPr>
            <w:r/>
            <w:r>
              <w:rPr>
                <w:b w:val="0"/>
                <w:sz w:val="17"/>
              </w:rPr>
              <w:t>Réduction à la granulométrie requise par broyeur lent ; séparateurs et tri optique pour l’extraction des corps étrangers (pierres, métaux, plastiques).</w:t>
            </w:r>
          </w:p>
        </w:tc>
      </w:tr>
      <w:tr>
        <w:tc>
          <w:tcPr>
            <w:tcW w:type="dxa" w:w="2551"/>
          </w:tcPr>
          <w:p>
            <w:pPr>
              <w:spacing w:after="40"/>
            </w:pPr>
            <w:r/>
            <w:r>
              <w:rPr>
                <w:b w:val="0"/>
                <w:sz w:val="17"/>
              </w:rPr>
              <w:t>3. Séchage</w:t>
            </w:r>
          </w:p>
        </w:tc>
        <w:tc>
          <w:tcPr>
            <w:tcW w:type="dxa" w:w="6803"/>
          </w:tcPr>
          <w:p>
            <w:pPr>
              <w:spacing w:after="40"/>
            </w:pPr>
            <w:r/>
            <w:r>
              <w:rPr>
                <w:b w:val="0"/>
                <w:sz w:val="17"/>
              </w:rPr>
              <w:t>Séchage de la biomasse jusqu’à un taux d’humidité inférieur à 10 %, condition de la qualité ENplus. Étape la plus énergivore du procédé, alimentée par la production thermique intégrée.</w:t>
            </w:r>
          </w:p>
        </w:tc>
      </w:tr>
      <w:tr>
        <w:tc>
          <w:tcPr>
            <w:tcW w:type="dxa" w:w="2551"/>
          </w:tcPr>
          <w:p>
            <w:pPr>
              <w:spacing w:after="40"/>
            </w:pPr>
            <w:r/>
            <w:r>
              <w:rPr>
                <w:b w:val="0"/>
                <w:sz w:val="17"/>
              </w:rPr>
              <w:t>4. Granulation</w:t>
            </w:r>
          </w:p>
        </w:tc>
        <w:tc>
          <w:tcPr>
            <w:tcW w:type="dxa" w:w="6803"/>
          </w:tcPr>
          <w:p>
            <w:pPr>
              <w:spacing w:after="40"/>
            </w:pPr>
            <w:r/>
            <w:r>
              <w:rPr>
                <w:b w:val="0"/>
                <w:sz w:val="17"/>
              </w:rPr>
              <w:t>Compression à travers filières par presses haute performance. Cylindres de 6 ou 8 mm conformes à la norme ISO 17225-2 (granulés ENplus A1/A2/B).</w:t>
            </w:r>
          </w:p>
        </w:tc>
      </w:tr>
      <w:tr>
        <w:tc>
          <w:tcPr>
            <w:tcW w:type="dxa" w:w="2551"/>
          </w:tcPr>
          <w:p>
            <w:pPr>
              <w:spacing w:after="40"/>
            </w:pPr>
            <w:r/>
            <w:r>
              <w:rPr>
                <w:b w:val="0"/>
                <w:sz w:val="17"/>
              </w:rPr>
              <w:t>5. Refroidissement, criblage et contrôle qualité</w:t>
            </w:r>
          </w:p>
        </w:tc>
        <w:tc>
          <w:tcPr>
            <w:tcW w:type="dxa" w:w="6803"/>
          </w:tcPr>
          <w:p>
            <w:pPr>
              <w:spacing w:after="40"/>
            </w:pPr>
            <w:r/>
            <w:r>
              <w:rPr>
                <w:b w:val="0"/>
                <w:sz w:val="17"/>
              </w:rPr>
              <w:t>Refroidissement et criblage des fines ; prélèvements continus pour le contrôle du pouvoir calorifique, du taux de cendres, de l’humidité et de la durabilité mécanique.</w:t>
            </w:r>
          </w:p>
        </w:tc>
      </w:tr>
      <w:tr>
        <w:tc>
          <w:tcPr>
            <w:tcW w:type="dxa" w:w="2551"/>
          </w:tcPr>
          <w:p>
            <w:pPr>
              <w:spacing w:after="40"/>
            </w:pPr>
            <w:r/>
            <w:r>
              <w:rPr>
                <w:b w:val="0"/>
                <w:sz w:val="17"/>
              </w:rPr>
              <w:t>6. Stockage et expédition</w:t>
            </w:r>
          </w:p>
        </w:tc>
        <w:tc>
          <w:tcPr>
            <w:tcW w:type="dxa" w:w="6803"/>
          </w:tcPr>
          <w:p>
            <w:pPr>
              <w:spacing w:after="40"/>
            </w:pPr>
            <w:r/>
            <w:r>
              <w:rPr>
                <w:b w:val="0"/>
                <w:sz w:val="17"/>
              </w:rPr>
              <w:t>Expédition en vrac soufflé vers les sites industriels et les chaufferies collectives, et en sacs palettisés pour le débouché résidentiel. Expédition majoritairement ferroviaire à Damblain.</w:t>
            </w:r>
          </w:p>
        </w:tc>
      </w:tr>
    </w:tbl>
    <w:p>
      <w:pPr>
        <w:spacing w:after="80"/>
      </w:pPr>
    </w:p>
    <w:p>
      <w:pPr>
        <w:keepNext/>
        <w:spacing w:before="180" w:after="60"/>
      </w:pPr>
      <w:r>
        <w:rPr>
          <w:b/>
          <w:color w:val="2E6B3E"/>
          <w:sz w:val="21"/>
        </w:rPr>
        <w:t>La production de la chaleur de séchage</w:t>
      </w:r>
    </w:p>
    <w:p>
      <w:pPr>
        <w:jc w:val="both"/>
      </w:pPr>
      <w:r>
        <w:rPr>
          <w:b w:val="0"/>
          <w:i w:val="0"/>
          <w:sz w:val="21"/>
        </w:rPr>
        <w:t>Le séchage étant l’opération la plus énergivore du procédé, sa configuration détermine la performance environnementale de l’installation et son régime réglementaire. Deux configurations coexistent :</w:t>
      </w:r>
    </w:p>
    <w:p>
      <w:pPr>
        <w:pStyle w:val="ListBullet"/>
        <w:spacing w:after="60"/>
        <w:ind w:left="340"/>
        <w:jc w:val="both"/>
      </w:pPr>
      <w:r>
        <w:rPr>
          <w:b/>
          <w:sz w:val="21"/>
        </w:rPr>
        <w:t>Damblain et Hirson — chaudière biomasse.</w:t>
      </w:r>
      <w:r>
        <w:rPr>
          <w:b w:val="0"/>
          <w:sz w:val="21"/>
        </w:rPr>
        <w:t xml:space="preserve"> La chaleur nécessaire à la bande séchante est produite par une chaudière biomasse intégrée. </w:t>
      </w:r>
      <w:r>
        <w:rPr>
          <w:b/>
          <w:sz w:val="21"/>
        </w:rPr>
        <w:t>Environ 30 % des écorces produites lors de l’écorçage des bois ronds réceptionnés y sont autoconsommées.</w:t>
      </w:r>
      <w:r>
        <w:rPr>
          <w:b w:val="0"/>
          <w:sz w:val="21"/>
        </w:rPr>
        <w:t xml:space="preserve"> L’écorce, fraction à faible valeur et à taux de cendres élevé, impropre à la fabrication du granulé certifié, devient ainsi le combustible du séchage : la conception réalise une valorisation en cascade interne et réduit d’autant les besoins d’énergie externe.</w:t>
      </w:r>
    </w:p>
    <w:p>
      <w:pPr>
        <w:pStyle w:val="ListBullet"/>
        <w:spacing w:after="60"/>
        <w:ind w:left="340"/>
        <w:jc w:val="both"/>
      </w:pPr>
      <w:r>
        <w:rPr>
          <w:b/>
          <w:sz w:val="21"/>
        </w:rPr>
        <w:t>Écommoy — chaudière CSR.</w:t>
      </w:r>
      <w:r>
        <w:rPr>
          <w:b w:val="0"/>
          <w:sz w:val="21"/>
        </w:rPr>
        <w:t xml:space="preserve"> L’autorisation environnementale obtenue en juin 2024 couvre une chaudière alimentée en combustibles solides de récupération issus de déchets industriels banaux et de bois de classe B, avec une efficacité énergétique supérieure à 70 % au titre de la rubrique 2971 de la nomenclature des installations classées. Cette configuration a été soumise à enquête publique, a recueilli un avis favorable du commissaire enquêteur ainsi que ceux de l’agence régionale de santé et du service départemental d’incendie et de secours, et relève du contrôle de la DREAL. Une chaudière biomasse constitue l’alternative envisagée selon la compétitivité du prix de la chaleur.</w:t>
      </w:r>
    </w:p>
    <w:p>
      <w:r>
        <w:br w:type="page"/>
      </w:r>
    </w:p>
    <w:p>
      <w:pPr>
        <w:keepNext/>
        <w:spacing w:before="360" w:after="160"/>
        <w:pBdr>
          <w:bottom w:val="single" w:sz="8" w:space="2" w:color="1F3B57"/>
        </w:pBdr>
      </w:pPr>
      <w:r>
        <w:rPr>
          <w:b/>
          <w:color w:val="1F3B57"/>
          <w:sz w:val="28"/>
        </w:rPr>
        <w:t>PARTIE II — LE CADRE NATIONAL</w:t>
      </w:r>
    </w:p>
    <w:p>
      <w:pPr>
        <w:jc w:val="both"/>
      </w:pPr>
      <w:r>
        <w:rPr>
          <w:b w:val="0"/>
          <w:i/>
          <w:sz w:val="21"/>
        </w:rPr>
        <w:t>Cette partie expose les cadres nationaux et européens dans lesquels les trois projets s’inscrivent. Elle est commune aux trois sites ; les données propres à chacun sont précisées dans les parties IV à VI.</w:t>
      </w:r>
    </w:p>
    <w:p>
      <w:pPr>
        <w:keepNext/>
        <w:spacing w:before="240" w:after="80"/>
      </w:pPr>
      <w:r>
        <w:rPr>
          <w:b/>
          <w:color w:val="1F3B57"/>
          <w:sz w:val="24"/>
        </w:rPr>
        <w:t>2.1 La programmation pluriannuelle de l’énergie</w:t>
      </w:r>
    </w:p>
    <w:p>
      <w:pPr>
        <w:jc w:val="both"/>
      </w:pPr>
      <w:r>
        <w:rPr>
          <w:b w:val="0"/>
          <w:i w:val="0"/>
          <w:sz w:val="21"/>
        </w:rPr>
        <w:t xml:space="preserve">La feuille de route énergétique de la France est fixée par la </w:t>
      </w:r>
      <w:r>
        <w:rPr>
          <w:b/>
          <w:i w:val="0"/>
          <w:sz w:val="21"/>
        </w:rPr>
        <w:t>troisième programmation pluriannuelle de l’énergie, couvrant la période 2026-2035, adoptée par le décret n° 2026-76 du 12 février 2026</w:t>
      </w:r>
      <w:r>
        <w:rPr>
          <w:b w:val="0"/>
          <w:i w:val="0"/>
          <w:sz w:val="21"/>
        </w:rPr>
        <w:t>, publié au Journal officiel le 13 février 2026.</w:t>
      </w:r>
    </w:p>
    <w:p>
      <w:pPr>
        <w:jc w:val="both"/>
      </w:pPr>
      <w:r>
        <w:rPr>
          <w:b w:val="0"/>
          <w:i w:val="0"/>
          <w:sz w:val="21"/>
        </w:rPr>
        <w:t>Trois de ses orientations intéressent directement les projets :</w:t>
      </w:r>
    </w:p>
    <w:p>
      <w:pPr>
        <w:pStyle w:val="ListBullet"/>
        <w:spacing w:after="60"/>
        <w:ind w:left="340"/>
        <w:jc w:val="both"/>
      </w:pPr>
      <w:r>
        <w:rPr>
          <w:b/>
          <w:sz w:val="21"/>
        </w:rPr>
        <w:t>La trajectoire de décarbonation de la consommation finale.</w:t>
      </w:r>
      <w:r>
        <w:rPr>
          <w:b w:val="0"/>
          <w:sz w:val="21"/>
        </w:rPr>
        <w:t xml:space="preserve"> La programmation fixe l’objectif de porter la part d’énergie décarbonée dans la consommation énergétique nationale à </w:t>
      </w:r>
      <w:r>
        <w:rPr>
          <w:b/>
          <w:sz w:val="21"/>
        </w:rPr>
        <w:t>60 % dès 2030</w:t>
      </w:r>
      <w:r>
        <w:rPr>
          <w:b w:val="0"/>
          <w:sz w:val="21"/>
        </w:rPr>
        <w:t>, contre 42 % en 2023, et à 70 % à l’horizon 2035.</w:t>
      </w:r>
    </w:p>
    <w:p>
      <w:pPr>
        <w:pStyle w:val="ListBullet"/>
        <w:spacing w:after="60"/>
        <w:ind w:left="340"/>
        <w:jc w:val="both"/>
      </w:pPr>
      <w:r>
        <w:rPr>
          <w:b/>
          <w:sz w:val="21"/>
        </w:rPr>
        <w:t>L’objectif de chaleur renouvelable et de récupération</w:t>
      </w:r>
      <w:r>
        <w:rPr>
          <w:b w:val="0"/>
          <w:sz w:val="21"/>
        </w:rPr>
        <w:t xml:space="preserve">, de l’ordre de </w:t>
      </w:r>
      <w:r>
        <w:rPr>
          <w:b/>
          <w:sz w:val="21"/>
        </w:rPr>
        <w:t>297 TWh en 2030</w:t>
      </w:r>
      <w:r>
        <w:rPr>
          <w:b w:val="0"/>
          <w:sz w:val="21"/>
        </w:rPr>
        <w:t xml:space="preserve"> et de 328 à 421 TWh en 2035. La chaleur constitue le premier poste de consommation énergétique du pays et le bois-énergie en est le premier contributeur renouvelable.</w:t>
      </w:r>
    </w:p>
    <w:p>
      <w:pPr>
        <w:pStyle w:val="ListBullet"/>
        <w:spacing w:after="60"/>
        <w:ind w:left="340"/>
        <w:jc w:val="both"/>
      </w:pPr>
      <w:r>
        <w:rPr>
          <w:b/>
          <w:sz w:val="21"/>
        </w:rPr>
        <w:t>Le développement des réseaux de chaleur et de la chaleur industrielle renouvelable</w:t>
      </w:r>
      <w:r>
        <w:rPr>
          <w:b w:val="0"/>
          <w:sz w:val="21"/>
        </w:rPr>
        <w:t>, avec un renforcement des mécanismes de soutien destinés aux collectivités et aux industriels — qui constituent le débouché principal des granulés produits par les trois unités.</w:t>
      </w:r>
    </w:p>
    <w:p>
      <w:pPr>
        <w:jc w:val="both"/>
      </w:pPr>
      <w:r>
        <w:rPr>
          <w:b w:val="0"/>
          <w:i w:val="0"/>
          <w:sz w:val="21"/>
        </w:rPr>
        <w:t>La programmation retient par ailleurs une approche mesurée de la mobilisation de la biomasse, au regard du caractère limité de la ressource et de la concurrence des usages. Les trois projets s’inscrivent dans cette approche : ils ne reposent sur aucune coupe dédiée, mobilisent des connexes de scieries, des houppiers, des bois d’éclaircie, des bois scolytés et des produits de coupes sanitaires, et respectent la hiérarchie des usages en valorisant les sous-produits du bois d’œuvre plutôt qu’en concurrençant celui-ci.</w:t>
      </w:r>
    </w:p>
    <w:p>
      <w:pPr>
        <w:keepNext/>
        <w:spacing w:before="240" w:after="80"/>
      </w:pPr>
      <w:r>
        <w:rPr>
          <w:b/>
          <w:color w:val="1F3B57"/>
          <w:sz w:val="24"/>
        </w:rPr>
        <w:t>2.2 La Stratégie nationale bas-carbone</w:t>
      </w:r>
    </w:p>
    <w:p>
      <w:pPr>
        <w:jc w:val="both"/>
      </w:pPr>
      <w:r>
        <w:rPr>
          <w:b w:val="0"/>
          <w:i w:val="0"/>
          <w:sz w:val="21"/>
        </w:rPr>
        <w:t>La Stratégie nationale bas-carbone fixe le cap de la neutralité carbone à l’horizon 2050 et organise la décarbonation sectorielle, en particulier du bâtiment résidentiel et tertiaire et de l’industrie. Le bois-énergie y figure, avec les réseaux de chaleur et les pompes à chaleur, parmi les vecteurs de substitution du fioul domestique et du gaz naturel dans le parc existant, et parmi les rares vecteurs mobilisables à court terme pour la chaleur industrielle à haute température.</w:t>
      </w:r>
    </w:p>
    <w:p>
      <w:pPr>
        <w:jc w:val="both"/>
      </w:pPr>
      <w:r>
        <w:rPr>
          <w:b w:val="0"/>
          <w:i w:val="0"/>
          <w:sz w:val="21"/>
        </w:rPr>
        <w:t>Le granulé normé présente à cet égard trois propriétés que les autres formes de bois-énergie ne cumulent pas : une densité énergétique qui rend le transport à longue distance économiquement viable, une humidité maîtrisée inférieure à 10 % qui garantit le rendement des installations, et une qualité contractuellement garantie par la certification ENplus. Ces propriétés justifient l’existence d’unités de production de grande capacité, là où la plaquette forestière répond aux usages de proximité.</w:t>
      </w:r>
    </w:p>
    <w:p>
      <w:pPr>
        <w:keepNext/>
        <w:spacing w:before="240" w:after="80"/>
      </w:pPr>
      <w:r>
        <w:rPr>
          <w:b/>
          <w:color w:val="1F3B57"/>
          <w:sz w:val="24"/>
        </w:rPr>
        <w:t>2.3 Le marché national du granulé de bois</w:t>
      </w:r>
    </w:p>
    <w:p>
      <w:pPr>
        <w:jc w:val="both"/>
      </w:pPr>
      <w:r>
        <w:rPr>
          <w:b w:val="0"/>
          <w:i w:val="0"/>
          <w:sz w:val="21"/>
        </w:rPr>
        <w:t>La filière française du granulé a traversé, fin 2022, une tension d’approvisionnement marquée, consécutive à une demande d’urgence et au repli des importations, avec des prix ayant approché 800 euros la tonne. Cet épisode a mis en évidence l’insuffisance des capacités de production nationales.</w:t>
      </w:r>
    </w:p>
    <w:p>
      <w:pPr>
        <w:jc w:val="both"/>
      </w:pPr>
      <w:r>
        <w:rPr>
          <w:b w:val="0"/>
          <w:i w:val="0"/>
          <w:sz w:val="21"/>
        </w:rPr>
        <w:t xml:space="preserve">La situation s’est depuis normalisée. En 2025, la consommation française s’est établie autour de </w:t>
      </w:r>
      <w:r>
        <w:rPr>
          <w:b/>
          <w:i w:val="0"/>
          <w:sz w:val="21"/>
        </w:rPr>
        <w:t>2,4 millions de tonnes</w:t>
      </w:r>
      <w:r>
        <w:rPr>
          <w:b w:val="0"/>
          <w:i w:val="0"/>
          <w:sz w:val="21"/>
        </w:rPr>
        <w:t xml:space="preserve"> pour une production nationale proche de </w:t>
      </w:r>
      <w:r>
        <w:rPr>
          <w:b/>
          <w:i w:val="0"/>
          <w:sz w:val="21"/>
        </w:rPr>
        <w:t>2,2 millions de tonnes</w:t>
      </w:r>
      <w:r>
        <w:rPr>
          <w:b w:val="0"/>
          <w:i w:val="0"/>
          <w:sz w:val="21"/>
        </w:rPr>
        <w:t>. Quatre unités mises en service en 2025 ont ajouté environ 300 000 tonnes de capacité, et la France s’approche de l’autosuffisance en 2026. Les prix se sont stabilisés, à environ 370 euros la tonne en vrac en 2025 contre 356 euros en 2024, dans une fourchette de marché comprise entre 350 et 420 euros la tonne.</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1F3B57"/>
          </w:tcPr>
          <w:p>
            <w:r/>
            <w:r>
              <w:rPr>
                <w:b/>
                <w:color w:val="FFFFFF"/>
                <w:sz w:val="18"/>
              </w:rPr>
              <w:t>Indicateur</w:t>
            </w:r>
          </w:p>
        </w:tc>
        <w:tc>
          <w:tcPr>
            <w:tcW w:type="dxa" w:w="2551"/>
            <w:shd w:val="clear" w:fill="1F3B57"/>
          </w:tcPr>
          <w:p>
            <w:r/>
            <w:r>
              <w:rPr>
                <w:b/>
                <w:color w:val="FFFFFF"/>
                <w:sz w:val="18"/>
              </w:rPr>
              <w:t>Valeur 2025-2026</w:t>
            </w:r>
          </w:p>
        </w:tc>
        <w:tc>
          <w:tcPr>
            <w:tcW w:type="dxa" w:w="3969"/>
            <w:shd w:val="clear" w:fill="1F3B57"/>
          </w:tcPr>
          <w:p>
            <w:r/>
            <w:r>
              <w:rPr>
                <w:b/>
                <w:color w:val="FFFFFF"/>
                <w:sz w:val="18"/>
              </w:rPr>
              <w:t>Portée pour les projets</w:t>
            </w:r>
          </w:p>
        </w:tc>
      </w:tr>
      <w:tr>
        <w:tc>
          <w:tcPr>
            <w:tcW w:type="dxa" w:w="2835"/>
          </w:tcPr>
          <w:p>
            <w:pPr>
              <w:spacing w:after="40"/>
            </w:pPr>
            <w:r/>
            <w:r>
              <w:rPr>
                <w:b w:val="0"/>
                <w:sz w:val="18"/>
              </w:rPr>
              <w:t>Consommation française</w:t>
            </w:r>
          </w:p>
        </w:tc>
        <w:tc>
          <w:tcPr>
            <w:tcW w:type="dxa" w:w="2551"/>
          </w:tcPr>
          <w:p>
            <w:pPr>
              <w:spacing w:after="40"/>
            </w:pPr>
            <w:r/>
            <w:r>
              <w:rPr>
                <w:b w:val="0"/>
                <w:sz w:val="18"/>
              </w:rPr>
              <w:t>≈ 2,4 Mt/an</w:t>
            </w:r>
          </w:p>
        </w:tc>
        <w:tc>
          <w:tcPr>
            <w:tcW w:type="dxa" w:w="3969"/>
          </w:tcPr>
          <w:p>
            <w:pPr>
              <w:spacing w:after="40"/>
            </w:pPr>
            <w:r/>
            <w:r>
              <w:rPr>
                <w:b w:val="0"/>
                <w:sz w:val="18"/>
              </w:rPr>
              <w:t>Marché de référence des 312 000 t/an de la plateforme</w:t>
            </w:r>
          </w:p>
        </w:tc>
      </w:tr>
      <w:tr>
        <w:tc>
          <w:tcPr>
            <w:tcW w:type="dxa" w:w="2835"/>
          </w:tcPr>
          <w:p>
            <w:pPr>
              <w:spacing w:after="40"/>
            </w:pPr>
            <w:r/>
            <w:r>
              <w:rPr>
                <w:b w:val="0"/>
                <w:sz w:val="18"/>
              </w:rPr>
              <w:t>Production française</w:t>
            </w:r>
          </w:p>
        </w:tc>
        <w:tc>
          <w:tcPr>
            <w:tcW w:type="dxa" w:w="2551"/>
          </w:tcPr>
          <w:p>
            <w:pPr>
              <w:spacing w:after="40"/>
            </w:pPr>
            <w:r/>
            <w:r>
              <w:rPr>
                <w:b w:val="0"/>
                <w:sz w:val="18"/>
              </w:rPr>
              <w:t>≈ 2,2 Mt/an</w:t>
            </w:r>
          </w:p>
        </w:tc>
        <w:tc>
          <w:tcPr>
            <w:tcW w:type="dxa" w:w="3969"/>
          </w:tcPr>
          <w:p>
            <w:pPr>
              <w:spacing w:after="40"/>
            </w:pPr>
            <w:r/>
            <w:r>
              <w:rPr>
                <w:b w:val="0"/>
                <w:sz w:val="18"/>
              </w:rPr>
              <w:t>Autosuffisance nationale atteinte ou proche en 2026</w:t>
            </w:r>
          </w:p>
        </w:tc>
      </w:tr>
      <w:tr>
        <w:tc>
          <w:tcPr>
            <w:tcW w:type="dxa" w:w="2835"/>
          </w:tcPr>
          <w:p>
            <w:pPr>
              <w:spacing w:after="40"/>
            </w:pPr>
            <w:r/>
            <w:r>
              <w:rPr>
                <w:b w:val="0"/>
                <w:sz w:val="18"/>
              </w:rPr>
              <w:t>Prix du vrac</w:t>
            </w:r>
          </w:p>
        </w:tc>
        <w:tc>
          <w:tcPr>
            <w:tcW w:type="dxa" w:w="2551"/>
          </w:tcPr>
          <w:p>
            <w:pPr>
              <w:spacing w:after="40"/>
            </w:pPr>
            <w:r/>
            <w:r>
              <w:rPr>
                <w:b w:val="0"/>
                <w:sz w:val="18"/>
              </w:rPr>
              <w:t>≈ 370 €/t en 2025 ; fourchette 350-420 €/t</w:t>
            </w:r>
          </w:p>
        </w:tc>
        <w:tc>
          <w:tcPr>
            <w:tcW w:type="dxa" w:w="3969"/>
          </w:tcPr>
          <w:p>
            <w:pPr>
              <w:spacing w:after="40"/>
            </w:pPr>
            <w:r/>
            <w:r>
              <w:rPr>
                <w:b w:val="0"/>
                <w:sz w:val="18"/>
              </w:rPr>
              <w:t>Stabilité favorable à la contractualisation longue</w:t>
            </w:r>
          </w:p>
        </w:tc>
      </w:tr>
      <w:tr>
        <w:tc>
          <w:tcPr>
            <w:tcW w:type="dxa" w:w="2835"/>
          </w:tcPr>
          <w:p>
            <w:pPr>
              <w:spacing w:after="40"/>
            </w:pPr>
            <w:r/>
            <w:r>
              <w:rPr>
                <w:b w:val="0"/>
                <w:sz w:val="18"/>
              </w:rPr>
              <w:t>Part des importations</w:t>
            </w:r>
          </w:p>
        </w:tc>
        <w:tc>
          <w:tcPr>
            <w:tcW w:type="dxa" w:w="2551"/>
          </w:tcPr>
          <w:p>
            <w:pPr>
              <w:spacing w:after="40"/>
            </w:pPr>
            <w:r/>
            <w:r>
              <w:rPr>
                <w:b w:val="0"/>
                <w:sz w:val="18"/>
              </w:rPr>
              <w:t>&lt; 15 % (Belgique, Allemagne, Autriche)</w:t>
            </w:r>
          </w:p>
        </w:tc>
        <w:tc>
          <w:tcPr>
            <w:tcW w:type="dxa" w:w="3969"/>
          </w:tcPr>
          <w:p>
            <w:pPr>
              <w:spacing w:after="40"/>
            </w:pPr>
            <w:r/>
            <w:r>
              <w:rPr>
                <w:b w:val="0"/>
                <w:sz w:val="18"/>
              </w:rPr>
              <w:t>Dépendance résiduelle concentrée sur certains segments</w:t>
            </w:r>
          </w:p>
        </w:tc>
      </w:tr>
    </w:tbl>
    <w:p>
      <w:pPr>
        <w:spacing w:after="80"/>
      </w:pPr>
    </w:p>
    <w:p>
      <w:pPr>
        <w:jc w:val="both"/>
      </w:pPr>
      <w:r>
        <w:rPr>
          <w:b w:val="0"/>
          <w:i w:val="0"/>
          <w:sz w:val="21"/>
        </w:rPr>
        <w:t xml:space="preserve">L’équilibre national ainsi atteint recouvre des déséquilibres régionaux persistants. Le Grand Est, les Hauts-de-France et les Pays de la Loire disposent chacun d’une ressource forestière ou bocagère importante et d’une demande soutenue, sans capacité de production de granulés industriels proportionnée. Par ailleurs, le déficit d’offre demeure sur le </w:t>
      </w:r>
      <w:r>
        <w:rPr>
          <w:b/>
          <w:i w:val="0"/>
          <w:sz w:val="21"/>
        </w:rPr>
        <w:t>segment industriel et européen</w:t>
      </w:r>
      <w:r>
        <w:rPr>
          <w:b w:val="0"/>
          <w:i w:val="0"/>
          <w:sz w:val="21"/>
        </w:rPr>
        <w:t>, qui constitue le débouché principal des trois unités et fait l’objet de contrats d’achat de long terme conclus avec des contreparties de premier rang.</w:t>
      </w:r>
    </w:p>
    <w:p>
      <w:pPr>
        <w:keepNext/>
        <w:spacing w:before="240" w:after="80"/>
      </w:pPr>
      <w:r>
        <w:rPr>
          <w:b/>
          <w:color w:val="1F3B57"/>
          <w:sz w:val="24"/>
        </w:rPr>
        <w:t>2.4 Durabilité et certifications</w:t>
      </w:r>
    </w:p>
    <w:p>
      <w:pPr>
        <w:pStyle w:val="ListBullet"/>
        <w:spacing w:after="60"/>
        <w:ind w:left="340"/>
        <w:jc w:val="both"/>
      </w:pPr>
      <w:r>
        <w:rPr>
          <w:b/>
          <w:sz w:val="21"/>
        </w:rPr>
        <w:t>Directive RED III.</w:t>
      </w:r>
      <w:r>
        <w:rPr>
          <w:b w:val="0"/>
          <w:sz w:val="21"/>
        </w:rPr>
        <w:t xml:space="preserve"> En vigueur depuis mai 2025, elle renforce les critères de durabilité et de réduction des émissions applicables à la biomasse, étend les exigences aux installations d’une puissance supérieure ou égale à 7,5 MW et consacre le principe d’usage en cascade. Sa transposition en droit français est en cours : le projet de loi portant diverses dispositions d’adaptation au droit de l’Union européenne, déposé au Sénat en novembre 2025, en porte la transposition ; dans l’intervalle, une clause d’antériorité permet l’application des critères issus de la directive RED II. Les trois projets sont conçus pour satisfaire les critères de la directive RED III : approvisionnement certifié, absence de coupes dédiées, circuit court de l’ordre de 150 kilomètres.</w:t>
      </w:r>
    </w:p>
    <w:p>
      <w:pPr>
        <w:pStyle w:val="ListBullet"/>
        <w:spacing w:after="60"/>
        <w:ind w:left="340"/>
        <w:jc w:val="both"/>
      </w:pPr>
      <w:r>
        <w:rPr>
          <w:b/>
          <w:sz w:val="21"/>
        </w:rPr>
        <w:t>Certification ENplus (norme ISO 17225-2).</w:t>
      </w:r>
      <w:r>
        <w:rPr>
          <w:b w:val="0"/>
          <w:sz w:val="21"/>
        </w:rPr>
        <w:t xml:space="preserve"> Granulés A1 et A2 : humidité inférieure à 10 %, taux de cendres maîtrisé, pouvoir calorifique élevé, durabilité mécanique supérieure à 97,5 %, traçabilité de la ressource. Il s’agit de la norme de référence des acheteurs industriels comme des réseaux de distribution résidentiels.</w:t>
      </w:r>
    </w:p>
    <w:p>
      <w:pPr>
        <w:pStyle w:val="ListBullet"/>
        <w:spacing w:after="60"/>
        <w:ind w:left="340"/>
        <w:jc w:val="both"/>
      </w:pPr>
      <w:r>
        <w:rPr>
          <w:b/>
          <w:sz w:val="21"/>
        </w:rPr>
        <w:t>Certification PEFC/FSC des approvisionnements.</w:t>
      </w:r>
      <w:r>
        <w:rPr>
          <w:b w:val="0"/>
          <w:sz w:val="21"/>
        </w:rPr>
        <w:t xml:space="preserve"> Les contrats pluriannuels d’approvisionnement intègrent des clauses de certification forestière, conformes aux exigences de la directive et aux cahiers des charges des acheteurs industriels.</w:t>
      </w:r>
    </w:p>
    <w:p>
      <w:pPr>
        <w:pStyle w:val="ListBullet"/>
        <w:spacing w:after="60"/>
        <w:ind w:left="340"/>
        <w:jc w:val="both"/>
      </w:pPr>
      <w:r>
        <w:rPr>
          <w:b/>
          <w:sz w:val="21"/>
        </w:rPr>
        <w:t>Réglementation ICPE.</w:t>
      </w:r>
      <w:r>
        <w:rPr>
          <w:b w:val="0"/>
          <w:sz w:val="21"/>
        </w:rPr>
        <w:t xml:space="preserve"> Les autorisations environnementales couvrent les rubriques applicables à la fabrication de granulés (3532), au broyage et déchiquetage de biomasse (2791), à la production thermique associée — dont la rubrique 2971 pour la chaufferie d’Écommoy — et, le cas échéant, la rubrique 3520 au titre de la directive relative aux émissions industrielles. Le contrôle relève des DREAL compétentes.</w:t>
      </w:r>
    </w:p>
    <w:p>
      <w:pPr>
        <w:keepNext/>
        <w:spacing w:before="240" w:after="80"/>
      </w:pPr>
      <w:r>
        <w:rPr>
          <w:b/>
          <w:color w:val="1F3B57"/>
          <w:sz w:val="24"/>
        </w:rPr>
        <w:t>2.5 La sobriété foncière</w:t>
      </w:r>
    </w:p>
    <w:p>
      <w:pPr>
        <w:jc w:val="both"/>
      </w:pPr>
      <w:r>
        <w:rPr>
          <w:b w:val="0"/>
          <w:i w:val="0"/>
          <w:sz w:val="21"/>
        </w:rPr>
        <w:t>La loi Climat et Résilience du 22 août 2021 impose une réduction du rythme d’artificialisation des sols, territorialisée par les schémas régionaux d’aménagement puis déclinée dans les schémas de cohérence territoriale et les documents d’urbanisme locaux.</w:t>
      </w:r>
    </w:p>
    <w:p>
      <w:pPr>
        <w:jc w:val="both"/>
      </w:pPr>
      <w:r>
        <w:rPr>
          <w:b/>
          <w:i w:val="0"/>
          <w:sz w:val="21"/>
        </w:rPr>
        <w:t>Aucun des trois projets ne consomme d’espace naturel, agricole ou forestier.</w:t>
      </w:r>
      <w:r>
        <w:rPr>
          <w:b w:val="0"/>
          <w:i w:val="0"/>
          <w:sz w:val="21"/>
        </w:rPr>
        <w:t xml:space="preserve"> Chacun réinvestit un foncier déjà artificialisé, selon trois configurations distinctes :</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fill="1F3B57"/>
          </w:tcPr>
          <w:p>
            <w:r/>
            <w:r>
              <w:rPr>
                <w:b/>
                <w:color w:val="FFFFFF"/>
                <w:sz w:val="18"/>
              </w:rPr>
              <w:t>Site</w:t>
            </w:r>
          </w:p>
        </w:tc>
        <w:tc>
          <w:tcPr>
            <w:tcW w:type="dxa" w:w="3515"/>
            <w:shd w:val="clear" w:fill="1F3B57"/>
          </w:tcPr>
          <w:p>
            <w:r/>
            <w:r>
              <w:rPr>
                <w:b/>
                <w:color w:val="FFFFFF"/>
                <w:sz w:val="18"/>
              </w:rPr>
              <w:t>Qualification foncière</w:t>
            </w:r>
          </w:p>
        </w:tc>
        <w:tc>
          <w:tcPr>
            <w:tcW w:type="dxa" w:w="4252"/>
            <w:shd w:val="clear" w:fill="1F3B57"/>
          </w:tcPr>
          <w:p>
            <w:r/>
            <w:r>
              <w:rPr>
                <w:b/>
                <w:color w:val="FFFFFF"/>
                <w:sz w:val="18"/>
              </w:rPr>
              <w:t>Cadres applicables</w:t>
            </w:r>
          </w:p>
        </w:tc>
      </w:tr>
      <w:tr>
        <w:tc>
          <w:tcPr>
            <w:tcW w:type="dxa" w:w="1587"/>
          </w:tcPr>
          <w:p>
            <w:pPr>
              <w:spacing w:after="40"/>
            </w:pPr>
            <w:r/>
            <w:r>
              <w:rPr>
                <w:b w:val="0"/>
                <w:sz w:val="18"/>
              </w:rPr>
              <w:t>Damblain</w:t>
            </w:r>
          </w:p>
        </w:tc>
        <w:tc>
          <w:tcPr>
            <w:tcW w:type="dxa" w:w="3515"/>
          </w:tcPr>
          <w:p>
            <w:pPr>
              <w:spacing w:after="40"/>
            </w:pPr>
            <w:r/>
            <w:r>
              <w:rPr>
                <w:b w:val="0"/>
                <w:sz w:val="18"/>
              </w:rPr>
              <w:t>Emprise militaire artificialisée, reconvertie en zone d’activité par le Département, viabilisée et embranchée fer</w:t>
            </w:r>
          </w:p>
        </w:tc>
        <w:tc>
          <w:tcPr>
            <w:tcW w:type="dxa" w:w="4252"/>
          </w:tcPr>
          <w:p>
            <w:pPr>
              <w:spacing w:after="40"/>
            </w:pPr>
            <w:r/>
            <w:r>
              <w:rPr>
                <w:b w:val="0"/>
                <w:sz w:val="18"/>
              </w:rPr>
              <w:t>Objectif 11 du SRADDET Grand Est ; densification d’une zone d’activité existante</w:t>
            </w:r>
          </w:p>
        </w:tc>
      </w:tr>
      <w:tr>
        <w:tc>
          <w:tcPr>
            <w:tcW w:type="dxa" w:w="1587"/>
          </w:tcPr>
          <w:p>
            <w:pPr>
              <w:spacing w:after="40"/>
            </w:pPr>
            <w:r/>
            <w:r>
              <w:rPr>
                <w:b w:val="0"/>
                <w:sz w:val="18"/>
              </w:rPr>
              <w:t>Hirson</w:t>
            </w:r>
          </w:p>
        </w:tc>
        <w:tc>
          <w:tcPr>
            <w:tcW w:type="dxa" w:w="3515"/>
          </w:tcPr>
          <w:p>
            <w:pPr>
              <w:spacing w:after="40"/>
            </w:pPr>
            <w:r/>
            <w:r>
              <w:rPr>
                <w:b w:val="0"/>
                <w:sz w:val="18"/>
              </w:rPr>
              <w:t>Ancien site ferroviaire et industriel communal, classé en zone à vocation industrielle au document d’urbanisme</w:t>
            </w:r>
          </w:p>
        </w:tc>
        <w:tc>
          <w:tcPr>
            <w:tcW w:type="dxa" w:w="4252"/>
          </w:tcPr>
          <w:p>
            <w:pPr>
              <w:spacing w:after="40"/>
            </w:pPr>
            <w:r/>
            <w:r>
              <w:rPr>
                <w:b w:val="0"/>
                <w:sz w:val="18"/>
              </w:rPr>
              <w:t>Trajectoire de réduction de la consommation d’espaces du SRADDET Hauts-de-France ; dispositifs de recyclage foncier</w:t>
            </w:r>
          </w:p>
        </w:tc>
      </w:tr>
      <w:tr>
        <w:tc>
          <w:tcPr>
            <w:tcW w:type="dxa" w:w="1587"/>
          </w:tcPr>
          <w:p>
            <w:pPr>
              <w:spacing w:after="40"/>
            </w:pPr>
            <w:r/>
            <w:r>
              <w:rPr>
                <w:b w:val="0"/>
                <w:sz w:val="18"/>
              </w:rPr>
              <w:t>Écommoy</w:t>
            </w:r>
          </w:p>
        </w:tc>
        <w:tc>
          <w:tcPr>
            <w:tcW w:type="dxa" w:w="3515"/>
          </w:tcPr>
          <w:p>
            <w:pPr>
              <w:spacing w:after="40"/>
            </w:pPr>
            <w:r/>
            <w:r>
              <w:rPr>
                <w:b w:val="0"/>
                <w:sz w:val="18"/>
              </w:rPr>
              <w:t>Friche industrielle au sens de l’article L. 111-26 du code de l’urbanisme, en cessation d’activité depuis novembre 2014</w:t>
            </w:r>
          </w:p>
        </w:tc>
        <w:tc>
          <w:tcPr>
            <w:tcW w:type="dxa" w:w="4252"/>
          </w:tcPr>
          <w:p>
            <w:pPr>
              <w:spacing w:after="40"/>
            </w:pPr>
            <w:r/>
            <w:r>
              <w:rPr>
                <w:b w:val="0"/>
                <w:sz w:val="18"/>
              </w:rPr>
              <w:t>Qualification juridique de friche ; dispositifs de recyclage foncier ; appréciation du commissaire enquêteur relevant l’absence de consommation de foncier</w:t>
            </w:r>
          </w:p>
        </w:tc>
      </w:tr>
    </w:tbl>
    <w:p>
      <w:pPr>
        <w:spacing w:after="80"/>
      </w:pPr>
    </w:p>
    <w:p>
      <w:pPr>
        <w:keepNext/>
        <w:spacing w:before="240" w:after="80"/>
      </w:pPr>
      <w:r>
        <w:rPr>
          <w:b/>
          <w:color w:val="1F3B57"/>
          <w:sz w:val="24"/>
        </w:rPr>
        <w:t>2.6 Les dispositifs publics applicables</w:t>
      </w:r>
    </w:p>
    <w:p>
      <w:pPr>
        <w:jc w:val="both"/>
      </w:pPr>
      <w:r>
        <w:rPr>
          <w:b w:val="0"/>
          <w:i w:val="0"/>
          <w:sz w:val="21"/>
        </w:rPr>
        <w:t>L’état des dispositifs ci-dessous a été vérifié en septembre 2026.</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1"/>
            <w:shd w:val="clear" w:fill="1F3B57"/>
          </w:tcPr>
          <w:p>
            <w:r/>
            <w:r>
              <w:rPr>
                <w:b/>
                <w:color w:val="FFFFFF"/>
                <w:sz w:val="17"/>
              </w:rPr>
              <w:t>Dispositif</w:t>
            </w:r>
          </w:p>
        </w:tc>
        <w:tc>
          <w:tcPr>
            <w:tcW w:type="dxa" w:w="1701"/>
            <w:shd w:val="clear" w:fill="1F3B57"/>
          </w:tcPr>
          <w:p>
            <w:r/>
            <w:r>
              <w:rPr>
                <w:b/>
                <w:color w:val="FFFFFF"/>
                <w:sz w:val="17"/>
              </w:rPr>
              <w:t>Autorité</w:t>
            </w:r>
          </w:p>
        </w:tc>
        <w:tc>
          <w:tcPr>
            <w:tcW w:type="dxa" w:w="2948"/>
            <w:shd w:val="clear" w:fill="1F3B57"/>
          </w:tcPr>
          <w:p>
            <w:r/>
            <w:r>
              <w:rPr>
                <w:b/>
                <w:color w:val="FFFFFF"/>
                <w:sz w:val="17"/>
              </w:rPr>
              <w:t>État 2026</w:t>
            </w:r>
          </w:p>
        </w:tc>
        <w:tc>
          <w:tcPr>
            <w:tcW w:type="dxa" w:w="2835"/>
            <w:shd w:val="clear" w:fill="1F3B57"/>
          </w:tcPr>
          <w:p>
            <w:r/>
            <w:r>
              <w:rPr>
                <w:b/>
                <w:color w:val="FFFFFF"/>
                <w:sz w:val="17"/>
              </w:rPr>
              <w:t>Pertinence</w:t>
            </w:r>
          </w:p>
        </w:tc>
      </w:tr>
      <w:tr>
        <w:tc>
          <w:tcPr>
            <w:tcW w:type="dxa" w:w="1871"/>
          </w:tcPr>
          <w:p>
            <w:pPr>
              <w:spacing w:after="40"/>
            </w:pPr>
            <w:r/>
            <w:r>
              <w:rPr>
                <w:b w:val="0"/>
                <w:sz w:val="17"/>
              </w:rPr>
              <w:t>Fonds chaleur</w:t>
            </w:r>
          </w:p>
        </w:tc>
        <w:tc>
          <w:tcPr>
            <w:tcW w:type="dxa" w:w="1701"/>
          </w:tcPr>
          <w:p>
            <w:pPr>
              <w:spacing w:after="40"/>
            </w:pPr>
            <w:r/>
            <w:r>
              <w:rPr>
                <w:b w:val="0"/>
                <w:sz w:val="17"/>
              </w:rPr>
              <w:t>ADEME ; délégation partielle à la Région Grand Est depuis 2023</w:t>
            </w:r>
          </w:p>
        </w:tc>
        <w:tc>
          <w:tcPr>
            <w:tcW w:type="dxa" w:w="2948"/>
          </w:tcPr>
          <w:p>
            <w:pPr>
              <w:spacing w:after="40"/>
            </w:pPr>
            <w:r/>
            <w:r>
              <w:rPr>
                <w:b w:val="0"/>
                <w:sz w:val="17"/>
              </w:rPr>
              <w:t>Environ 800 M€ en 2026</w:t>
            </w:r>
          </w:p>
        </w:tc>
        <w:tc>
          <w:tcPr>
            <w:tcW w:type="dxa" w:w="2835"/>
          </w:tcPr>
          <w:p>
            <w:pPr>
              <w:spacing w:after="40"/>
            </w:pPr>
            <w:r/>
            <w:r>
              <w:rPr>
                <w:b w:val="0"/>
                <w:sz w:val="17"/>
              </w:rPr>
              <w:t>Production thermique de séchage. En Grand Est, l’instruction relève de la Région au titre de la délégation.</w:t>
            </w:r>
          </w:p>
        </w:tc>
      </w:tr>
      <w:tr>
        <w:tc>
          <w:tcPr>
            <w:tcW w:type="dxa" w:w="1871"/>
          </w:tcPr>
          <w:p>
            <w:pPr>
              <w:spacing w:after="40"/>
            </w:pPr>
            <w:r/>
            <w:r>
              <w:rPr>
                <w:b w:val="0"/>
                <w:sz w:val="17"/>
              </w:rPr>
              <w:t>BCIAT et BCIB</w:t>
            </w:r>
          </w:p>
        </w:tc>
        <w:tc>
          <w:tcPr>
            <w:tcW w:type="dxa" w:w="1701"/>
          </w:tcPr>
          <w:p>
            <w:pPr>
              <w:spacing w:after="40"/>
            </w:pPr>
            <w:r/>
            <w:r>
              <w:rPr>
                <w:b w:val="0"/>
                <w:sz w:val="17"/>
              </w:rPr>
              <w:t>ADEME</w:t>
            </w:r>
          </w:p>
        </w:tc>
        <w:tc>
          <w:tcPr>
            <w:tcW w:type="dxa" w:w="2948"/>
          </w:tcPr>
          <w:p>
            <w:pPr>
              <w:spacing w:after="40"/>
            </w:pPr>
            <w:r/>
            <w:r>
              <w:rPr>
                <w:b w:val="0"/>
                <w:sz w:val="17"/>
              </w:rPr>
              <w:t>Campagne 2026 ouverte du 26 mars au 17 juillet 2026 ; projets de plus de 12 GWh/an ; réunion de pré-dépôt obligatoire</w:t>
            </w:r>
          </w:p>
        </w:tc>
        <w:tc>
          <w:tcPr>
            <w:tcW w:type="dxa" w:w="2835"/>
          </w:tcPr>
          <w:p>
            <w:pPr>
              <w:spacing w:after="40"/>
            </w:pPr>
            <w:r/>
            <w:r>
              <w:rPr>
                <w:b w:val="0"/>
                <w:sz w:val="17"/>
              </w:rPr>
              <w:t>Cofinancement des chaufferies biomasse.</w:t>
            </w:r>
          </w:p>
        </w:tc>
      </w:tr>
      <w:tr>
        <w:tc>
          <w:tcPr>
            <w:tcW w:type="dxa" w:w="1871"/>
          </w:tcPr>
          <w:p>
            <w:pPr>
              <w:spacing w:after="40"/>
            </w:pPr>
            <w:r/>
            <w:r>
              <w:rPr>
                <w:b w:val="0"/>
                <w:sz w:val="17"/>
              </w:rPr>
              <w:t>Fonds vert — recyclage foncier des friches</w:t>
            </w:r>
          </w:p>
        </w:tc>
        <w:tc>
          <w:tcPr>
            <w:tcW w:type="dxa" w:w="1701"/>
          </w:tcPr>
          <w:p>
            <w:pPr>
              <w:spacing w:after="40"/>
            </w:pPr>
            <w:r/>
            <w:r>
              <w:rPr>
                <w:b w:val="0"/>
                <w:sz w:val="17"/>
              </w:rPr>
              <w:t>État ; instruction déconcentrée</w:t>
            </w:r>
          </w:p>
        </w:tc>
        <w:tc>
          <w:tcPr>
            <w:tcW w:type="dxa" w:w="2948"/>
          </w:tcPr>
          <w:p>
            <w:pPr>
              <w:spacing w:after="40"/>
            </w:pPr>
            <w:r/>
            <w:r>
              <w:rPr>
                <w:b w:val="0"/>
                <w:sz w:val="17"/>
              </w:rPr>
              <w:t>Enveloppe globale du Fonds vert de l’ordre de 834 M€ en 2026 ; mesure friches reconduite</w:t>
            </w:r>
          </w:p>
        </w:tc>
        <w:tc>
          <w:tcPr>
            <w:tcW w:type="dxa" w:w="2835"/>
          </w:tcPr>
          <w:p>
            <w:pPr>
              <w:spacing w:after="40"/>
            </w:pPr>
            <w:r/>
            <w:r>
              <w:rPr>
                <w:b w:val="0"/>
                <w:sz w:val="17"/>
              </w:rPr>
              <w:t>Applicable aux sites d’Hirson et d’Écommoy.</w:t>
            </w:r>
          </w:p>
        </w:tc>
      </w:tr>
      <w:tr>
        <w:tc>
          <w:tcPr>
            <w:tcW w:type="dxa" w:w="1871"/>
          </w:tcPr>
          <w:p>
            <w:pPr>
              <w:spacing w:after="40"/>
            </w:pPr>
            <w:r/>
            <w:r>
              <w:rPr>
                <w:b w:val="0"/>
                <w:sz w:val="17"/>
              </w:rPr>
              <w:t>Territoires d’industrie</w:t>
            </w:r>
          </w:p>
        </w:tc>
        <w:tc>
          <w:tcPr>
            <w:tcW w:type="dxa" w:w="1701"/>
          </w:tcPr>
          <w:p>
            <w:pPr>
              <w:spacing w:after="40"/>
            </w:pPr>
            <w:r/>
            <w:r>
              <w:rPr>
                <w:b w:val="0"/>
                <w:sz w:val="17"/>
              </w:rPr>
              <w:t>État, Régions et intercommunalités</w:t>
            </w:r>
          </w:p>
        </w:tc>
        <w:tc>
          <w:tcPr>
            <w:tcW w:type="dxa" w:w="2948"/>
          </w:tcPr>
          <w:p>
            <w:pPr>
              <w:spacing w:after="40"/>
            </w:pPr>
            <w:r/>
            <w:r>
              <w:rPr>
                <w:b w:val="0"/>
                <w:sz w:val="17"/>
              </w:rPr>
              <w:t>Deuxième phase 2023-2027 ; 183 territoires labellisés</w:t>
            </w:r>
          </w:p>
        </w:tc>
        <w:tc>
          <w:tcPr>
            <w:tcW w:type="dxa" w:w="2835"/>
          </w:tcPr>
          <w:p>
            <w:pPr>
              <w:spacing w:after="40"/>
            </w:pPr>
            <w:r/>
            <w:r>
              <w:rPr>
                <w:b w:val="0"/>
                <w:sz w:val="17"/>
              </w:rPr>
              <w:t>Cadre d’appui et d’ingénierie à la réindustrialisation des territoires fragilisés.</w:t>
            </w:r>
          </w:p>
        </w:tc>
      </w:tr>
      <w:tr>
        <w:tc>
          <w:tcPr>
            <w:tcW w:type="dxa" w:w="1871"/>
          </w:tcPr>
          <w:p>
            <w:pPr>
              <w:spacing w:after="40"/>
            </w:pPr>
            <w:r/>
            <w:r>
              <w:rPr>
                <w:b w:val="0"/>
                <w:sz w:val="17"/>
              </w:rPr>
              <w:t>France 2030 régionalisé</w:t>
            </w:r>
          </w:p>
        </w:tc>
        <w:tc>
          <w:tcPr>
            <w:tcW w:type="dxa" w:w="1701"/>
          </w:tcPr>
          <w:p>
            <w:pPr>
              <w:spacing w:after="40"/>
            </w:pPr>
            <w:r/>
            <w:r>
              <w:rPr>
                <w:b w:val="0"/>
                <w:sz w:val="17"/>
              </w:rPr>
              <w:t>État, Régions, Bpifrance</w:t>
            </w:r>
          </w:p>
        </w:tc>
        <w:tc>
          <w:tcPr>
            <w:tcW w:type="dxa" w:w="2948"/>
          </w:tcPr>
          <w:p>
            <w:pPr>
              <w:spacing w:after="40"/>
            </w:pPr>
            <w:r/>
            <w:r>
              <w:rPr>
                <w:b w:val="0"/>
                <w:sz w:val="17"/>
              </w:rPr>
              <w:t>Axe de modernisation industrielle conduit avec les Régions</w:t>
            </w:r>
          </w:p>
        </w:tc>
        <w:tc>
          <w:tcPr>
            <w:tcW w:type="dxa" w:w="2835"/>
          </w:tcPr>
          <w:p>
            <w:pPr>
              <w:spacing w:after="40"/>
            </w:pPr>
            <w:r/>
            <w:r>
              <w:rPr>
                <w:b w:val="0"/>
                <w:sz w:val="17"/>
              </w:rPr>
              <w:t>Cofinancement d’équipements et de décarbonation industrielle.</w:t>
            </w:r>
          </w:p>
        </w:tc>
      </w:tr>
      <w:tr>
        <w:tc>
          <w:tcPr>
            <w:tcW w:type="dxa" w:w="1871"/>
          </w:tcPr>
          <w:p>
            <w:pPr>
              <w:spacing w:after="40"/>
            </w:pPr>
            <w:r/>
            <w:r>
              <w:rPr>
                <w:b w:val="0"/>
                <w:sz w:val="17"/>
              </w:rPr>
              <w:t>FEDER 2021-2027</w:t>
            </w:r>
          </w:p>
        </w:tc>
        <w:tc>
          <w:tcPr>
            <w:tcW w:type="dxa" w:w="1701"/>
          </w:tcPr>
          <w:p>
            <w:pPr>
              <w:spacing w:after="40"/>
            </w:pPr>
            <w:r/>
            <w:r>
              <w:rPr>
                <w:b w:val="0"/>
                <w:sz w:val="17"/>
              </w:rPr>
              <w:t>Régions, autorités de gestion</w:t>
            </w:r>
          </w:p>
        </w:tc>
        <w:tc>
          <w:tcPr>
            <w:tcW w:type="dxa" w:w="2948"/>
          </w:tcPr>
          <w:p>
            <w:pPr>
              <w:spacing w:after="40"/>
            </w:pPr>
            <w:r/>
            <w:r>
              <w:rPr>
                <w:b w:val="0"/>
                <w:sz w:val="17"/>
              </w:rPr>
              <w:t>Programmes régionaux en cours d’exécution</w:t>
            </w:r>
          </w:p>
        </w:tc>
        <w:tc>
          <w:tcPr>
            <w:tcW w:type="dxa" w:w="2835"/>
          </w:tcPr>
          <w:p>
            <w:pPr>
              <w:spacing w:after="40"/>
            </w:pPr>
            <w:r/>
            <w:r>
              <w:rPr>
                <w:b w:val="0"/>
                <w:sz w:val="17"/>
              </w:rPr>
              <w:t>Trois programmes régionaux distincts.</w:t>
            </w:r>
          </w:p>
        </w:tc>
      </w:tr>
      <w:tr>
        <w:tc>
          <w:tcPr>
            <w:tcW w:type="dxa" w:w="1871"/>
          </w:tcPr>
          <w:p>
            <w:pPr>
              <w:spacing w:after="40"/>
            </w:pPr>
            <w:r/>
            <w:r>
              <w:rPr>
                <w:b w:val="0"/>
                <w:sz w:val="17"/>
              </w:rPr>
              <w:t>France Ruralités Revitalisation</w:t>
            </w:r>
          </w:p>
        </w:tc>
        <w:tc>
          <w:tcPr>
            <w:tcW w:type="dxa" w:w="1701"/>
          </w:tcPr>
          <w:p>
            <w:pPr>
              <w:spacing w:after="40"/>
            </w:pPr>
            <w:r/>
            <w:r>
              <w:rPr>
                <w:b w:val="0"/>
                <w:sz w:val="17"/>
              </w:rPr>
              <w:t>État</w:t>
            </w:r>
          </w:p>
        </w:tc>
        <w:tc>
          <w:tcPr>
            <w:tcW w:type="dxa" w:w="2948"/>
          </w:tcPr>
          <w:p>
            <w:pPr>
              <w:spacing w:after="40"/>
            </w:pPr>
            <w:r/>
            <w:r>
              <w:rPr>
                <w:b w:val="0"/>
                <w:sz w:val="17"/>
              </w:rPr>
              <w:t>Zonage en vigueur depuis le 1er juillet 2024, en remplacement des zones de revitalisation rurale ; deux niveaux</w:t>
            </w:r>
          </w:p>
        </w:tc>
        <w:tc>
          <w:tcPr>
            <w:tcW w:type="dxa" w:w="2835"/>
          </w:tcPr>
          <w:p>
            <w:pPr>
              <w:spacing w:after="40"/>
            </w:pPr>
            <w:r/>
            <w:r>
              <w:rPr>
                <w:b w:val="0"/>
                <w:sz w:val="17"/>
              </w:rPr>
              <w:t>Exonérations fiscales et sociales à l’implantation. Écommoy est classée en zone FRR.</w:t>
            </w:r>
          </w:p>
        </w:tc>
      </w:tr>
      <w:tr>
        <w:tc>
          <w:tcPr>
            <w:tcW w:type="dxa" w:w="1871"/>
          </w:tcPr>
          <w:p>
            <w:pPr>
              <w:spacing w:after="40"/>
            </w:pPr>
            <w:r/>
            <w:r>
              <w:rPr>
                <w:b w:val="0"/>
                <w:sz w:val="17"/>
              </w:rPr>
              <w:t>Financements Bpifrance</w:t>
            </w:r>
          </w:p>
        </w:tc>
        <w:tc>
          <w:tcPr>
            <w:tcW w:type="dxa" w:w="1701"/>
          </w:tcPr>
          <w:p>
            <w:pPr>
              <w:spacing w:after="40"/>
            </w:pPr>
            <w:r/>
            <w:r>
              <w:rPr>
                <w:b w:val="0"/>
                <w:sz w:val="17"/>
              </w:rPr>
              <w:t>Bpifrance</w:t>
            </w:r>
          </w:p>
        </w:tc>
        <w:tc>
          <w:tcPr>
            <w:tcW w:type="dxa" w:w="2948"/>
          </w:tcPr>
          <w:p>
            <w:pPr>
              <w:spacing w:after="40"/>
            </w:pPr>
            <w:r/>
            <w:r>
              <w:rPr>
                <w:b w:val="0"/>
                <w:sz w:val="17"/>
              </w:rPr>
              <w:t>Offre dédiée à l’industrie verte</w:t>
            </w:r>
          </w:p>
        </w:tc>
        <w:tc>
          <w:tcPr>
            <w:tcW w:type="dxa" w:w="2835"/>
          </w:tcPr>
          <w:p>
            <w:pPr>
              <w:spacing w:after="40"/>
            </w:pPr>
            <w:r/>
            <w:r>
              <w:rPr>
                <w:b w:val="0"/>
                <w:sz w:val="17"/>
              </w:rPr>
              <w:t>Complément au financement de l’investissement.</w:t>
            </w:r>
          </w:p>
        </w:tc>
      </w:tr>
    </w:tbl>
    <w:p>
      <w:pPr>
        <w:spacing w:after="80"/>
      </w:pPr>
    </w:p>
    <w:p>
      <w:pPr>
        <w:keepNext/>
        <w:spacing w:before="240" w:after="80"/>
      </w:pPr>
      <w:r>
        <w:rPr>
          <w:b/>
          <w:color w:val="1F3B57"/>
          <w:sz w:val="24"/>
        </w:rPr>
        <w:t>2.7 Le débouché résidentiel</w:t>
      </w:r>
    </w:p>
    <w:p>
      <w:pPr>
        <w:jc w:val="both"/>
      </w:pPr>
      <w:r>
        <w:rPr>
          <w:b w:val="0"/>
          <w:i w:val="0"/>
          <w:sz w:val="21"/>
        </w:rPr>
        <w:t xml:space="preserve">Le cadre de soutien à l’équipement des ménages a évolué. Depuis le </w:t>
      </w:r>
      <w:r>
        <w:rPr>
          <w:b/>
          <w:i w:val="0"/>
          <w:sz w:val="21"/>
        </w:rPr>
        <w:t>1er janvier 2026</w:t>
      </w:r>
      <w:r>
        <w:rPr>
          <w:b w:val="0"/>
          <w:i w:val="0"/>
          <w:sz w:val="21"/>
        </w:rPr>
        <w:t>, l’installation d’une chaudière à granulés n’est plus éligible à MaPrimeRénov’ au titre d’un geste unique ; elle ne demeure finançable par ce dispositif que dans le cadre d’une rénovation d’ampleur. Subsistent la taxe sur la valeur ajoutée à taux réduit de 5,5 %, les certificats d’économie d’énergie et l’éco-prêt à taux zéro.</w:t>
      </w:r>
    </w:p>
    <w:p>
      <w:pPr>
        <w:jc w:val="both"/>
      </w:pPr>
      <w:r>
        <w:rPr>
          <w:b w:val="0"/>
          <w:i w:val="0"/>
          <w:sz w:val="21"/>
        </w:rPr>
        <w:t>Le modèle économique des trois projets n’est pas affecté par cette évolution : il repose sur des contrats d’achat de long terme conclus avec des acheteurs industriels et des opérateurs énergétiques, le débouché résidentiel constituant un complément de valorisation à prix unitaire plus élevé mais à logistique plus fragmentée.</w:t>
      </w:r>
    </w:p>
    <w:p>
      <w:r>
        <w:br w:type="page"/>
      </w:r>
    </w:p>
    <w:p>
      <w:pPr>
        <w:keepNext/>
        <w:spacing w:before="360" w:after="160"/>
        <w:pBdr>
          <w:bottom w:val="single" w:sz="8" w:space="2" w:color="1F3B57"/>
        </w:pBdr>
      </w:pPr>
      <w:r>
        <w:rPr>
          <w:b/>
          <w:color w:val="1F3B57"/>
          <w:sz w:val="28"/>
        </w:rPr>
        <w:t>PARTIE III — GRILLE D’ANALYSE TERRITORIALE</w:t>
      </w:r>
    </w:p>
    <w:p>
      <w:pPr>
        <w:keepNext/>
        <w:spacing w:before="240" w:after="80"/>
      </w:pPr>
      <w:r>
        <w:rPr>
          <w:b/>
          <w:color w:val="1F3B57"/>
          <w:sz w:val="24"/>
        </w:rPr>
        <w:t>3.1 Méthode</w:t>
      </w:r>
    </w:p>
    <w:p>
      <w:pPr>
        <w:jc w:val="both"/>
      </w:pPr>
      <w:r>
        <w:rPr>
          <w:b w:val="0"/>
          <w:i w:val="0"/>
          <w:sz w:val="21"/>
        </w:rPr>
        <w:t>La grille croise cinq échelons de décision publique avec cinq registres d’examen. Elle permet d’établir, pour chaque projet, quels cadres publics s’imposent à lui, à quels objectifs il contribue et quelles autorités en sont responsables.</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3B57"/>
          </w:tcPr>
          <w:p>
            <w:r/>
            <w:r>
              <w:rPr>
                <w:b/>
                <w:color w:val="FFFFFF"/>
                <w:sz w:val="18"/>
              </w:rPr>
              <w:t>Les cinq échelons</w:t>
            </w:r>
          </w:p>
        </w:tc>
        <w:tc>
          <w:tcPr>
            <w:tcW w:type="dxa" w:w="6803"/>
            <w:shd w:val="clear" w:fill="1F3B57"/>
          </w:tcPr>
          <w:p>
            <w:r/>
            <w:r>
              <w:rPr>
                <w:b/>
                <w:color w:val="FFFFFF"/>
                <w:sz w:val="18"/>
              </w:rPr>
              <w:t>Objet de l’examen</w:t>
            </w:r>
          </w:p>
        </w:tc>
      </w:tr>
      <w:tr>
        <w:tc>
          <w:tcPr>
            <w:tcW w:type="dxa" w:w="2551"/>
          </w:tcPr>
          <w:p>
            <w:pPr>
              <w:spacing w:after="40"/>
            </w:pPr>
            <w:r/>
            <w:r>
              <w:rPr>
                <w:b/>
                <w:sz w:val="18"/>
              </w:rPr>
              <w:t>1. Europe et État</w:t>
            </w:r>
          </w:p>
        </w:tc>
        <w:tc>
          <w:tcPr>
            <w:tcW w:type="dxa" w:w="6803"/>
          </w:tcPr>
          <w:p>
            <w:pPr>
              <w:spacing w:after="40"/>
            </w:pPr>
            <w:r/>
            <w:r>
              <w:rPr>
                <w:b w:val="0"/>
                <w:sz w:val="18"/>
              </w:rPr>
              <w:t>Directives européennes, programmation énergétique, stratégie bas-carbone, sobriété foncière, dispositifs nationaux de soutien.</w:t>
            </w:r>
          </w:p>
        </w:tc>
      </w:tr>
      <w:tr>
        <w:tc>
          <w:tcPr>
            <w:tcW w:type="dxa" w:w="2551"/>
          </w:tcPr>
          <w:p>
            <w:pPr>
              <w:spacing w:after="40"/>
            </w:pPr>
            <w:r/>
            <w:r>
              <w:rPr>
                <w:b/>
                <w:sz w:val="18"/>
              </w:rPr>
              <w:t>2. Région</w:t>
            </w:r>
          </w:p>
        </w:tc>
        <w:tc>
          <w:tcPr>
            <w:tcW w:type="dxa" w:w="6803"/>
          </w:tcPr>
          <w:p>
            <w:pPr>
              <w:spacing w:after="40"/>
            </w:pPr>
            <w:r/>
            <w:r>
              <w:rPr>
                <w:b w:val="0"/>
                <w:sz w:val="18"/>
              </w:rPr>
              <w:t>Schéma régional d’aménagement (SRADDET), schéma de développement économique (SRDEII), schéma régional biomasse, programme régional forêt-bois, programme FEDER, programmes régionaux propres.</w:t>
            </w:r>
          </w:p>
        </w:tc>
      </w:tr>
      <w:tr>
        <w:tc>
          <w:tcPr>
            <w:tcW w:type="dxa" w:w="2551"/>
          </w:tcPr>
          <w:p>
            <w:pPr>
              <w:spacing w:after="40"/>
            </w:pPr>
            <w:r/>
            <w:r>
              <w:rPr>
                <w:b/>
                <w:sz w:val="18"/>
              </w:rPr>
              <w:t>3. Département</w:t>
            </w:r>
          </w:p>
        </w:tc>
        <w:tc>
          <w:tcPr>
            <w:tcW w:type="dxa" w:w="6803"/>
          </w:tcPr>
          <w:p>
            <w:pPr>
              <w:spacing w:after="40"/>
            </w:pPr>
            <w:r/>
            <w:r>
              <w:rPr>
                <w:b w:val="0"/>
                <w:sz w:val="18"/>
              </w:rPr>
              <w:t>Foncier départemental le cas échéant, politiques forestières et d’aménagement, chartes forestières de territoire, ingénierie territoriale.</w:t>
            </w:r>
          </w:p>
        </w:tc>
      </w:tr>
      <w:tr>
        <w:tc>
          <w:tcPr>
            <w:tcW w:type="dxa" w:w="2551"/>
          </w:tcPr>
          <w:p>
            <w:pPr>
              <w:spacing w:after="40"/>
            </w:pPr>
            <w:r/>
            <w:r>
              <w:rPr>
                <w:b/>
                <w:sz w:val="18"/>
              </w:rPr>
              <w:t>4. Intercommunalité et échelon supra-intercommunal</w:t>
            </w:r>
          </w:p>
        </w:tc>
        <w:tc>
          <w:tcPr>
            <w:tcW w:type="dxa" w:w="6803"/>
          </w:tcPr>
          <w:p>
            <w:pPr>
              <w:spacing w:after="40"/>
            </w:pPr>
            <w:r/>
            <w:r>
              <w:rPr>
                <w:b w:val="0"/>
                <w:sz w:val="18"/>
              </w:rPr>
              <w:t>Document d’urbanisme intercommunal, schéma de cohérence territoriale, plan climat-air-énergie territorial, contrat de relance et de transition écologique, programmes de revitalisation.</w:t>
            </w:r>
          </w:p>
        </w:tc>
      </w:tr>
      <w:tr>
        <w:tc>
          <w:tcPr>
            <w:tcW w:type="dxa" w:w="2551"/>
          </w:tcPr>
          <w:p>
            <w:pPr>
              <w:spacing w:after="40"/>
            </w:pPr>
            <w:r/>
            <w:r>
              <w:rPr>
                <w:b/>
                <w:sz w:val="18"/>
              </w:rPr>
              <w:t>5. Commune</w:t>
            </w:r>
          </w:p>
        </w:tc>
        <w:tc>
          <w:tcPr>
            <w:tcW w:type="dxa" w:w="6803"/>
          </w:tcPr>
          <w:p>
            <w:pPr>
              <w:spacing w:after="40"/>
            </w:pPr>
            <w:r/>
            <w:r>
              <w:rPr>
                <w:b w:val="0"/>
                <w:sz w:val="18"/>
              </w:rPr>
              <w:t>Autorisation d’urbanisme, maîtrise foncière communale le cas échéant, insertion locale.</w:t>
            </w:r>
          </w:p>
        </w:tc>
      </w:tr>
    </w:tbl>
    <w:p>
      <w:pPr>
        <w:spacing w:after="80"/>
      </w:pPr>
    </w:p>
    <w:tbl>
      <w:tblPr>
        <w:tblStyle w:val="TableGrid"/>
        <w:tblW w:type="auto" w:w="0"/>
        <w:jc w:val="center"/>
        <w:tblLook w:firstColumn="1" w:firstRow="1" w:lastColumn="0" w:lastRow="0" w:noHBand="0" w:noVBand="1" w:val="04A0"/>
      </w:tblPr>
      <w:tblGrid>
        <w:gridCol w:w="4873"/>
        <w:gridCol w:w="4873"/>
      </w:tblGrid>
      <w:tr>
        <w:tc>
          <w:tcPr>
            <w:tcW w:type="dxa" w:w="2551"/>
            <w:shd w:val="clear" w:fill="1F3B57"/>
          </w:tcPr>
          <w:p>
            <w:r/>
            <w:r>
              <w:rPr>
                <w:b/>
                <w:color w:val="FFFFFF"/>
                <w:sz w:val="18"/>
              </w:rPr>
              <w:t>Les cinq registres</w:t>
            </w:r>
          </w:p>
        </w:tc>
        <w:tc>
          <w:tcPr>
            <w:tcW w:type="dxa" w:w="6803"/>
            <w:shd w:val="clear" w:fill="1F3B57"/>
          </w:tcPr>
          <w:p>
            <w:r/>
            <w:r>
              <w:rPr>
                <w:b/>
                <w:color w:val="FFFFFF"/>
                <w:sz w:val="18"/>
              </w:rPr>
              <w:t>Question examinée</w:t>
            </w:r>
          </w:p>
        </w:tc>
      </w:tr>
      <w:tr>
        <w:tc>
          <w:tcPr>
            <w:tcW w:type="dxa" w:w="2551"/>
          </w:tcPr>
          <w:p>
            <w:pPr>
              <w:spacing w:after="40"/>
            </w:pPr>
            <w:r/>
            <w:r>
              <w:rPr>
                <w:b/>
                <w:sz w:val="18"/>
              </w:rPr>
              <w:t>Document ou dispositif</w:t>
            </w:r>
          </w:p>
        </w:tc>
        <w:tc>
          <w:tcPr>
            <w:tcW w:type="dxa" w:w="6803"/>
          </w:tcPr>
          <w:p>
            <w:pPr>
              <w:spacing w:after="40"/>
            </w:pPr>
            <w:r/>
            <w:r>
              <w:rPr>
                <w:b w:val="0"/>
                <w:sz w:val="18"/>
              </w:rPr>
              <w:t>Quel texte, schéma ou programme est applicable, et à quelle date ?</w:t>
            </w:r>
          </w:p>
        </w:tc>
      </w:tr>
      <w:tr>
        <w:tc>
          <w:tcPr>
            <w:tcW w:type="dxa" w:w="2551"/>
          </w:tcPr>
          <w:p>
            <w:pPr>
              <w:spacing w:after="40"/>
            </w:pPr>
            <w:r/>
            <w:r>
              <w:rPr>
                <w:b/>
                <w:sz w:val="18"/>
              </w:rPr>
              <w:t>Ce qu’il prescrit ou vise</w:t>
            </w:r>
          </w:p>
        </w:tc>
        <w:tc>
          <w:tcPr>
            <w:tcW w:type="dxa" w:w="6803"/>
          </w:tcPr>
          <w:p>
            <w:pPr>
              <w:spacing w:after="40"/>
            </w:pPr>
            <w:r/>
            <w:r>
              <w:rPr>
                <w:b w:val="0"/>
                <w:sz w:val="18"/>
              </w:rPr>
              <w:t>Quelle obligation ou quel objectif formule-t-il ?</w:t>
            </w:r>
          </w:p>
        </w:tc>
      </w:tr>
      <w:tr>
        <w:tc>
          <w:tcPr>
            <w:tcW w:type="dxa" w:w="2551"/>
          </w:tcPr>
          <w:p>
            <w:pPr>
              <w:spacing w:after="40"/>
            </w:pPr>
            <w:r/>
            <w:r>
              <w:rPr>
                <w:b/>
                <w:sz w:val="18"/>
              </w:rPr>
              <w:t>Contribution du projet</w:t>
            </w:r>
          </w:p>
        </w:tc>
        <w:tc>
          <w:tcPr>
            <w:tcW w:type="dxa" w:w="6803"/>
          </w:tcPr>
          <w:p>
            <w:pPr>
              <w:spacing w:after="40"/>
            </w:pPr>
            <w:r/>
            <w:r>
              <w:rPr>
                <w:b w:val="0"/>
                <w:sz w:val="18"/>
              </w:rPr>
              <w:t>Qu’apporte le projet à cet objectif, en données vérifiables ?</w:t>
            </w:r>
          </w:p>
        </w:tc>
      </w:tr>
      <w:tr>
        <w:tc>
          <w:tcPr>
            <w:tcW w:type="dxa" w:w="2551"/>
          </w:tcPr>
          <w:p>
            <w:pPr>
              <w:spacing w:after="40"/>
            </w:pPr>
            <w:r/>
            <w:r>
              <w:rPr>
                <w:b/>
                <w:sz w:val="18"/>
              </w:rPr>
              <w:t>Levier mobilisable</w:t>
            </w:r>
          </w:p>
        </w:tc>
        <w:tc>
          <w:tcPr>
            <w:tcW w:type="dxa" w:w="6803"/>
          </w:tcPr>
          <w:p>
            <w:pPr>
              <w:spacing w:after="40"/>
            </w:pPr>
            <w:r/>
            <w:r>
              <w:rPr>
                <w:b w:val="0"/>
                <w:sz w:val="18"/>
              </w:rPr>
              <w:t>Quel financement, quelle procédure, quelle contractualisation ?</w:t>
            </w:r>
          </w:p>
        </w:tc>
      </w:tr>
      <w:tr>
        <w:tc>
          <w:tcPr>
            <w:tcW w:type="dxa" w:w="2551"/>
          </w:tcPr>
          <w:p>
            <w:pPr>
              <w:spacing w:after="40"/>
            </w:pPr>
            <w:r/>
            <w:r>
              <w:rPr>
                <w:b/>
                <w:sz w:val="18"/>
              </w:rPr>
              <w:t>Autorité compétente</w:t>
            </w:r>
          </w:p>
        </w:tc>
        <w:tc>
          <w:tcPr>
            <w:tcW w:type="dxa" w:w="6803"/>
          </w:tcPr>
          <w:p>
            <w:pPr>
              <w:spacing w:after="40"/>
            </w:pPr>
            <w:r/>
            <w:r>
              <w:rPr>
                <w:b w:val="0"/>
                <w:sz w:val="18"/>
              </w:rPr>
              <w:t>Qui décide et qui instruit ?</w:t>
            </w:r>
          </w:p>
        </w:tc>
      </w:tr>
    </w:tbl>
    <w:p>
      <w:pPr>
        <w:spacing w:after="80"/>
      </w:pPr>
    </w:p>
    <w:p>
      <w:pPr>
        <w:keepNext/>
        <w:spacing w:before="240" w:after="80"/>
      </w:pPr>
      <w:r>
        <w:rPr>
          <w:b/>
          <w:color w:val="1F3B57"/>
          <w:sz w:val="24"/>
        </w:rPr>
        <w:t>3.2 Échelon Europe et État — commun aux trois projets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fill="1F3B57"/>
          </w:tcPr>
          <w:p>
            <w:r/>
            <w:r>
              <w:rPr>
                <w:b/>
                <w:color w:val="FFFFFF"/>
                <w:sz w:val="17"/>
              </w:rPr>
              <w:t>Dispositif</w:t>
            </w:r>
          </w:p>
        </w:tc>
        <w:tc>
          <w:tcPr>
            <w:tcW w:type="dxa" w:w="2268"/>
            <w:shd w:val="clear" w:fill="1F3B57"/>
          </w:tcPr>
          <w:p>
            <w:r/>
            <w:r>
              <w:rPr>
                <w:b/>
                <w:color w:val="FFFFFF"/>
                <w:sz w:val="17"/>
              </w:rPr>
              <w:t>Ce qu’il prescrit</w:t>
            </w:r>
          </w:p>
        </w:tc>
        <w:tc>
          <w:tcPr>
            <w:tcW w:type="dxa" w:w="2608"/>
            <w:shd w:val="clear" w:fill="1F3B57"/>
          </w:tcPr>
          <w:p>
            <w:r/>
            <w:r>
              <w:rPr>
                <w:b/>
                <w:color w:val="FFFFFF"/>
                <w:sz w:val="17"/>
              </w:rPr>
              <w:t>Contribution des projets</w:t>
            </w:r>
          </w:p>
        </w:tc>
        <w:tc>
          <w:tcPr>
            <w:tcW w:type="dxa" w:w="2438"/>
            <w:shd w:val="clear" w:fill="1F3B57"/>
          </w:tcPr>
          <w:p>
            <w:r/>
            <w:r>
              <w:rPr>
                <w:b/>
                <w:color w:val="FFFFFF"/>
                <w:sz w:val="17"/>
              </w:rPr>
              <w:t>Autorité compétente</w:t>
            </w:r>
          </w:p>
        </w:tc>
      </w:tr>
      <w:tr>
        <w:tc>
          <w:tcPr>
            <w:tcW w:type="dxa" w:w="2041"/>
          </w:tcPr>
          <w:p>
            <w:pPr>
              <w:spacing w:after="40"/>
            </w:pPr>
            <w:r/>
            <w:r>
              <w:rPr>
                <w:b w:val="0"/>
                <w:sz w:val="17"/>
              </w:rPr>
              <w:t>PPE 3 — décret n° 2026-76 du 12 février 2026</w:t>
            </w:r>
          </w:p>
        </w:tc>
        <w:tc>
          <w:tcPr>
            <w:tcW w:type="dxa" w:w="2268"/>
          </w:tcPr>
          <w:p>
            <w:pPr>
              <w:spacing w:after="40"/>
            </w:pPr>
            <w:r/>
            <w:r>
              <w:rPr>
                <w:b w:val="0"/>
                <w:sz w:val="17"/>
              </w:rPr>
              <w:t>60 % d’énergie décarbonée en 2030 ; ≈ 297 TWh de chaleur renouvelable en 2030</w:t>
            </w:r>
          </w:p>
        </w:tc>
        <w:tc>
          <w:tcPr>
            <w:tcW w:type="dxa" w:w="2608"/>
          </w:tcPr>
          <w:p>
            <w:pPr>
              <w:spacing w:after="40"/>
            </w:pPr>
            <w:r/>
            <w:r>
              <w:rPr>
                <w:b w:val="0"/>
                <w:sz w:val="17"/>
              </w:rPr>
              <w:t>312 000 t/an de granulés certifiés, soit ≈ 1 500 GWh PCI d’énergie renouvelable mobilisable</w:t>
            </w:r>
          </w:p>
        </w:tc>
        <w:tc>
          <w:tcPr>
            <w:tcW w:type="dxa" w:w="2438"/>
          </w:tcPr>
          <w:p>
            <w:pPr>
              <w:spacing w:after="40"/>
            </w:pPr>
            <w:r/>
            <w:r>
              <w:rPr>
                <w:b w:val="0"/>
                <w:sz w:val="17"/>
              </w:rPr>
              <w:t>Direction générale de l’énergie et du climat ; préfets de région</w:t>
            </w:r>
          </w:p>
        </w:tc>
      </w:tr>
      <w:tr>
        <w:tc>
          <w:tcPr>
            <w:tcW w:type="dxa" w:w="2041"/>
          </w:tcPr>
          <w:p>
            <w:pPr>
              <w:spacing w:after="40"/>
            </w:pPr>
            <w:r/>
            <w:r>
              <w:rPr>
                <w:b w:val="0"/>
                <w:sz w:val="17"/>
              </w:rPr>
              <w:t>Stratégie nationale bas-carbone</w:t>
            </w:r>
          </w:p>
        </w:tc>
        <w:tc>
          <w:tcPr>
            <w:tcW w:type="dxa" w:w="2268"/>
          </w:tcPr>
          <w:p>
            <w:pPr>
              <w:spacing w:after="40"/>
            </w:pPr>
            <w:r/>
            <w:r>
              <w:rPr>
                <w:b w:val="0"/>
                <w:sz w:val="17"/>
              </w:rPr>
              <w:t>Neutralité carbone en 2050 ; décarbonation du bâtiment et de l’industrie</w:t>
            </w:r>
          </w:p>
        </w:tc>
        <w:tc>
          <w:tcPr>
            <w:tcW w:type="dxa" w:w="2608"/>
          </w:tcPr>
          <w:p>
            <w:pPr>
              <w:spacing w:after="40"/>
            </w:pPr>
            <w:r/>
            <w:r>
              <w:rPr>
                <w:b w:val="0"/>
                <w:sz w:val="17"/>
              </w:rPr>
              <w:t>≈ 340 000 t CO₂ évitées par an en substitution au gaz naturel</w:t>
            </w:r>
          </w:p>
        </w:tc>
        <w:tc>
          <w:tcPr>
            <w:tcW w:type="dxa" w:w="2438"/>
          </w:tcPr>
          <w:p>
            <w:pPr>
              <w:spacing w:after="40"/>
            </w:pPr>
            <w:r/>
            <w:r>
              <w:rPr>
                <w:b w:val="0"/>
                <w:sz w:val="17"/>
              </w:rPr>
              <w:t>DREAL ; ADEME</w:t>
            </w:r>
          </w:p>
        </w:tc>
      </w:tr>
      <w:tr>
        <w:tc>
          <w:tcPr>
            <w:tcW w:type="dxa" w:w="2041"/>
          </w:tcPr>
          <w:p>
            <w:pPr>
              <w:spacing w:after="40"/>
            </w:pPr>
            <w:r/>
            <w:r>
              <w:rPr>
                <w:b w:val="0"/>
                <w:sz w:val="17"/>
              </w:rPr>
              <w:t>Directive RED III</w:t>
            </w:r>
          </w:p>
        </w:tc>
        <w:tc>
          <w:tcPr>
            <w:tcW w:type="dxa" w:w="2268"/>
          </w:tcPr>
          <w:p>
            <w:pPr>
              <w:spacing w:after="40"/>
            </w:pPr>
            <w:r/>
            <w:r>
              <w:rPr>
                <w:b w:val="0"/>
                <w:sz w:val="17"/>
              </w:rPr>
              <w:t>Critères de durabilité renforcés ; usage en cascade ; transposition en cours</w:t>
            </w:r>
          </w:p>
        </w:tc>
        <w:tc>
          <w:tcPr>
            <w:tcW w:type="dxa" w:w="2608"/>
          </w:tcPr>
          <w:p>
            <w:pPr>
              <w:spacing w:after="40"/>
            </w:pPr>
            <w:r/>
            <w:r>
              <w:rPr>
                <w:b w:val="0"/>
                <w:sz w:val="17"/>
              </w:rPr>
              <w:t>Approvisionnement certifié PEFC/FSC, sans coupes dédiées, rayon de 150 km</w:t>
            </w:r>
          </w:p>
        </w:tc>
        <w:tc>
          <w:tcPr>
            <w:tcW w:type="dxa" w:w="2438"/>
          </w:tcPr>
          <w:p>
            <w:pPr>
              <w:spacing w:after="40"/>
            </w:pPr>
            <w:r/>
            <w:r>
              <w:rPr>
                <w:b w:val="0"/>
                <w:sz w:val="17"/>
              </w:rPr>
              <w:t>Direction générale de l’énergie et du climat ; organismes certificateurs</w:t>
            </w:r>
          </w:p>
        </w:tc>
      </w:tr>
      <w:tr>
        <w:tc>
          <w:tcPr>
            <w:tcW w:type="dxa" w:w="2041"/>
          </w:tcPr>
          <w:p>
            <w:pPr>
              <w:spacing w:after="40"/>
            </w:pPr>
            <w:r/>
            <w:r>
              <w:rPr>
                <w:b w:val="0"/>
                <w:sz w:val="17"/>
              </w:rPr>
              <w:t>Loi Climat et Résilience — trajectoire de sobriété foncière</w:t>
            </w:r>
          </w:p>
        </w:tc>
        <w:tc>
          <w:tcPr>
            <w:tcW w:type="dxa" w:w="2268"/>
          </w:tcPr>
          <w:p>
            <w:pPr>
              <w:spacing w:after="40"/>
            </w:pPr>
            <w:r/>
            <w:r>
              <w:rPr>
                <w:b w:val="0"/>
                <w:sz w:val="17"/>
              </w:rPr>
              <w:t>Réduction du rythme d’artificialisation des sols</w:t>
            </w:r>
          </w:p>
        </w:tc>
        <w:tc>
          <w:tcPr>
            <w:tcW w:type="dxa" w:w="2608"/>
          </w:tcPr>
          <w:p>
            <w:pPr>
              <w:spacing w:after="40"/>
            </w:pPr>
            <w:r/>
            <w:r>
              <w:rPr>
                <w:b w:val="0"/>
                <w:sz w:val="17"/>
              </w:rPr>
              <w:t>Aucune consommation d’espace naturel, agricole ou forestier sur les trois sites</w:t>
            </w:r>
          </w:p>
        </w:tc>
        <w:tc>
          <w:tcPr>
            <w:tcW w:type="dxa" w:w="2438"/>
          </w:tcPr>
          <w:p>
            <w:pPr>
              <w:spacing w:after="40"/>
            </w:pPr>
            <w:r/>
            <w:r>
              <w:rPr>
                <w:b w:val="0"/>
                <w:sz w:val="17"/>
              </w:rPr>
              <w:t>Directions départementales des territoires ; DREAL</w:t>
            </w:r>
          </w:p>
        </w:tc>
      </w:tr>
      <w:tr>
        <w:tc>
          <w:tcPr>
            <w:tcW w:type="dxa" w:w="2041"/>
          </w:tcPr>
          <w:p>
            <w:pPr>
              <w:spacing w:after="40"/>
            </w:pPr>
            <w:r/>
            <w:r>
              <w:rPr>
                <w:b w:val="0"/>
                <w:sz w:val="17"/>
              </w:rPr>
              <w:t>Fonds chaleur, BCIAT, BCIB</w:t>
            </w:r>
          </w:p>
        </w:tc>
        <w:tc>
          <w:tcPr>
            <w:tcW w:type="dxa" w:w="2268"/>
          </w:tcPr>
          <w:p>
            <w:pPr>
              <w:spacing w:after="40"/>
            </w:pPr>
            <w:r/>
            <w:r>
              <w:rPr>
                <w:b w:val="0"/>
                <w:sz w:val="17"/>
              </w:rPr>
              <w:t>Soutien à la production de chaleur renouvelable</w:t>
            </w:r>
          </w:p>
        </w:tc>
        <w:tc>
          <w:tcPr>
            <w:tcW w:type="dxa" w:w="2608"/>
          </w:tcPr>
          <w:p>
            <w:pPr>
              <w:spacing w:after="40"/>
            </w:pPr>
            <w:r/>
            <w:r>
              <w:rPr>
                <w:b w:val="0"/>
                <w:sz w:val="17"/>
              </w:rPr>
              <w:t>Chaufferies de séchage des trois unités</w:t>
            </w:r>
          </w:p>
        </w:tc>
        <w:tc>
          <w:tcPr>
            <w:tcW w:type="dxa" w:w="2438"/>
          </w:tcPr>
          <w:p>
            <w:pPr>
              <w:spacing w:after="40"/>
            </w:pPr>
            <w:r/>
            <w:r>
              <w:rPr>
                <w:b w:val="0"/>
                <w:sz w:val="17"/>
              </w:rPr>
              <w:t>ADEME ; Région Grand Est par délégation</w:t>
            </w:r>
          </w:p>
        </w:tc>
      </w:tr>
      <w:tr>
        <w:tc>
          <w:tcPr>
            <w:tcW w:type="dxa" w:w="2041"/>
          </w:tcPr>
          <w:p>
            <w:pPr>
              <w:spacing w:after="40"/>
            </w:pPr>
            <w:r/>
            <w:r>
              <w:rPr>
                <w:b w:val="0"/>
                <w:sz w:val="17"/>
              </w:rPr>
              <w:t>Fonds vert — recyclage foncier</w:t>
            </w:r>
          </w:p>
        </w:tc>
        <w:tc>
          <w:tcPr>
            <w:tcW w:type="dxa" w:w="2268"/>
          </w:tcPr>
          <w:p>
            <w:pPr>
              <w:spacing w:after="40"/>
            </w:pPr>
            <w:r/>
            <w:r>
              <w:rPr>
                <w:b w:val="0"/>
                <w:sz w:val="17"/>
              </w:rPr>
              <w:t>Reconversion des friches</w:t>
            </w:r>
          </w:p>
        </w:tc>
        <w:tc>
          <w:tcPr>
            <w:tcW w:type="dxa" w:w="2608"/>
          </w:tcPr>
          <w:p>
            <w:pPr>
              <w:spacing w:after="40"/>
            </w:pPr>
            <w:r/>
            <w:r>
              <w:rPr>
                <w:b w:val="0"/>
                <w:sz w:val="17"/>
              </w:rPr>
              <w:t>Sites d’Hirson et d’Écommoy</w:t>
            </w:r>
          </w:p>
        </w:tc>
        <w:tc>
          <w:tcPr>
            <w:tcW w:type="dxa" w:w="2438"/>
          </w:tcPr>
          <w:p>
            <w:pPr>
              <w:spacing w:after="40"/>
            </w:pPr>
            <w:r/>
            <w:r>
              <w:rPr>
                <w:b w:val="0"/>
                <w:sz w:val="17"/>
              </w:rPr>
              <w:t>Préfectures de département ; directions départementales des territoires</w:t>
            </w:r>
          </w:p>
        </w:tc>
      </w:tr>
      <w:tr>
        <w:tc>
          <w:tcPr>
            <w:tcW w:type="dxa" w:w="2041"/>
          </w:tcPr>
          <w:p>
            <w:pPr>
              <w:spacing w:after="40"/>
            </w:pPr>
            <w:r/>
            <w:r>
              <w:rPr>
                <w:b w:val="0"/>
                <w:sz w:val="17"/>
              </w:rPr>
              <w:t>Territoires d’industrie 2023-2027</w:t>
            </w:r>
          </w:p>
        </w:tc>
        <w:tc>
          <w:tcPr>
            <w:tcW w:type="dxa" w:w="2268"/>
          </w:tcPr>
          <w:p>
            <w:pPr>
              <w:spacing w:after="40"/>
            </w:pPr>
            <w:r/>
            <w:r>
              <w:rPr>
                <w:b w:val="0"/>
                <w:sz w:val="17"/>
              </w:rPr>
              <w:t>Réindustrialisation des territoires fragilisés</w:t>
            </w:r>
          </w:p>
        </w:tc>
        <w:tc>
          <w:tcPr>
            <w:tcW w:type="dxa" w:w="2608"/>
          </w:tcPr>
          <w:p>
            <w:pPr>
              <w:spacing w:after="40"/>
            </w:pPr>
            <w:r/>
            <w:r>
              <w:rPr>
                <w:b w:val="0"/>
                <w:sz w:val="17"/>
              </w:rPr>
              <w:t>Trois implantations industrielles en territoire fragile</w:t>
            </w:r>
          </w:p>
        </w:tc>
        <w:tc>
          <w:tcPr>
            <w:tcW w:type="dxa" w:w="2438"/>
          </w:tcPr>
          <w:p>
            <w:pPr>
              <w:spacing w:after="40"/>
            </w:pPr>
            <w:r/>
            <w:r>
              <w:rPr>
                <w:b w:val="0"/>
                <w:sz w:val="17"/>
              </w:rPr>
              <w:t>Direction générale des entreprises ; Régions ; intercommunalités</w:t>
            </w:r>
          </w:p>
        </w:tc>
      </w:tr>
      <w:tr>
        <w:tc>
          <w:tcPr>
            <w:tcW w:type="dxa" w:w="2041"/>
          </w:tcPr>
          <w:p>
            <w:pPr>
              <w:spacing w:after="40"/>
            </w:pPr>
            <w:r/>
            <w:r>
              <w:rPr>
                <w:b w:val="0"/>
                <w:sz w:val="17"/>
              </w:rPr>
              <w:t>France Ruralités Revitalisation</w:t>
            </w:r>
          </w:p>
        </w:tc>
        <w:tc>
          <w:tcPr>
            <w:tcW w:type="dxa" w:w="2268"/>
          </w:tcPr>
          <w:p>
            <w:pPr>
              <w:spacing w:after="40"/>
            </w:pPr>
            <w:r/>
            <w:r>
              <w:rPr>
                <w:b w:val="0"/>
                <w:sz w:val="17"/>
              </w:rPr>
              <w:t>Exonérations fiscales et sociales en zone rurale fragile</w:t>
            </w:r>
          </w:p>
        </w:tc>
        <w:tc>
          <w:tcPr>
            <w:tcW w:type="dxa" w:w="2608"/>
          </w:tcPr>
          <w:p>
            <w:pPr>
              <w:spacing w:after="40"/>
            </w:pPr>
            <w:r/>
            <w:r>
              <w:rPr>
                <w:b w:val="0"/>
                <w:sz w:val="17"/>
              </w:rPr>
              <w:t>Écommoy classée en zone FRR</w:t>
            </w:r>
          </w:p>
        </w:tc>
        <w:tc>
          <w:tcPr>
            <w:tcW w:type="dxa" w:w="2438"/>
          </w:tcPr>
          <w:p>
            <w:pPr>
              <w:spacing w:after="40"/>
            </w:pPr>
            <w:r/>
            <w:r>
              <w:rPr>
                <w:b w:val="0"/>
                <w:sz w:val="17"/>
              </w:rPr>
              <w:t>Services fiscaux ; URSSAF ; préfectures</w:t>
            </w:r>
          </w:p>
        </w:tc>
      </w:tr>
    </w:tbl>
    <w:p>
      <w:pPr>
        <w:spacing w:after="80"/>
      </w:pPr>
    </w:p>
    <w:p>
      <w:pPr>
        <w:keepNext/>
        <w:spacing w:before="240" w:after="80"/>
      </w:pPr>
      <w:r>
        <w:rPr>
          <w:b/>
          <w:color w:val="1F3B57"/>
          <w:sz w:val="24"/>
        </w:rPr>
        <w:t>3.3 Échelon régional — analyse comparée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fill="1F3B57"/>
          </w:tcPr>
          <w:p>
            <w:r/>
            <w:r>
              <w:rPr>
                <w:b/>
                <w:color w:val="FFFFFF"/>
                <w:sz w:val="16"/>
              </w:rPr>
              <w:t>Registre</w:t>
            </w:r>
          </w:p>
        </w:tc>
        <w:tc>
          <w:tcPr>
            <w:tcW w:type="dxa" w:w="2721"/>
            <w:shd w:val="clear" w:fill="1F3B57"/>
          </w:tcPr>
          <w:p>
            <w:r/>
            <w:r>
              <w:rPr>
                <w:b/>
                <w:color w:val="FFFFFF"/>
                <w:sz w:val="16"/>
              </w:rPr>
              <w:t>GRAND EST (Damblain)</w:t>
            </w:r>
          </w:p>
        </w:tc>
        <w:tc>
          <w:tcPr>
            <w:tcW w:type="dxa" w:w="2721"/>
            <w:shd w:val="clear" w:fill="1F3B57"/>
          </w:tcPr>
          <w:p>
            <w:r/>
            <w:r>
              <w:rPr>
                <w:b/>
                <w:color w:val="FFFFFF"/>
                <w:sz w:val="16"/>
              </w:rPr>
              <w:t>HAUTS-DE-FRANCE (Hirson)</w:t>
            </w:r>
          </w:p>
        </w:tc>
        <w:tc>
          <w:tcPr>
            <w:tcW w:type="dxa" w:w="2721"/>
            <w:shd w:val="clear" w:fill="1F3B57"/>
          </w:tcPr>
          <w:p>
            <w:r/>
            <w:r>
              <w:rPr>
                <w:b/>
                <w:color w:val="FFFFFF"/>
                <w:sz w:val="16"/>
              </w:rPr>
              <w:t>PAYS DE LA LOIRE (Écommoy)</w:t>
            </w:r>
          </w:p>
        </w:tc>
      </w:tr>
      <w:tr>
        <w:tc>
          <w:tcPr>
            <w:tcW w:type="dxa" w:w="1474"/>
          </w:tcPr>
          <w:p>
            <w:pPr>
              <w:spacing w:after="40"/>
            </w:pPr>
            <w:r/>
            <w:r>
              <w:rPr>
                <w:b w:val="0"/>
                <w:sz w:val="16"/>
              </w:rPr>
              <w:t>SRADDET</w:t>
            </w:r>
          </w:p>
        </w:tc>
        <w:tc>
          <w:tcPr>
            <w:tcW w:type="dxa" w:w="2721"/>
          </w:tcPr>
          <w:p>
            <w:pPr>
              <w:spacing w:after="40"/>
            </w:pPr>
            <w:r/>
            <w:r>
              <w:rPr>
                <w:b w:val="0"/>
                <w:sz w:val="16"/>
              </w:rPr>
              <w:t>Adopté fin 2019 ; ambition de région à énergie positive et bas carbone en 2050 ; réduction de 55 % de la consommation énergétique ; objectif 9 (valorisation multifonctionnelle du bois) et objectif 11 (économie du foncier)</w:t>
            </w:r>
          </w:p>
        </w:tc>
        <w:tc>
          <w:tcPr>
            <w:tcW w:type="dxa" w:w="2721"/>
          </w:tcPr>
          <w:p>
            <w:pPr>
              <w:spacing w:after="40"/>
            </w:pPr>
            <w:r/>
            <w:r>
              <w:rPr>
                <w:b w:val="0"/>
                <w:sz w:val="16"/>
              </w:rPr>
              <w:t>Adopté le 30 juin 2020, modifié le 21 novembre 2024 ; trajectoire de réduction de 54,47 % de la consommation d’espaces naturels, agricoles et forestiers sur 2021-2031 ; report modal fluvial et ferroviaire ; réindustrialisation ciblée</w:t>
            </w:r>
          </w:p>
        </w:tc>
        <w:tc>
          <w:tcPr>
            <w:tcW w:type="dxa" w:w="2721"/>
          </w:tcPr>
          <w:p>
            <w:pPr>
              <w:spacing w:after="40"/>
            </w:pPr>
            <w:r/>
            <w:r>
              <w:rPr>
                <w:b w:val="0"/>
                <w:sz w:val="16"/>
              </w:rPr>
              <w:t>Approuvé le 7 février 2022 ; 30 objectifs ; ambition de région à énergie positive en 2050 ; biomasse-énergie citée dans le mix régional</w:t>
            </w:r>
          </w:p>
        </w:tc>
      </w:tr>
      <w:tr>
        <w:tc>
          <w:tcPr>
            <w:tcW w:type="dxa" w:w="1474"/>
          </w:tcPr>
          <w:p>
            <w:pPr>
              <w:spacing w:after="40"/>
            </w:pPr>
            <w:r/>
            <w:r>
              <w:rPr>
                <w:b w:val="0"/>
                <w:sz w:val="16"/>
              </w:rPr>
              <w:t>Schéma de développement économique</w:t>
            </w:r>
          </w:p>
        </w:tc>
        <w:tc>
          <w:tcPr>
            <w:tcW w:type="dxa" w:w="2721"/>
          </w:tcPr>
          <w:p>
            <w:pPr>
              <w:spacing w:after="40"/>
            </w:pPr>
            <w:r/>
            <w:r>
              <w:rPr>
                <w:b w:val="0"/>
                <w:sz w:val="16"/>
              </w:rPr>
              <w:t>SRDEII — filières énergétiques d’avenir et réindustrialisation</w:t>
            </w:r>
          </w:p>
        </w:tc>
        <w:tc>
          <w:tcPr>
            <w:tcW w:type="dxa" w:w="2721"/>
          </w:tcPr>
          <w:p>
            <w:pPr>
              <w:spacing w:after="40"/>
            </w:pPr>
            <w:r/>
            <w:r>
              <w:rPr>
                <w:b w:val="0"/>
                <w:sz w:val="16"/>
              </w:rPr>
              <w:t>SRDEII 2022-2028, adopté le 8 décembre 2022 ; ambition thématique « Énergie » ; conventions entre la Région et les intercommunalités</w:t>
            </w:r>
          </w:p>
        </w:tc>
        <w:tc>
          <w:tcPr>
            <w:tcW w:type="dxa" w:w="2721"/>
          </w:tcPr>
          <w:p>
            <w:pPr>
              <w:spacing w:after="40"/>
            </w:pPr>
            <w:r/>
            <w:r>
              <w:rPr>
                <w:b w:val="0"/>
                <w:sz w:val="16"/>
              </w:rPr>
              <w:t>SRDEII 2022-2028 — priorité 11, filières énergétiques d’avenir</w:t>
            </w:r>
          </w:p>
        </w:tc>
      </w:tr>
      <w:tr>
        <w:tc>
          <w:tcPr>
            <w:tcW w:type="dxa" w:w="1474"/>
          </w:tcPr>
          <w:p>
            <w:pPr>
              <w:spacing w:after="40"/>
            </w:pPr>
            <w:r/>
            <w:r>
              <w:rPr>
                <w:b w:val="0"/>
                <w:sz w:val="16"/>
              </w:rPr>
              <w:t>Biomasse et forêt-bois</w:t>
            </w:r>
          </w:p>
        </w:tc>
        <w:tc>
          <w:tcPr>
            <w:tcW w:type="dxa" w:w="2721"/>
          </w:tcPr>
          <w:p>
            <w:pPr>
              <w:spacing w:after="40"/>
            </w:pPr>
            <w:r/>
            <w:r>
              <w:rPr>
                <w:b w:val="0"/>
                <w:sz w:val="16"/>
              </w:rPr>
              <w:t>Schéma régional biomasse (diagnostic 2021) ; programme régional de la forêt et du bois 2018-2027 ; plus fort potentiel national d’augmentation de la récolte, estimé à ≈ 2,7 Mm³</w:t>
            </w:r>
          </w:p>
        </w:tc>
        <w:tc>
          <w:tcPr>
            <w:tcW w:type="dxa" w:w="2721"/>
          </w:tcPr>
          <w:p>
            <w:pPr>
              <w:spacing w:after="40"/>
            </w:pPr>
            <w:r/>
            <w:r>
              <w:rPr>
                <w:b w:val="0"/>
                <w:sz w:val="16"/>
              </w:rPr>
              <w:t>Master Plan forêt-bois 2022-2027, priorité bois-énergie ; 35 scieries de première transformation ; ≈ 20 000 km de haies, gisement bocager largement sous-valorisé</w:t>
            </w:r>
          </w:p>
        </w:tc>
        <w:tc>
          <w:tcPr>
            <w:tcW w:type="dxa" w:w="2721"/>
          </w:tcPr>
          <w:p>
            <w:pPr>
              <w:spacing w:after="40"/>
            </w:pPr>
            <w:r/>
            <w:r>
              <w:rPr>
                <w:b w:val="0"/>
                <w:sz w:val="16"/>
              </w:rPr>
              <w:t>Schéma régional biomasse, arrêté du 14 décembre 2020 ; 540 chaufferies collectives et industrielles pour 1 522 GWh en 2024 ; Sarthe, premier taux de boisement régional (19 %)</w:t>
            </w:r>
          </w:p>
        </w:tc>
      </w:tr>
      <w:tr>
        <w:tc>
          <w:tcPr>
            <w:tcW w:type="dxa" w:w="1474"/>
          </w:tcPr>
          <w:p>
            <w:pPr>
              <w:spacing w:after="40"/>
            </w:pPr>
            <w:r/>
            <w:r>
              <w:rPr>
                <w:b w:val="0"/>
                <w:sz w:val="16"/>
              </w:rPr>
              <w:t>Programme régional propre</w:t>
            </w:r>
          </w:p>
        </w:tc>
        <w:tc>
          <w:tcPr>
            <w:tcW w:type="dxa" w:w="2721"/>
          </w:tcPr>
          <w:p>
            <w:pPr>
              <w:spacing w:after="40"/>
            </w:pPr>
            <w:r/>
            <w:r>
              <w:rPr>
                <w:b w:val="0"/>
                <w:sz w:val="16"/>
              </w:rPr>
              <w:t>Climaxion (ADEME et Région) ; convention de transition écologique de janvier 2023 portant délégation d’une partie du Fonds chaleur (≈ 24 M€ sur trois ans)</w:t>
            </w:r>
          </w:p>
        </w:tc>
        <w:tc>
          <w:tcPr>
            <w:tcW w:type="dxa" w:w="2721"/>
          </w:tcPr>
          <w:p>
            <w:pPr>
              <w:spacing w:after="40"/>
            </w:pPr>
            <w:r/>
            <w:r>
              <w:rPr>
                <w:b w:val="0"/>
                <w:sz w:val="16"/>
              </w:rPr>
              <w:t>Rev3 — Révolution industrielle, numérique et énergétique, cadre structurant de la stratégie économique régionale depuis 2015</w:t>
            </w:r>
          </w:p>
        </w:tc>
        <w:tc>
          <w:tcPr>
            <w:tcW w:type="dxa" w:w="2721"/>
          </w:tcPr>
          <w:p>
            <w:pPr>
              <w:spacing w:after="40"/>
            </w:pPr>
            <w:r/>
            <w:r>
              <w:rPr>
                <w:b w:val="0"/>
                <w:sz w:val="16"/>
              </w:rPr>
              <w:t>Réseau régional des énergies renouvelables avec l’ADEME ; campus régional des énergies durables créé en 2024</w:t>
            </w:r>
          </w:p>
        </w:tc>
      </w:tr>
      <w:tr>
        <w:tc>
          <w:tcPr>
            <w:tcW w:type="dxa" w:w="1474"/>
          </w:tcPr>
          <w:p>
            <w:pPr>
              <w:spacing w:after="40"/>
            </w:pPr>
            <w:r/>
            <w:r>
              <w:rPr>
                <w:b w:val="0"/>
                <w:sz w:val="16"/>
              </w:rPr>
              <w:t>FEDER 2021-2027</w:t>
            </w:r>
          </w:p>
        </w:tc>
        <w:tc>
          <w:tcPr>
            <w:tcW w:type="dxa" w:w="2721"/>
          </w:tcPr>
          <w:p>
            <w:pPr>
              <w:spacing w:after="40"/>
            </w:pPr>
            <w:r/>
            <w:r>
              <w:rPr>
                <w:b w:val="0"/>
                <w:sz w:val="16"/>
              </w:rPr>
              <w:t>Programme opérationnel Grand Est</w:t>
            </w:r>
          </w:p>
        </w:tc>
        <w:tc>
          <w:tcPr>
            <w:tcW w:type="dxa" w:w="2721"/>
          </w:tcPr>
          <w:p>
            <w:pPr>
              <w:spacing w:after="40"/>
            </w:pPr>
            <w:r/>
            <w:r>
              <w:rPr>
                <w:b w:val="0"/>
                <w:sz w:val="16"/>
              </w:rPr>
              <w:t>Programme régional Hauts-de-France — transition verte et compétitivité des entreprises</w:t>
            </w:r>
          </w:p>
        </w:tc>
        <w:tc>
          <w:tcPr>
            <w:tcW w:type="dxa" w:w="2721"/>
          </w:tcPr>
          <w:p>
            <w:pPr>
              <w:spacing w:after="40"/>
            </w:pPr>
            <w:r/>
            <w:r>
              <w:rPr>
                <w:b w:val="0"/>
                <w:sz w:val="16"/>
              </w:rPr>
              <w:t>Programme opérationnel Pays de la Loire</w:t>
            </w:r>
          </w:p>
        </w:tc>
      </w:tr>
      <w:tr>
        <w:tc>
          <w:tcPr>
            <w:tcW w:type="dxa" w:w="1474"/>
          </w:tcPr>
          <w:p>
            <w:pPr>
              <w:spacing w:after="40"/>
            </w:pPr>
            <w:r/>
            <w:r>
              <w:rPr>
                <w:b w:val="0"/>
                <w:sz w:val="16"/>
              </w:rPr>
              <w:t>Contractualisation État-Région</w:t>
            </w:r>
          </w:p>
        </w:tc>
        <w:tc>
          <w:tcPr>
            <w:tcW w:type="dxa" w:w="2721"/>
          </w:tcPr>
          <w:p>
            <w:pPr>
              <w:spacing w:after="40"/>
            </w:pPr>
            <w:r/>
            <w:r>
              <w:rPr>
                <w:b w:val="0"/>
                <w:sz w:val="16"/>
              </w:rPr>
              <w:t>Conférence des parties régionale, dans le cadre de France Nation Verte</w:t>
            </w:r>
          </w:p>
        </w:tc>
        <w:tc>
          <w:tcPr>
            <w:tcW w:type="dxa" w:w="2721"/>
          </w:tcPr>
          <w:p>
            <w:pPr>
              <w:spacing w:after="40"/>
            </w:pPr>
            <w:r/>
            <w:r>
              <w:rPr>
                <w:b w:val="0"/>
                <w:sz w:val="16"/>
              </w:rPr>
              <w:t>Conférence des parties régionale ; Pacte pour la réussite de la Sambre-Avesnois-Thiérache, acte 3, signé le 2 septembre 2025 pour 2025-2029, 44 signataires</w:t>
            </w:r>
          </w:p>
        </w:tc>
        <w:tc>
          <w:tcPr>
            <w:tcW w:type="dxa" w:w="2721"/>
          </w:tcPr>
          <w:p>
            <w:pPr>
              <w:spacing w:after="40"/>
            </w:pPr>
            <w:r/>
            <w:r>
              <w:rPr>
                <w:b w:val="0"/>
                <w:sz w:val="16"/>
              </w:rPr>
              <w:t>Conférence des parties régionale, dans le cadre de France Nation Verte</w:t>
            </w:r>
          </w:p>
        </w:tc>
      </w:tr>
      <w:tr>
        <w:tc>
          <w:tcPr>
            <w:tcW w:type="dxa" w:w="1474"/>
          </w:tcPr>
          <w:p>
            <w:pPr>
              <w:spacing w:after="40"/>
            </w:pPr>
            <w:r/>
            <w:r>
              <w:rPr>
                <w:b w:val="0"/>
                <w:sz w:val="16"/>
              </w:rPr>
              <w:t>Services et organismes concernés</w:t>
            </w:r>
          </w:p>
        </w:tc>
        <w:tc>
          <w:tcPr>
            <w:tcW w:type="dxa" w:w="2721"/>
          </w:tcPr>
          <w:p>
            <w:pPr>
              <w:spacing w:after="40"/>
            </w:pPr>
            <w:r/>
            <w:r>
              <w:rPr>
                <w:b w:val="0"/>
                <w:sz w:val="16"/>
              </w:rPr>
              <w:t>DREAL Grand Est ; ADEME Grand Est ; Fibois Grand Est ; Centre national de la propriété forestière</w:t>
            </w:r>
          </w:p>
        </w:tc>
        <w:tc>
          <w:tcPr>
            <w:tcW w:type="dxa" w:w="2721"/>
          </w:tcPr>
          <w:p>
            <w:pPr>
              <w:spacing w:after="40"/>
            </w:pPr>
            <w:r/>
            <w:r>
              <w:rPr>
                <w:b w:val="0"/>
                <w:sz w:val="16"/>
              </w:rPr>
              <w:t>DREAL Hauts-de-France ; ADEME Hauts-de-France ; Fibois Hauts-de-France ; secrétariat général pour les affaires régionales</w:t>
            </w:r>
          </w:p>
        </w:tc>
        <w:tc>
          <w:tcPr>
            <w:tcW w:type="dxa" w:w="2721"/>
          </w:tcPr>
          <w:p>
            <w:pPr>
              <w:spacing w:after="40"/>
            </w:pPr>
            <w:r/>
            <w:r>
              <w:rPr>
                <w:b w:val="0"/>
                <w:sz w:val="16"/>
              </w:rPr>
              <w:t>DREAL Pays de la Loire ; ADEME Pays de la Loire ; Fibois Pays de la Loire</w:t>
            </w:r>
          </w:p>
        </w:tc>
      </w:tr>
    </w:tbl>
    <w:p>
      <w:pPr>
        <w:spacing w:after="80"/>
      </w:pPr>
    </w:p>
    <w:p>
      <w:pPr>
        <w:keepNext/>
        <w:spacing w:before="240" w:after="80"/>
      </w:pPr>
      <w:r>
        <w:rPr>
          <w:b/>
          <w:color w:val="1F3B57"/>
          <w:sz w:val="24"/>
        </w:rPr>
        <w:t>3.4 Échelons départemental, intercommunal et communal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fill="1F3B57"/>
          </w:tcPr>
          <w:p>
            <w:r/>
            <w:r>
              <w:rPr>
                <w:b/>
                <w:color w:val="FFFFFF"/>
                <w:sz w:val="16"/>
              </w:rPr>
              <w:t>Registre</w:t>
            </w:r>
          </w:p>
        </w:tc>
        <w:tc>
          <w:tcPr>
            <w:tcW w:type="dxa" w:w="2721"/>
            <w:shd w:val="clear" w:fill="1F3B57"/>
          </w:tcPr>
          <w:p>
            <w:r/>
            <w:r>
              <w:rPr>
                <w:b/>
                <w:color w:val="FFFFFF"/>
                <w:sz w:val="16"/>
              </w:rPr>
              <w:t>DAMBLAIN</w:t>
            </w:r>
          </w:p>
        </w:tc>
        <w:tc>
          <w:tcPr>
            <w:tcW w:type="dxa" w:w="2721"/>
            <w:shd w:val="clear" w:fill="1F3B57"/>
          </w:tcPr>
          <w:p>
            <w:r/>
            <w:r>
              <w:rPr>
                <w:b/>
                <w:color w:val="FFFFFF"/>
                <w:sz w:val="16"/>
              </w:rPr>
              <w:t>HIRSON</w:t>
            </w:r>
          </w:p>
        </w:tc>
        <w:tc>
          <w:tcPr>
            <w:tcW w:type="dxa" w:w="2721"/>
            <w:shd w:val="clear" w:fill="1F3B57"/>
          </w:tcPr>
          <w:p>
            <w:r/>
            <w:r>
              <w:rPr>
                <w:b/>
                <w:color w:val="FFFFFF"/>
                <w:sz w:val="16"/>
              </w:rPr>
              <w:t>ÉCOMMOY</w:t>
            </w:r>
          </w:p>
        </w:tc>
      </w:tr>
      <w:tr>
        <w:tc>
          <w:tcPr>
            <w:tcW w:type="dxa" w:w="1474"/>
          </w:tcPr>
          <w:p>
            <w:pPr>
              <w:spacing w:after="40"/>
            </w:pPr>
            <w:r/>
            <w:r>
              <w:rPr>
                <w:b w:val="0"/>
                <w:sz w:val="16"/>
              </w:rPr>
              <w:t>Département</w:t>
            </w:r>
          </w:p>
        </w:tc>
        <w:tc>
          <w:tcPr>
            <w:tcW w:type="dxa" w:w="2721"/>
          </w:tcPr>
          <w:p>
            <w:pPr>
              <w:spacing w:after="40"/>
            </w:pPr>
            <w:r/>
            <w:r>
              <w:rPr>
                <w:b w:val="0"/>
                <w:sz w:val="16"/>
              </w:rPr>
              <w:t>Vosges — propriétaire et aménageur du site : 302 ha acquis en 2005, 34 M€ engagés pour l’accès autoroutier et l’embranchement ferroviaire, zone d’activité ouverte en 2013</w:t>
            </w:r>
          </w:p>
        </w:tc>
        <w:tc>
          <w:tcPr>
            <w:tcW w:type="dxa" w:w="2721"/>
          </w:tcPr>
          <w:p>
            <w:pPr>
              <w:spacing w:after="40"/>
            </w:pPr>
            <w:r/>
            <w:r>
              <w:rPr>
                <w:b w:val="0"/>
                <w:sz w:val="16"/>
              </w:rPr>
              <w:t>Aisne — signataire du Pacte pour la réussite de la Sambre-Avesnois-Thiérache ; politiques de cohésion sociale et d’insertion</w:t>
            </w:r>
          </w:p>
        </w:tc>
        <w:tc>
          <w:tcPr>
            <w:tcW w:type="dxa" w:w="2721"/>
          </w:tcPr>
          <w:p>
            <w:pPr>
              <w:spacing w:after="40"/>
            </w:pPr>
            <w:r/>
            <w:r>
              <w:rPr>
                <w:b w:val="0"/>
                <w:sz w:val="16"/>
              </w:rPr>
              <w:t>Sarthe — politiques forestières et d’attractivité économique ; forêt domaniale de Bercé, labellisée Forêt d’Exception en 2017</w:t>
            </w:r>
          </w:p>
        </w:tc>
      </w:tr>
      <w:tr>
        <w:tc>
          <w:tcPr>
            <w:tcW w:type="dxa" w:w="1474"/>
          </w:tcPr>
          <w:p>
            <w:pPr>
              <w:spacing w:after="40"/>
            </w:pPr>
            <w:r/>
            <w:r>
              <w:rPr>
                <w:b w:val="0"/>
                <w:sz w:val="16"/>
              </w:rPr>
              <w:t>Intercommunalité</w:t>
            </w:r>
          </w:p>
        </w:tc>
        <w:tc>
          <w:tcPr>
            <w:tcW w:type="dxa" w:w="2721"/>
          </w:tcPr>
          <w:p>
            <w:pPr>
              <w:spacing w:after="40"/>
            </w:pPr>
            <w:r/>
            <w:r>
              <w:rPr>
                <w:b w:val="0"/>
                <w:sz w:val="16"/>
              </w:rPr>
              <w:t>CC de l’Ouest Vosgien — document d’urbanisme intercommunal encadrant l’accueil d’activités ; territoire rural de 729 km²</w:t>
            </w:r>
          </w:p>
        </w:tc>
        <w:tc>
          <w:tcPr>
            <w:tcW w:type="dxa" w:w="2721"/>
          </w:tcPr>
          <w:p>
            <w:pPr>
              <w:spacing w:after="40"/>
            </w:pPr>
            <w:r/>
            <w:r>
              <w:rPr>
                <w:b w:val="0"/>
                <w:sz w:val="16"/>
              </w:rPr>
              <w:t>CC du Pays des Trois Rivières — 26 communes ; contrat de relance et de transition écologique</w:t>
            </w:r>
          </w:p>
        </w:tc>
        <w:tc>
          <w:tcPr>
            <w:tcW w:type="dxa" w:w="2721"/>
          </w:tcPr>
          <w:p>
            <w:pPr>
              <w:spacing w:after="40"/>
            </w:pPr>
            <w:r/>
            <w:r>
              <w:rPr>
                <w:b w:val="0"/>
                <w:sz w:val="16"/>
              </w:rPr>
              <w:t>CC Orée de Bercé-Bélinois — document d’urbanisme intercommunal ; contrat de relance et de transition écologique ; convention Petites Villes de Demain valant opération de revitalisation de territoire, signée le 21 décembre 2022</w:t>
            </w:r>
          </w:p>
        </w:tc>
      </w:tr>
      <w:tr>
        <w:tc>
          <w:tcPr>
            <w:tcW w:type="dxa" w:w="1474"/>
          </w:tcPr>
          <w:p>
            <w:pPr>
              <w:spacing w:after="40"/>
            </w:pPr>
            <w:r/>
            <w:r>
              <w:rPr>
                <w:b w:val="0"/>
                <w:sz w:val="16"/>
              </w:rPr>
              <w:t>Échelon supra-intercommunal</w:t>
            </w:r>
          </w:p>
        </w:tc>
        <w:tc>
          <w:tcPr>
            <w:tcW w:type="dxa" w:w="2721"/>
          </w:tcPr>
          <w:p>
            <w:pPr>
              <w:spacing w:after="40"/>
            </w:pPr>
            <w:r/>
            <w:r>
              <w:rPr>
                <w:b w:val="0"/>
                <w:sz w:val="16"/>
              </w:rPr>
              <w:t>Bassin de Neufchâteau ; massifs des Vosges, de la Haute-Marne et de la Meuse — cadre propice à une charte forestière de territoire</w:t>
            </w:r>
          </w:p>
        </w:tc>
        <w:tc>
          <w:tcPr>
            <w:tcW w:type="dxa" w:w="2721"/>
          </w:tcPr>
          <w:p>
            <w:pPr>
              <w:spacing w:after="40"/>
            </w:pPr>
            <w:r/>
            <w:r>
              <w:rPr>
                <w:b w:val="0"/>
                <w:sz w:val="16"/>
              </w:rPr>
              <w:t>Schéma de cohérence territoriale de la Thiérache de l’Aisne ; plan climat-air-énergie territorial ; espace transfrontalier franco-belge</w:t>
            </w:r>
          </w:p>
        </w:tc>
        <w:tc>
          <w:tcPr>
            <w:tcW w:type="dxa" w:w="2721"/>
          </w:tcPr>
          <w:p>
            <w:pPr>
              <w:spacing w:after="40"/>
            </w:pPr>
            <w:r/>
            <w:r>
              <w:rPr>
                <w:b w:val="0"/>
                <w:sz w:val="16"/>
              </w:rPr>
              <w:t>Pays du Mans — schéma de cohérence territoriale et plan climat-air-énergie territorial</w:t>
            </w:r>
          </w:p>
        </w:tc>
      </w:tr>
      <w:tr>
        <w:tc>
          <w:tcPr>
            <w:tcW w:type="dxa" w:w="1474"/>
          </w:tcPr>
          <w:p>
            <w:pPr>
              <w:spacing w:after="40"/>
            </w:pPr>
            <w:r/>
            <w:r>
              <w:rPr>
                <w:b w:val="0"/>
                <w:sz w:val="16"/>
              </w:rPr>
              <w:t>Dispositifs de revitalisation</w:t>
            </w:r>
          </w:p>
        </w:tc>
        <w:tc>
          <w:tcPr>
            <w:tcW w:type="dxa" w:w="2721"/>
          </w:tcPr>
          <w:p>
            <w:pPr>
              <w:spacing w:after="40"/>
            </w:pPr>
            <w:r/>
            <w:r>
              <w:rPr>
                <w:b w:val="0"/>
                <w:sz w:val="16"/>
              </w:rPr>
              <w:t>Zonage rural France Ruralités Revitalisation</w:t>
            </w:r>
          </w:p>
        </w:tc>
        <w:tc>
          <w:tcPr>
            <w:tcW w:type="dxa" w:w="2721"/>
          </w:tcPr>
          <w:p>
            <w:pPr>
              <w:spacing w:after="40"/>
            </w:pPr>
            <w:r/>
            <w:r>
              <w:rPr>
                <w:b w:val="0"/>
                <w:sz w:val="16"/>
              </w:rPr>
              <w:t>Commune labellisée Petite Ville de Demain ; contrat de ville 2024-2030 ; deux quartiers prioritaires de la politique de la ville</w:t>
            </w:r>
          </w:p>
        </w:tc>
        <w:tc>
          <w:tcPr>
            <w:tcW w:type="dxa" w:w="2721"/>
          </w:tcPr>
          <w:p>
            <w:pPr>
              <w:spacing w:after="40"/>
            </w:pPr>
            <w:r/>
            <w:r>
              <w:rPr>
                <w:b w:val="0"/>
                <w:sz w:val="16"/>
              </w:rPr>
              <w:t>Petites Villes de Demain depuis 2021 ; opération de revitalisation de territoire ; commune classée en zone FRR</w:t>
            </w:r>
          </w:p>
        </w:tc>
      </w:tr>
      <w:tr>
        <w:tc>
          <w:tcPr>
            <w:tcW w:type="dxa" w:w="1474"/>
          </w:tcPr>
          <w:p>
            <w:pPr>
              <w:spacing w:after="40"/>
            </w:pPr>
            <w:r/>
            <w:r>
              <w:rPr>
                <w:b w:val="0"/>
                <w:sz w:val="16"/>
              </w:rPr>
              <w:t>Commune</w:t>
            </w:r>
          </w:p>
        </w:tc>
        <w:tc>
          <w:tcPr>
            <w:tcW w:type="dxa" w:w="2721"/>
          </w:tcPr>
          <w:p>
            <w:pPr>
              <w:spacing w:after="40"/>
            </w:pPr>
            <w:r/>
            <w:r>
              <w:rPr>
                <w:b w:val="0"/>
                <w:sz w:val="16"/>
              </w:rPr>
              <w:t>Soutien exprimé publiquement par la municipalité ; absence d’opposition organisée ; voisinage industriel déjà orienté vers le bois et la biomasse</w:t>
            </w:r>
          </w:p>
        </w:tc>
        <w:tc>
          <w:tcPr>
            <w:tcW w:type="dxa" w:w="2721"/>
          </w:tcPr>
          <w:p>
            <w:pPr>
              <w:spacing w:after="40"/>
            </w:pPr>
            <w:r/>
            <w:r>
              <w:rPr>
                <w:b w:val="0"/>
                <w:sz w:val="16"/>
              </w:rPr>
              <w:t>Le conseil municipal a délibéré la cession du foncier à la société de projet pour 1,12 M€ HT ; la commune est propriétaire vendeur</w:t>
            </w:r>
          </w:p>
        </w:tc>
        <w:tc>
          <w:tcPr>
            <w:tcW w:type="dxa" w:w="2721"/>
          </w:tcPr>
          <w:p>
            <w:pPr>
              <w:spacing w:after="40"/>
            </w:pPr>
            <w:r/>
            <w:r>
              <w:rPr>
                <w:b w:val="0"/>
                <w:sz w:val="16"/>
              </w:rPr>
              <w:t>Certificat de non-retrait et de non-recours délivré le 16 septembre 2025 ; transfert du permis de construire signé le 8 décembre 2025 ; absence d’opposition locale</w:t>
            </w:r>
          </w:p>
        </w:tc>
      </w:tr>
    </w:tbl>
    <w:p>
      <w:pPr>
        <w:spacing w:after="80"/>
      </w:pPr>
    </w:p>
    <w:p>
      <w:r>
        <w:br w:type="page"/>
      </w:r>
    </w:p>
    <w:p>
      <w:pPr>
        <w:keepNext/>
        <w:spacing w:before="360" w:after="160"/>
        <w:pBdr>
          <w:bottom w:val="single" w:sz="8" w:space="2" w:color="1F3B57"/>
        </w:pBdr>
      </w:pPr>
      <w:r>
        <w:rPr>
          <w:b/>
          <w:color w:val="1F3B57"/>
          <w:sz w:val="28"/>
        </w:rPr>
        <w:t>PARTIE IV — DAMBLAIN (VOSGES) : JEFERCO PELLETS GRAND EST</w:t>
      </w:r>
    </w:p>
    <w:p>
      <w:pPr>
        <w:jc w:val="both"/>
      </w:pPr>
      <w:r>
        <w:rPr>
          <w:b w:val="0"/>
          <w:i/>
          <w:sz w:val="21"/>
        </w:rPr>
        <w:t>Capacité de production : 120 000 tonnes par an. Implantation sur l’ancienne base aérienne de l’OTAN, reconvertie en zone d’activité Cap Vosges. Projet autorisé, purgé de recours, foncier sécurisé, site embranché fer.</w:t>
      </w:r>
    </w:p>
    <w:p>
      <w:pPr>
        <w:keepNext/>
        <w:spacing w:before="240" w:after="80"/>
      </w:pPr>
      <w:r>
        <w:rPr>
          <w:b/>
          <w:color w:val="1F3B57"/>
          <w:sz w:val="24"/>
        </w:rPr>
        <w:t>4.1 Diagnostic territorial</w:t>
      </w:r>
    </w:p>
    <w:p>
      <w:pPr>
        <w:jc w:val="both"/>
      </w:pPr>
      <w:r>
        <w:rPr>
          <w:b w:val="0"/>
          <w:i w:val="0"/>
          <w:sz w:val="21"/>
        </w:rPr>
        <w:t>Damblain, commune rurale de la plaine des Vosges d’environ 250 habitants, a perdu près de la moitié de sa population depuis 1968. Elle appartient à la Communauté de communes de l’Ouest Vosgien, établissement de 70 communes regroupant 24 512 habitants sur 729 km², dont le siège est à Neufchâteau.</w:t>
      </w:r>
    </w:p>
    <w:p>
      <w:pPr>
        <w:jc w:val="both"/>
      </w:pPr>
      <w:r>
        <w:rPr>
          <w:b w:val="0"/>
          <w:i w:val="0"/>
          <w:sz w:val="21"/>
        </w:rPr>
        <w:t>Son territoire abrite un actif foncier et logistique sans commune mesure avec sa taille : l’ancienne base aérienne de l’OTAN, emprise de 302 hectares acquise par le Département des Vosges en 2005, dotée d’un accès direct à l’autoroute A31 et d’un embranchement ferroviaire réalisés pour 34 millions d’euros, ouverte comme zone d’activité Cap Vosges en 2013. Cette combinaison d’un foncier d’activité de grande emprise, déjà artificialisé et viabilisé, et d’une connexion ferroviaire directe constitue un facteur déterminant de la localisation, s’agissant d’un produit pondéreux dont la logistique conditionne la compétitivité.</w:t>
      </w:r>
    </w:p>
    <w:p>
      <w:pPr>
        <w:jc w:val="both"/>
      </w:pPr>
      <w:r>
        <w:rPr>
          <w:b w:val="0"/>
          <w:i w:val="0"/>
          <w:sz w:val="21"/>
        </w:rPr>
        <w:t>Le territoire est par ailleurs inscrit dans le massif forestier vosgien. Avec un taux de boisement de 50 %, les Vosges constituent le premier département forestier du Grand Est : plus de 294 000 hectares de forêt, soit environ 15 % de la surface forestière régionale, et un volume de bois sur pied de l’ordre de 75 millions de mètres cubes, majoritairement résineux. À l’échelle régionale, la filière forêt-bois représente près de 53 000 emplois et 2,7 milliards d’euros de richesse créée, le bois-énergie en constituant la première source d’énergie renouvelable.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551"/>
            <w:shd w:val="clear" w:fill="1F3B57"/>
          </w:tcPr>
          <w:p>
            <w:r/>
            <w:r>
              <w:rPr>
                <w:b/>
                <w:color w:val="FFFFFF"/>
                <w:sz w:val="18"/>
              </w:rPr>
              <w:t>Indicateur</w:t>
            </w:r>
          </w:p>
        </w:tc>
        <w:tc>
          <w:tcPr>
            <w:tcW w:type="dxa" w:w="2154"/>
            <w:shd w:val="clear" w:fill="1F3B57"/>
          </w:tcPr>
          <w:p>
            <w:r/>
            <w:r>
              <w:rPr>
                <w:b/>
                <w:color w:val="FFFFFF"/>
                <w:sz w:val="18"/>
              </w:rPr>
              <w:t>Damblain / Vosges</w:t>
            </w:r>
          </w:p>
        </w:tc>
        <w:tc>
          <w:tcPr>
            <w:tcW w:type="dxa" w:w="2268"/>
            <w:shd w:val="clear" w:fill="1F3B57"/>
          </w:tcPr>
          <w:p>
            <w:r/>
            <w:r>
              <w:rPr>
                <w:b/>
                <w:color w:val="FFFFFF"/>
                <w:sz w:val="18"/>
              </w:rPr>
              <w:t>Référence</w:t>
            </w:r>
          </w:p>
        </w:tc>
        <w:tc>
          <w:tcPr>
            <w:tcW w:type="dxa" w:w="2381"/>
            <w:shd w:val="clear" w:fill="1F3B57"/>
          </w:tcPr>
          <w:p>
            <w:r/>
            <w:r>
              <w:rPr>
                <w:b/>
                <w:color w:val="FFFFFF"/>
                <w:sz w:val="18"/>
              </w:rPr>
              <w:t>Lecture</w:t>
            </w:r>
          </w:p>
        </w:tc>
      </w:tr>
      <w:tr>
        <w:tc>
          <w:tcPr>
            <w:tcW w:type="dxa" w:w="2551"/>
          </w:tcPr>
          <w:p>
            <w:pPr>
              <w:spacing w:after="40"/>
            </w:pPr>
            <w:r/>
            <w:r>
              <w:rPr>
                <w:b w:val="0"/>
                <w:sz w:val="18"/>
              </w:rPr>
              <w:t>Taux de boisement départemental</w:t>
            </w:r>
          </w:p>
        </w:tc>
        <w:tc>
          <w:tcPr>
            <w:tcW w:type="dxa" w:w="2154"/>
          </w:tcPr>
          <w:p>
            <w:pPr>
              <w:spacing w:after="40"/>
            </w:pPr>
            <w:r/>
            <w:r>
              <w:rPr>
                <w:b w:val="0"/>
                <w:sz w:val="18"/>
              </w:rPr>
              <w:t>50 % (Vosges)</w:t>
            </w:r>
          </w:p>
        </w:tc>
        <w:tc>
          <w:tcPr>
            <w:tcW w:type="dxa" w:w="2268"/>
          </w:tcPr>
          <w:p>
            <w:pPr>
              <w:spacing w:after="40"/>
            </w:pPr>
            <w:r/>
            <w:r>
              <w:rPr>
                <w:b w:val="0"/>
                <w:sz w:val="18"/>
              </w:rPr>
              <w:t>33 % (Grand Est)</w:t>
            </w:r>
          </w:p>
        </w:tc>
        <w:tc>
          <w:tcPr>
            <w:tcW w:type="dxa" w:w="2381"/>
          </w:tcPr>
          <w:p>
            <w:pPr>
              <w:spacing w:after="40"/>
            </w:pPr>
            <w:r/>
            <w:r>
              <w:rPr>
                <w:b w:val="0"/>
                <w:sz w:val="18"/>
              </w:rPr>
              <w:t>Premier département forestier régional</w:t>
            </w:r>
          </w:p>
        </w:tc>
      </w:tr>
      <w:tr>
        <w:tc>
          <w:tcPr>
            <w:tcW w:type="dxa" w:w="2551"/>
          </w:tcPr>
          <w:p>
            <w:pPr>
              <w:spacing w:after="40"/>
            </w:pPr>
            <w:r/>
            <w:r>
              <w:rPr>
                <w:b w:val="0"/>
                <w:sz w:val="18"/>
              </w:rPr>
              <w:t>Surface forestière</w:t>
            </w:r>
          </w:p>
        </w:tc>
        <w:tc>
          <w:tcPr>
            <w:tcW w:type="dxa" w:w="2154"/>
          </w:tcPr>
          <w:p>
            <w:pPr>
              <w:spacing w:after="40"/>
            </w:pPr>
            <w:r/>
            <w:r>
              <w:rPr>
                <w:b w:val="0"/>
                <w:sz w:val="18"/>
              </w:rPr>
              <w:t>294 000 ha</w:t>
            </w:r>
          </w:p>
        </w:tc>
        <w:tc>
          <w:tcPr>
            <w:tcW w:type="dxa" w:w="2268"/>
          </w:tcPr>
          <w:p>
            <w:pPr>
              <w:spacing w:after="40"/>
            </w:pPr>
            <w:r/>
            <w:r>
              <w:rPr>
                <w:b w:val="0"/>
                <w:sz w:val="18"/>
              </w:rPr>
              <w:t>1,9 Mha (Grand Est)</w:t>
            </w:r>
          </w:p>
        </w:tc>
        <w:tc>
          <w:tcPr>
            <w:tcW w:type="dxa" w:w="2381"/>
          </w:tcPr>
          <w:p>
            <w:pPr>
              <w:spacing w:after="40"/>
            </w:pPr>
            <w:r/>
            <w:r>
              <w:rPr>
                <w:b w:val="0"/>
                <w:sz w:val="18"/>
              </w:rPr>
              <w:t>≈ 15 % de la forêt régionale</w:t>
            </w:r>
          </w:p>
        </w:tc>
      </w:tr>
      <w:tr>
        <w:tc>
          <w:tcPr>
            <w:tcW w:type="dxa" w:w="2551"/>
          </w:tcPr>
          <w:p>
            <w:pPr>
              <w:spacing w:after="40"/>
            </w:pPr>
            <w:r/>
            <w:r>
              <w:rPr>
                <w:b w:val="0"/>
                <w:sz w:val="18"/>
              </w:rPr>
              <w:t>Volume de bois sur pied</w:t>
            </w:r>
          </w:p>
        </w:tc>
        <w:tc>
          <w:tcPr>
            <w:tcW w:type="dxa" w:w="2154"/>
          </w:tcPr>
          <w:p>
            <w:pPr>
              <w:spacing w:after="40"/>
            </w:pPr>
            <w:r/>
            <w:r>
              <w:rPr>
                <w:b w:val="0"/>
                <w:sz w:val="18"/>
              </w:rPr>
              <w:t>≈ 75 Mm³</w:t>
            </w:r>
          </w:p>
        </w:tc>
        <w:tc>
          <w:tcPr>
            <w:tcW w:type="dxa" w:w="2268"/>
          </w:tcPr>
          <w:p>
            <w:pPr>
              <w:spacing w:after="40"/>
            </w:pPr>
            <w:r/>
            <w:r>
              <w:rPr>
                <w:b w:val="0"/>
                <w:sz w:val="18"/>
              </w:rPr>
              <w:t>—</w:t>
            </w:r>
          </w:p>
        </w:tc>
        <w:tc>
          <w:tcPr>
            <w:tcW w:type="dxa" w:w="2381"/>
          </w:tcPr>
          <w:p>
            <w:pPr>
              <w:spacing w:after="40"/>
            </w:pPr>
            <w:r/>
            <w:r>
              <w:rPr>
                <w:b w:val="0"/>
                <w:sz w:val="18"/>
              </w:rPr>
              <w:t>53 % résineux / 47 % feuillus</w:t>
            </w:r>
          </w:p>
        </w:tc>
      </w:tr>
      <w:tr>
        <w:tc>
          <w:tcPr>
            <w:tcW w:type="dxa" w:w="2551"/>
          </w:tcPr>
          <w:p>
            <w:pPr>
              <w:spacing w:after="40"/>
            </w:pPr>
            <w:r/>
            <w:r>
              <w:rPr>
                <w:b w:val="0"/>
                <w:sz w:val="18"/>
              </w:rPr>
              <w:t>Emplois de la filière forêt-bois</w:t>
            </w:r>
          </w:p>
        </w:tc>
        <w:tc>
          <w:tcPr>
            <w:tcW w:type="dxa" w:w="2154"/>
          </w:tcPr>
          <w:p>
            <w:pPr>
              <w:spacing w:after="40"/>
            </w:pPr>
            <w:r/>
            <w:r>
              <w:rPr>
                <w:b w:val="0"/>
                <w:sz w:val="18"/>
              </w:rPr>
              <w:t>≈ 8 000 (Vosges)</w:t>
            </w:r>
          </w:p>
        </w:tc>
        <w:tc>
          <w:tcPr>
            <w:tcW w:type="dxa" w:w="2268"/>
          </w:tcPr>
          <w:p>
            <w:pPr>
              <w:spacing w:after="40"/>
            </w:pPr>
            <w:r/>
            <w:r>
              <w:rPr>
                <w:b w:val="0"/>
                <w:sz w:val="18"/>
              </w:rPr>
              <w:t>≈ 53 000 (Grand Est)</w:t>
            </w:r>
          </w:p>
        </w:tc>
        <w:tc>
          <w:tcPr>
            <w:tcW w:type="dxa" w:w="2381"/>
          </w:tcPr>
          <w:p>
            <w:pPr>
              <w:spacing w:after="40"/>
            </w:pPr>
            <w:r/>
            <w:r>
              <w:rPr>
                <w:b w:val="0"/>
                <w:sz w:val="18"/>
              </w:rPr>
              <w:t>≈ 17 % de la filière régionale</w:t>
            </w:r>
          </w:p>
        </w:tc>
      </w:tr>
      <w:tr>
        <w:tc>
          <w:tcPr>
            <w:tcW w:type="dxa" w:w="2551"/>
          </w:tcPr>
          <w:p>
            <w:pPr>
              <w:spacing w:after="40"/>
            </w:pPr>
            <w:r/>
            <w:r>
              <w:rPr>
                <w:b w:val="0"/>
                <w:sz w:val="18"/>
              </w:rPr>
              <w:t>Population communale</w:t>
            </w:r>
          </w:p>
        </w:tc>
        <w:tc>
          <w:tcPr>
            <w:tcW w:type="dxa" w:w="2154"/>
          </w:tcPr>
          <w:p>
            <w:pPr>
              <w:spacing w:after="40"/>
            </w:pPr>
            <w:r/>
            <w:r>
              <w:rPr>
                <w:b w:val="0"/>
                <w:sz w:val="18"/>
              </w:rPr>
              <w:t>≈ 250 hab.</w:t>
            </w:r>
          </w:p>
        </w:tc>
        <w:tc>
          <w:tcPr>
            <w:tcW w:type="dxa" w:w="2268"/>
          </w:tcPr>
          <w:p>
            <w:pPr>
              <w:spacing w:after="40"/>
            </w:pPr>
            <w:r/>
            <w:r>
              <w:rPr>
                <w:b w:val="0"/>
                <w:sz w:val="18"/>
              </w:rPr>
              <w:t>—</w:t>
            </w:r>
          </w:p>
        </w:tc>
        <w:tc>
          <w:tcPr>
            <w:tcW w:type="dxa" w:w="2381"/>
          </w:tcPr>
          <w:p>
            <w:pPr>
              <w:spacing w:after="40"/>
            </w:pPr>
            <w:r/>
            <w:r>
              <w:rPr>
                <w:b w:val="0"/>
                <w:sz w:val="18"/>
              </w:rPr>
              <w:t>≈ −50 % depuis 1968</w:t>
            </w:r>
          </w:p>
        </w:tc>
      </w:tr>
      <w:tr>
        <w:tc>
          <w:tcPr>
            <w:tcW w:type="dxa" w:w="2551"/>
          </w:tcPr>
          <w:p>
            <w:pPr>
              <w:spacing w:after="40"/>
            </w:pPr>
            <w:r/>
            <w:r>
              <w:rPr>
                <w:b w:val="0"/>
                <w:sz w:val="18"/>
              </w:rPr>
              <w:t>Intercommunalité</w:t>
            </w:r>
          </w:p>
        </w:tc>
        <w:tc>
          <w:tcPr>
            <w:tcW w:type="dxa" w:w="2154"/>
          </w:tcPr>
          <w:p>
            <w:pPr>
              <w:spacing w:after="40"/>
            </w:pPr>
            <w:r/>
            <w:r>
              <w:rPr>
                <w:b w:val="0"/>
                <w:sz w:val="18"/>
              </w:rPr>
              <w:t>24 512 hab., 70 communes</w:t>
            </w:r>
          </w:p>
        </w:tc>
        <w:tc>
          <w:tcPr>
            <w:tcW w:type="dxa" w:w="2268"/>
          </w:tcPr>
          <w:p>
            <w:pPr>
              <w:spacing w:after="40"/>
            </w:pPr>
            <w:r/>
            <w:r>
              <w:rPr>
                <w:b w:val="0"/>
                <w:sz w:val="18"/>
              </w:rPr>
              <w:t>—</w:t>
            </w:r>
          </w:p>
        </w:tc>
        <w:tc>
          <w:tcPr>
            <w:tcW w:type="dxa" w:w="2381"/>
          </w:tcPr>
          <w:p>
            <w:pPr>
              <w:spacing w:after="40"/>
            </w:pPr>
            <w:r/>
            <w:r>
              <w:rPr>
                <w:b w:val="0"/>
                <w:sz w:val="18"/>
              </w:rPr>
              <w:t>Territoire rural de 729 km²</w:t>
            </w:r>
          </w:p>
        </w:tc>
      </w:tr>
    </w:tbl>
    <w:p>
      <w:pPr>
        <w:spacing w:after="80"/>
      </w:pPr>
    </w:p>
    <w:p>
      <w:pPr>
        <w:keepNext/>
        <w:spacing w:before="240" w:after="80"/>
      </w:pPr>
      <w:r>
        <w:rPr>
          <w:b/>
          <w:color w:val="1F3B57"/>
          <w:sz w:val="24"/>
        </w:rPr>
        <w:t>4.2 Inscription dans les cadres régionaux — Grand Est</w:t>
      </w:r>
    </w:p>
    <w:p>
      <w:pPr>
        <w:keepNext/>
        <w:spacing w:before="180" w:after="60"/>
      </w:pPr>
      <w:r>
        <w:rPr>
          <w:b/>
          <w:color w:val="2E6B3E"/>
          <w:sz w:val="21"/>
        </w:rPr>
        <w:t>Le SRADDET</w:t>
      </w:r>
    </w:p>
    <w:p>
      <w:pPr>
        <w:jc w:val="both"/>
      </w:pPr>
      <w:r>
        <w:rPr>
          <w:b w:val="0"/>
          <w:i w:val="0"/>
          <w:sz w:val="21"/>
        </w:rPr>
        <w:t>Le schéma régional d’aménagement, de développement durable et d’égalité des territoires du Grand Est, adopté fin 2019, constitue le document intégrateur de référence et fixe l’ambition d’une région à énergie positive et bas carbone à l’horizon 2050, reposant sur une réduction de 55 % de la consommation énergétique régionale et une augmentation substantielle de la production d’énergies renouvelables, dont le bois-énergie est la première composante. Le projet contribue à trois de ses objectifs :</w:t>
      </w:r>
    </w:p>
    <w:p>
      <w:pPr>
        <w:pStyle w:val="ListBullet"/>
        <w:spacing w:after="60"/>
        <w:ind w:left="340"/>
        <w:jc w:val="both"/>
      </w:pPr>
      <w:r>
        <w:rPr>
          <w:b/>
          <w:sz w:val="21"/>
        </w:rPr>
        <w:t>Transition énergétique et neutralité carbone</w:t>
      </w:r>
      <w:r>
        <w:rPr>
          <w:b w:val="0"/>
          <w:sz w:val="21"/>
        </w:rPr>
        <w:t xml:space="preserve"> : 120 000 tonnes de granulés certifiés par an produits à partir de biomasse régionale, représentant de l’ordre de 576 GWh PCI d’énergie renouvelable et environ 131 000 tonnes de dioxyde de carbone évitées par an en substitution au gaz naturel.</w:t>
      </w:r>
    </w:p>
    <w:p>
      <w:pPr>
        <w:pStyle w:val="ListBullet"/>
        <w:spacing w:after="60"/>
        <w:ind w:left="340"/>
        <w:jc w:val="both"/>
      </w:pPr>
      <w:r>
        <w:rPr>
          <w:b/>
          <w:sz w:val="21"/>
        </w:rPr>
        <w:t>Objectif 9, valorisation multifonctionnelle de la ressource bois</w:t>
      </w:r>
      <w:r>
        <w:rPr>
          <w:b w:val="0"/>
          <w:sz w:val="21"/>
        </w:rPr>
        <w:t xml:space="preserve"> : création d’un débouché industriel contractualisé pour les connexes de scieries, les houppiers, les plaquettes forestières, les bois d’éclaircie, les bois scolytés et les produits de coupes sanitaires, dans le respect de la hiérarchie des usages. La valorisation en cascade s’opère également en interne, 30 % des écorces issues des bois ronds alimentant la chaudière de séchage.</w:t>
      </w:r>
    </w:p>
    <w:p>
      <w:pPr>
        <w:pStyle w:val="ListBullet"/>
        <w:spacing w:after="60"/>
        <w:ind w:left="340"/>
        <w:jc w:val="both"/>
      </w:pPr>
      <w:r>
        <w:rPr>
          <w:b/>
          <w:sz w:val="21"/>
        </w:rPr>
        <w:t>Objectif 11, économie du foncier naturel, agricole et forestier</w:t>
      </w:r>
      <w:r>
        <w:rPr>
          <w:b w:val="0"/>
          <w:sz w:val="21"/>
        </w:rPr>
        <w:t xml:space="preserve"> : implantation sur une emprise déjà artificialisée et viabilisée, sans consommation d’espace naturel, agricole ou forestier.</w:t>
      </w:r>
    </w:p>
    <w:p>
      <w:pPr>
        <w:keepNext/>
        <w:spacing w:before="180" w:after="60"/>
      </w:pPr>
      <w:r>
        <w:rPr>
          <w:b/>
          <w:color w:val="2E6B3E"/>
          <w:sz w:val="21"/>
        </w:rPr>
        <w:t>Le programme Climaxion et la délégation du Fonds chaleur</w:t>
      </w:r>
    </w:p>
    <w:p>
      <w:pPr>
        <w:jc w:val="both"/>
      </w:pPr>
      <w:r>
        <w:rPr>
          <w:b w:val="0"/>
          <w:i w:val="0"/>
          <w:sz w:val="21"/>
        </w:rPr>
        <w:t>Le programme Climaxion, conduit conjointement par l’ADEME et la Région Grand Est, a pour mission d’encourager le développement du bois-énergie et de la biomasse et de structurer les filières régionales. La signature, en janvier 2023, de la première convention de transition écologique conclue en France a confié à la Région une délégation d’une partie du Fonds chaleur de l’ADEME, de l’ordre de 24 millions d’euros sur trois ans, faisant du Grand Est un territoire pilote de l’accompagnement régional des projets de chaleur renouvelable.</w:t>
      </w:r>
    </w:p>
    <w:p>
      <w:pPr>
        <w:jc w:val="both"/>
      </w:pPr>
      <w:r>
        <w:rPr>
          <w:b w:val="0"/>
          <w:i w:val="0"/>
          <w:sz w:val="21"/>
        </w:rPr>
        <w:t>Cette configuration est propre au Grand Est : la Région y est à la fois partenaire territorial et gestionnaire déléguée d’un instrument national de soutien à la chaleur renouvelable.</w:t>
      </w:r>
    </w:p>
    <w:p>
      <w:pPr>
        <w:keepNext/>
        <w:spacing w:before="180" w:after="60"/>
      </w:pPr>
      <w:r>
        <w:rPr>
          <w:b/>
          <w:color w:val="2E6B3E"/>
          <w:sz w:val="21"/>
        </w:rPr>
        <w:t>Schéma régional biomasse et programme régional de la forêt et du bois</w:t>
      </w:r>
    </w:p>
    <w:p>
      <w:pPr>
        <w:jc w:val="both"/>
      </w:pPr>
      <w:r>
        <w:rPr>
          <w:b w:val="0"/>
          <w:i w:val="0"/>
          <w:sz w:val="21"/>
        </w:rPr>
        <w:t>Le schéma régional biomasse du Grand Est, dont le diagnostic a été adopté en 2021, s’articule avec le programme régional de la forêt et du bois 2018-2027, porté avec l’interprofession Fibois Grand Est. Le Grand Est est identifié au plan national comme la région offrant le plus fort potentiel d’augmentation de la récolte, avec une disponibilité supplémentaire estimée à environ 2,7 millions de mètres cubes, portant pour l’essentiel sur la forêt privée.</w:t>
      </w:r>
    </w:p>
    <w:p>
      <w:pPr>
        <w:jc w:val="both"/>
      </w:pPr>
      <w:r>
        <w:rPr>
          <w:b w:val="0"/>
          <w:i w:val="0"/>
          <w:sz w:val="21"/>
        </w:rPr>
        <w:t>Cette disponibilité demeure théorique en l’absence de débouché industriel contractualisé à l’échelle correspondante. Une unité de 120 000 tonnes par an, dont le besoin s’établit à environ 204 000 tonnes de bois entrant, constitue l’instrument industriel susceptible de transformer ce potentiel de mobilisation en débouché économique pour les propriétaires et les exploitants forestiers du massif.</w:t>
      </w:r>
    </w:p>
    <w:p>
      <w:pPr>
        <w:keepNext/>
        <w:spacing w:before="180" w:after="60"/>
      </w:pPr>
      <w:r>
        <w:rPr>
          <w:b/>
          <w:color w:val="2E6B3E"/>
          <w:sz w:val="21"/>
        </w:rPr>
        <w:t>SRDEII, appels à projets et contractualisation</w:t>
      </w:r>
    </w:p>
    <w:p>
      <w:pPr>
        <w:jc w:val="both"/>
      </w:pPr>
      <w:r>
        <w:rPr>
          <w:b w:val="0"/>
          <w:i w:val="0"/>
          <w:sz w:val="21"/>
        </w:rPr>
        <w:t>Le schéma régional de développement économique, d’innovation et d’internationalisation place les filières énergétiques d’avenir et la réindustrialisation des territoires au cœur de la stratégie économique régionale. Un investissement industriel de l’ordre de 67 millions d’euros, ancré territorialement, non délocalisable et relevant de la transition énergétique, relève de ces priorités. Au titre de la production thermique nécessaire au séchage, le projet entre dans le champ des appels à projets nationaux et régionaux dédiés à la biomasse industrielle, instruits en lien avec l’ADEME. La conférence des parties régionale, dans le cadre de France Nation Verte, constitue l’instance de contractualisation entre l’État, la Région et les acteurs territoriaux.</w:t>
      </w:r>
    </w:p>
    <w:p>
      <w:pPr>
        <w:keepNext/>
        <w:spacing w:before="240" w:after="80"/>
      </w:pPr>
      <w:r>
        <w:rPr>
          <w:b/>
          <w:color w:val="1F3B57"/>
          <w:sz w:val="24"/>
        </w:rPr>
        <w:t>4.3 Le Département des Vosges</w:t>
      </w:r>
    </w:p>
    <w:p>
      <w:pPr>
        <w:jc w:val="both"/>
      </w:pPr>
      <w:r>
        <w:rPr>
          <w:b w:val="0"/>
          <w:i w:val="0"/>
          <w:sz w:val="21"/>
        </w:rPr>
        <w:t>Le Département occupe une position déterminante dans l’économie du projet : il est propriétaire foncier d’origine, aménageur de la zone et garant de sa vocation économique. Il a acquis l’emprise de 302 hectares en 2005 et engagé 34 millions d’euros pour la doter d’un accès autoroutier et d’un embranchement ferroviaire.</w:t>
      </w:r>
    </w:p>
    <w:p>
      <w:pPr>
        <w:jc w:val="both"/>
      </w:pPr>
      <w:r>
        <w:rPr>
          <w:b w:val="0"/>
          <w:i w:val="0"/>
          <w:sz w:val="21"/>
        </w:rPr>
        <w:t>L’implantation d’une unité industrielle de 120 000 tonnes par an, expédiant majoritairement par voie ferrée, confère à cet investissement public structurant la valorisation productive correspondant à son dimensionnement. La richesse sylvicole de l’Ouest vosgien et des massifs limitrophes — Vosges, Haute-Marne, Meuse — offre par ailleurs un cadre propice à une démarche de charte forestière de territoire, associant propriétaires, exploitants, collectivités et acteurs économiques, en cohérence avec l’action de Fibois Grand Est et du Centre national de la propriété forestière.</w:t>
      </w:r>
    </w:p>
    <w:p>
      <w:pPr>
        <w:keepNext/>
        <w:spacing w:before="240" w:after="80"/>
      </w:pPr>
      <w:r>
        <w:rPr>
          <w:b/>
          <w:color w:val="1F3B57"/>
          <w:sz w:val="24"/>
        </w:rPr>
        <w:t>4.4 Intercommunalité et commune</w:t>
      </w:r>
    </w:p>
    <w:p>
      <w:pPr>
        <w:jc w:val="both"/>
      </w:pPr>
      <w:r>
        <w:rPr>
          <w:b w:val="0"/>
          <w:i w:val="0"/>
          <w:sz w:val="21"/>
        </w:rPr>
        <w:t>La zone d’activité Cap Vosges relève du territoire de la Communauté de communes de l’Ouest Vosgien, dont le document d’urbanisme intercommunal encadre l’accueil d’activités économiques. L’implantation d’une activité industrielle productive sur une zone d’activité dédiée, déjà aménagée et raccordée, correspond aux orientations que ce document et la stratégie de développement économique intercommunale privilégient : densification de l’usage productif du foncier d’activité existant, sans extension de l’enveloppe artificialisée, et consolidation de l’emploi dans un bassin rural. En tant que petite commune rurale d’un établissement de coopération rural, Damblain relève du zonage France Ruralités Revitalisation, qui ouvre droit à des exonérations fiscales et sociales pour les entreprises qui s’y implantent.</w:t>
      </w:r>
    </w:p>
    <w:p>
      <w:pPr>
        <w:jc w:val="both"/>
      </w:pPr>
      <w:r>
        <w:rPr>
          <w:b w:val="0"/>
          <w:i w:val="0"/>
          <w:sz w:val="21"/>
        </w:rPr>
        <w:t>Le site est situé très à l’écart des premières habitations et accueille déjà, sur la plateforme, des entreprises actives dans le bois et la valorisation de la biomasse, ce qui constitue un environnement industriel cohérent. L’ouverture de la municipalité au principe de l’implantation a été exprimée publiquement par le maire de Damblain. Le projet ne fait l’objet d’aucune opposition organisée.</w:t>
      </w:r>
    </w:p>
    <w:p>
      <w:pPr>
        <w:keepNext/>
        <w:spacing w:before="240" w:after="80"/>
      </w:pPr>
      <w:r>
        <w:rPr>
          <w:b/>
          <w:color w:val="1F3B57"/>
          <w:sz w:val="24"/>
        </w:rPr>
        <w:t>4.5 Autorisations et sécurisation</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F3B57"/>
          </w:tcPr>
          <w:p>
            <w:r/>
            <w:r>
              <w:rPr>
                <w:b/>
                <w:color w:val="FFFFFF"/>
                <w:sz w:val="18"/>
              </w:rPr>
              <w:t>Autorisation</w:t>
            </w:r>
          </w:p>
        </w:tc>
        <w:tc>
          <w:tcPr>
            <w:tcW w:type="dxa" w:w="3685"/>
            <w:shd w:val="clear" w:fill="1F3B57"/>
          </w:tcPr>
          <w:p>
            <w:r/>
            <w:r>
              <w:rPr>
                <w:b/>
                <w:color w:val="FFFFFF"/>
                <w:sz w:val="18"/>
              </w:rPr>
              <w:t>Statut</w:t>
            </w:r>
          </w:p>
        </w:tc>
        <w:tc>
          <w:tcPr>
            <w:tcW w:type="dxa" w:w="3402"/>
            <w:shd w:val="clear" w:fill="1F3B57"/>
          </w:tcPr>
          <w:p>
            <w:r/>
            <w:r>
              <w:rPr>
                <w:b/>
                <w:color w:val="FFFFFF"/>
                <w:sz w:val="18"/>
              </w:rPr>
              <w:t>Portée</w:t>
            </w:r>
          </w:p>
        </w:tc>
      </w:tr>
      <w:tr>
        <w:tc>
          <w:tcPr>
            <w:tcW w:type="dxa" w:w="2268"/>
          </w:tcPr>
          <w:p>
            <w:pPr>
              <w:spacing w:after="40"/>
            </w:pPr>
            <w:r/>
            <w:r>
              <w:rPr>
                <w:b w:val="0"/>
                <w:sz w:val="18"/>
              </w:rPr>
              <w:t>Permis de construire</w:t>
            </w:r>
          </w:p>
        </w:tc>
        <w:tc>
          <w:tcPr>
            <w:tcW w:type="dxa" w:w="3685"/>
          </w:tcPr>
          <w:p>
            <w:pPr>
              <w:spacing w:after="40"/>
            </w:pPr>
            <w:r/>
            <w:r>
              <w:rPr>
                <w:b w:val="0"/>
                <w:sz w:val="18"/>
              </w:rPr>
              <w:t>Obtenu, transféré à la société de projet, purgé de recours</w:t>
            </w:r>
          </w:p>
        </w:tc>
        <w:tc>
          <w:tcPr>
            <w:tcW w:type="dxa" w:w="3402"/>
          </w:tcPr>
          <w:p>
            <w:pPr>
              <w:spacing w:after="40"/>
            </w:pPr>
            <w:r/>
            <w:r>
              <w:rPr>
                <w:b w:val="0"/>
                <w:sz w:val="18"/>
              </w:rPr>
              <w:t>Construction de l’unité industrielle</w:t>
            </w:r>
          </w:p>
        </w:tc>
      </w:tr>
      <w:tr>
        <w:tc>
          <w:tcPr>
            <w:tcW w:type="dxa" w:w="2268"/>
          </w:tcPr>
          <w:p>
            <w:pPr>
              <w:spacing w:after="40"/>
            </w:pPr>
            <w:r/>
            <w:r>
              <w:rPr>
                <w:b w:val="0"/>
                <w:sz w:val="18"/>
              </w:rPr>
              <w:t>Autorisation environnementale</w:t>
            </w:r>
          </w:p>
        </w:tc>
        <w:tc>
          <w:tcPr>
            <w:tcW w:type="dxa" w:w="3685"/>
          </w:tcPr>
          <w:p>
            <w:pPr>
              <w:spacing w:after="40"/>
            </w:pPr>
            <w:r/>
            <w:r>
              <w:rPr>
                <w:b w:val="0"/>
                <w:sz w:val="18"/>
              </w:rPr>
              <w:t>Obtenue, transférée, purgée de recours</w:t>
            </w:r>
          </w:p>
        </w:tc>
        <w:tc>
          <w:tcPr>
            <w:tcW w:type="dxa" w:w="3402"/>
          </w:tcPr>
          <w:p>
            <w:pPr>
              <w:spacing w:after="40"/>
            </w:pPr>
            <w:r/>
            <w:r>
              <w:rPr>
                <w:b w:val="0"/>
                <w:sz w:val="18"/>
              </w:rPr>
              <w:t>Installation classée pour la protection de l’environnement</w:t>
            </w:r>
          </w:p>
        </w:tc>
      </w:tr>
      <w:tr>
        <w:tc>
          <w:tcPr>
            <w:tcW w:type="dxa" w:w="2268"/>
          </w:tcPr>
          <w:p>
            <w:pPr>
              <w:spacing w:after="40"/>
            </w:pPr>
            <w:r/>
            <w:r>
              <w:rPr>
                <w:b w:val="0"/>
                <w:sz w:val="18"/>
              </w:rPr>
              <w:t>Autorisation d’exploiter</w:t>
            </w:r>
          </w:p>
        </w:tc>
        <w:tc>
          <w:tcPr>
            <w:tcW w:type="dxa" w:w="3685"/>
          </w:tcPr>
          <w:p>
            <w:pPr>
              <w:spacing w:after="40"/>
            </w:pPr>
            <w:r/>
            <w:r>
              <w:rPr>
                <w:b w:val="0"/>
                <w:sz w:val="18"/>
              </w:rPr>
              <w:t>Obtenue, transférée, purgée de recours</w:t>
            </w:r>
          </w:p>
        </w:tc>
        <w:tc>
          <w:tcPr>
            <w:tcW w:type="dxa" w:w="3402"/>
          </w:tcPr>
          <w:p>
            <w:pPr>
              <w:spacing w:after="40"/>
            </w:pPr>
            <w:r/>
            <w:r>
              <w:rPr>
                <w:b w:val="0"/>
                <w:sz w:val="18"/>
              </w:rPr>
              <w:t>Exploitation de l’unité de granulation</w:t>
            </w:r>
          </w:p>
        </w:tc>
      </w:tr>
      <w:tr>
        <w:tc>
          <w:tcPr>
            <w:tcW w:type="dxa" w:w="2268"/>
          </w:tcPr>
          <w:p>
            <w:pPr>
              <w:spacing w:after="40"/>
            </w:pPr>
            <w:r/>
            <w:r>
              <w:rPr>
                <w:b w:val="0"/>
                <w:sz w:val="18"/>
              </w:rPr>
              <w:t>Maîtrise foncière</w:t>
            </w:r>
          </w:p>
        </w:tc>
        <w:tc>
          <w:tcPr>
            <w:tcW w:type="dxa" w:w="3685"/>
          </w:tcPr>
          <w:p>
            <w:pPr>
              <w:spacing w:after="40"/>
            </w:pPr>
            <w:r/>
            <w:r>
              <w:rPr>
                <w:b w:val="0"/>
                <w:sz w:val="18"/>
              </w:rPr>
              <w:t>Vente sécurisée au bénéfice de la société de projet</w:t>
            </w:r>
          </w:p>
        </w:tc>
        <w:tc>
          <w:tcPr>
            <w:tcW w:type="dxa" w:w="3402"/>
          </w:tcPr>
          <w:p>
            <w:pPr>
              <w:spacing w:after="40"/>
            </w:pPr>
            <w:r/>
            <w:r>
              <w:rPr>
                <w:b w:val="0"/>
                <w:sz w:val="18"/>
              </w:rPr>
              <w:t>Emprise sur la zone d’activité Cap Vosges</w:t>
            </w:r>
          </w:p>
        </w:tc>
      </w:tr>
    </w:tbl>
    <w:p>
      <w:pPr>
        <w:spacing w:after="80"/>
      </w:pPr>
    </w:p>
    <w:p>
      <w:r>
        <w:br w:type="page"/>
      </w:r>
    </w:p>
    <w:p>
      <w:pPr>
        <w:keepNext/>
        <w:spacing w:before="360" w:after="160"/>
        <w:pBdr>
          <w:bottom w:val="single" w:sz="8" w:space="2" w:color="1F3B57"/>
        </w:pBdr>
      </w:pPr>
      <w:r>
        <w:rPr>
          <w:b/>
          <w:color w:val="1F3B57"/>
          <w:sz w:val="28"/>
        </w:rPr>
        <w:t>PARTIE V — HIRSON (AISNE) : TROIS RIVIÈRES BIOPELLETS</w:t>
      </w:r>
    </w:p>
    <w:p>
      <w:pPr>
        <w:jc w:val="both"/>
      </w:pPr>
      <w:r>
        <w:rPr>
          <w:b w:val="0"/>
          <w:i/>
          <w:sz w:val="21"/>
        </w:rPr>
        <w:t>Capacité de production : 100 000 tonnes par an. Réhabilitation de la Rotonde de Buire, ancien site ferroviaire communal de 3,56 hectares. Autorisations en cours d’instruction ; foncier sécurisé par délibération du conseil municipal.</w:t>
      </w:r>
    </w:p>
    <w:p>
      <w:pPr>
        <w:keepNext/>
        <w:spacing w:before="240" w:after="80"/>
      </w:pPr>
      <w:r>
        <w:rPr>
          <w:b/>
          <w:color w:val="1F3B57"/>
          <w:sz w:val="24"/>
        </w:rPr>
        <w:t>5.1 Diagnostic territorial</w:t>
      </w:r>
    </w:p>
    <w:p>
      <w:pPr>
        <w:jc w:val="both"/>
      </w:pPr>
      <w:r>
        <w:rPr>
          <w:b w:val="0"/>
          <w:i w:val="0"/>
          <w:sz w:val="21"/>
        </w:rPr>
        <w:t>Hirson, commune centre de la Communauté de communes du Pays des Trois Rivières, compte 8 565 habitants (recensement 2022) et constitue le pôle urbain de référence des 26 communes de son intercommunalité. Ville frontalière aux confins des départements du Nord et des Ardennes, elle bénéficie d’une double richesse naturelle : une forêt communale de plus de 500 hectares et la proximité immédiate des forêts d’Hirson et de Saint-Michel. Son histoire industrielle s’est construite autour du chemin de fer : entre 1870 et 1930, sa position de carrefour des réseaux de l’Est et du Nord a porté le triplement de sa population et l’essor de la verrerie, de l’aciérie, de la fonderie et de la fromagerie.</w:t>
      </w:r>
    </w:p>
    <w:p>
      <w:pPr>
        <w:jc w:val="both"/>
      </w:pPr>
      <w:r>
        <w:rPr>
          <w:b w:val="0"/>
          <w:i w:val="0"/>
          <w:sz w:val="21"/>
        </w:rPr>
        <w:t>Le territoire présente aujourd’hui un profil socio-économique parmi les plus dégradés de France métropolitaine. Le taux de chômage communal s’établissait à 15,3 % de la population active au sens du Bureau international du travail en 2022 ; la zone d’emploi se classait 291e sur 321 ; le revenu moyen par habitant, de l’ordre de 16 460 euros annuels, se situe environ 20 % en deçà de la moyenne nationale ; la population décroît continûment depuis 1975. Deux quartiers prioritaires de la politique de la ville — Champ Roland et Bords de l’Oise d’une part, Gare et Verrière d’autre part — concentrent la précarité résidentielle.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fill="1F3B57"/>
          </w:tcPr>
          <w:p>
            <w:r/>
            <w:r>
              <w:rPr>
                <w:b/>
                <w:color w:val="FFFFFF"/>
                <w:sz w:val="18"/>
              </w:rPr>
              <w:t>Indicateur</w:t>
            </w:r>
          </w:p>
        </w:tc>
        <w:tc>
          <w:tcPr>
            <w:tcW w:type="dxa" w:w="2041"/>
            <w:shd w:val="clear" w:fill="1F3B57"/>
          </w:tcPr>
          <w:p>
            <w:r/>
            <w:r>
              <w:rPr>
                <w:b/>
                <w:color w:val="FFFFFF"/>
                <w:sz w:val="18"/>
              </w:rPr>
              <w:t>Hirson / Thiérache</w:t>
            </w:r>
          </w:p>
        </w:tc>
        <w:tc>
          <w:tcPr>
            <w:tcW w:type="dxa" w:w="2154"/>
            <w:shd w:val="clear" w:fill="1F3B57"/>
          </w:tcPr>
          <w:p>
            <w:r/>
            <w:r>
              <w:rPr>
                <w:b/>
                <w:color w:val="FFFFFF"/>
                <w:sz w:val="18"/>
              </w:rPr>
              <w:t>France métropolitaine</w:t>
            </w:r>
          </w:p>
        </w:tc>
        <w:tc>
          <w:tcPr>
            <w:tcW w:type="dxa" w:w="2324"/>
            <w:shd w:val="clear" w:fill="1F3B57"/>
          </w:tcPr>
          <w:p>
            <w:r/>
            <w:r>
              <w:rPr>
                <w:b/>
                <w:color w:val="FFFFFF"/>
                <w:sz w:val="18"/>
              </w:rPr>
              <w:t>Écart</w:t>
            </w:r>
          </w:p>
        </w:tc>
      </w:tr>
      <w:tr>
        <w:tc>
          <w:tcPr>
            <w:tcW w:type="dxa" w:w="2835"/>
          </w:tcPr>
          <w:p>
            <w:pPr>
              <w:spacing w:after="40"/>
            </w:pPr>
            <w:r/>
            <w:r>
              <w:rPr>
                <w:b w:val="0"/>
                <w:sz w:val="18"/>
              </w:rPr>
              <w:t>Taux de chômage communal (BIT 2022)</w:t>
            </w:r>
          </w:p>
        </w:tc>
        <w:tc>
          <w:tcPr>
            <w:tcW w:type="dxa" w:w="2041"/>
          </w:tcPr>
          <w:p>
            <w:pPr>
              <w:spacing w:after="40"/>
            </w:pPr>
            <w:r/>
            <w:r>
              <w:rPr>
                <w:b w:val="0"/>
                <w:sz w:val="18"/>
              </w:rPr>
              <w:t>15,3 %</w:t>
            </w:r>
          </w:p>
        </w:tc>
        <w:tc>
          <w:tcPr>
            <w:tcW w:type="dxa" w:w="2154"/>
          </w:tcPr>
          <w:p>
            <w:pPr>
              <w:spacing w:after="40"/>
            </w:pPr>
            <w:r/>
            <w:r>
              <w:rPr>
                <w:b w:val="0"/>
                <w:sz w:val="18"/>
              </w:rPr>
              <w:t>7,4 % (2024)</w:t>
            </w:r>
          </w:p>
        </w:tc>
        <w:tc>
          <w:tcPr>
            <w:tcW w:type="dxa" w:w="2324"/>
          </w:tcPr>
          <w:p>
            <w:pPr>
              <w:spacing w:after="40"/>
            </w:pPr>
            <w:r/>
            <w:r>
              <w:rPr>
                <w:b w:val="0"/>
                <w:sz w:val="18"/>
              </w:rPr>
              <w:t>+7,9 points</w:t>
            </w:r>
          </w:p>
        </w:tc>
      </w:tr>
      <w:tr>
        <w:tc>
          <w:tcPr>
            <w:tcW w:type="dxa" w:w="2835"/>
          </w:tcPr>
          <w:p>
            <w:pPr>
              <w:spacing w:after="40"/>
            </w:pPr>
            <w:r/>
            <w:r>
              <w:rPr>
                <w:b w:val="0"/>
                <w:sz w:val="18"/>
              </w:rPr>
              <w:t>Taux de chômage de la zone d’emploi (T4 2024)</w:t>
            </w:r>
          </w:p>
        </w:tc>
        <w:tc>
          <w:tcPr>
            <w:tcW w:type="dxa" w:w="2041"/>
          </w:tcPr>
          <w:p>
            <w:pPr>
              <w:spacing w:after="40"/>
            </w:pPr>
            <w:r/>
            <w:r>
              <w:rPr>
                <w:b w:val="0"/>
                <w:sz w:val="18"/>
              </w:rPr>
              <w:t>11,7 %</w:t>
            </w:r>
          </w:p>
        </w:tc>
        <w:tc>
          <w:tcPr>
            <w:tcW w:type="dxa" w:w="2154"/>
          </w:tcPr>
          <w:p>
            <w:pPr>
              <w:spacing w:after="40"/>
            </w:pPr>
            <w:r/>
            <w:r>
              <w:rPr>
                <w:b w:val="0"/>
                <w:sz w:val="18"/>
              </w:rPr>
              <w:t>7,4 %</w:t>
            </w:r>
          </w:p>
        </w:tc>
        <w:tc>
          <w:tcPr>
            <w:tcW w:type="dxa" w:w="2324"/>
          </w:tcPr>
          <w:p>
            <w:pPr>
              <w:spacing w:after="40"/>
            </w:pPr>
            <w:r/>
            <w:r>
              <w:rPr>
                <w:b w:val="0"/>
                <w:sz w:val="18"/>
              </w:rPr>
              <w:t>+4,3 points</w:t>
            </w:r>
          </w:p>
        </w:tc>
      </w:tr>
      <w:tr>
        <w:tc>
          <w:tcPr>
            <w:tcW w:type="dxa" w:w="2835"/>
          </w:tcPr>
          <w:p>
            <w:pPr>
              <w:spacing w:after="40"/>
            </w:pPr>
            <w:r/>
            <w:r>
              <w:rPr>
                <w:b w:val="0"/>
                <w:sz w:val="18"/>
              </w:rPr>
              <w:t>Classement de la zone d’emploi</w:t>
            </w:r>
          </w:p>
        </w:tc>
        <w:tc>
          <w:tcPr>
            <w:tcW w:type="dxa" w:w="2041"/>
          </w:tcPr>
          <w:p>
            <w:pPr>
              <w:spacing w:after="40"/>
            </w:pPr>
            <w:r/>
            <w:r>
              <w:rPr>
                <w:b w:val="0"/>
                <w:sz w:val="18"/>
              </w:rPr>
              <w:t>291e sur 321</w:t>
            </w:r>
          </w:p>
        </w:tc>
        <w:tc>
          <w:tcPr>
            <w:tcW w:type="dxa" w:w="2154"/>
          </w:tcPr>
          <w:p>
            <w:pPr>
              <w:spacing w:after="40"/>
            </w:pPr>
            <w:r/>
            <w:r>
              <w:rPr>
                <w:b w:val="0"/>
                <w:sz w:val="18"/>
              </w:rPr>
              <w:t>—</w:t>
            </w:r>
          </w:p>
        </w:tc>
        <w:tc>
          <w:tcPr>
            <w:tcW w:type="dxa" w:w="2324"/>
          </w:tcPr>
          <w:p>
            <w:pPr>
              <w:spacing w:after="40"/>
            </w:pPr>
            <w:r/>
            <w:r>
              <w:rPr>
                <w:b w:val="0"/>
                <w:sz w:val="18"/>
              </w:rPr>
              <w:t>Parmi les plus élevés</w:t>
            </w:r>
          </w:p>
        </w:tc>
      </w:tr>
      <w:tr>
        <w:tc>
          <w:tcPr>
            <w:tcW w:type="dxa" w:w="2835"/>
          </w:tcPr>
          <w:p>
            <w:pPr>
              <w:spacing w:after="40"/>
            </w:pPr>
            <w:r/>
            <w:r>
              <w:rPr>
                <w:b w:val="0"/>
                <w:sz w:val="18"/>
              </w:rPr>
              <w:t>Revenu moyen par habitant</w:t>
            </w:r>
          </w:p>
        </w:tc>
        <w:tc>
          <w:tcPr>
            <w:tcW w:type="dxa" w:w="2041"/>
          </w:tcPr>
          <w:p>
            <w:pPr>
              <w:spacing w:after="40"/>
            </w:pPr>
            <w:r/>
            <w:r>
              <w:rPr>
                <w:b w:val="0"/>
                <w:sz w:val="18"/>
              </w:rPr>
              <w:t>16 460 €</w:t>
            </w:r>
          </w:p>
        </w:tc>
        <w:tc>
          <w:tcPr>
            <w:tcW w:type="dxa" w:w="2154"/>
          </w:tcPr>
          <w:p>
            <w:pPr>
              <w:spacing w:after="40"/>
            </w:pPr>
            <w:r/>
            <w:r>
              <w:rPr>
                <w:b w:val="0"/>
                <w:sz w:val="18"/>
              </w:rPr>
              <w:t>20 590 €</w:t>
            </w:r>
          </w:p>
        </w:tc>
        <w:tc>
          <w:tcPr>
            <w:tcW w:type="dxa" w:w="2324"/>
          </w:tcPr>
          <w:p>
            <w:pPr>
              <w:spacing w:after="40"/>
            </w:pPr>
            <w:r/>
            <w:r>
              <w:rPr>
                <w:b w:val="0"/>
                <w:sz w:val="18"/>
              </w:rPr>
              <w:t>−20 %</w:t>
            </w:r>
          </w:p>
        </w:tc>
      </w:tr>
      <w:tr>
        <w:tc>
          <w:tcPr>
            <w:tcW w:type="dxa" w:w="2835"/>
          </w:tcPr>
          <w:p>
            <w:pPr>
              <w:spacing w:after="40"/>
            </w:pPr>
            <w:r/>
            <w:r>
              <w:rPr>
                <w:b w:val="0"/>
                <w:sz w:val="18"/>
              </w:rPr>
              <w:t>Évolution démographique</w:t>
            </w:r>
          </w:p>
        </w:tc>
        <w:tc>
          <w:tcPr>
            <w:tcW w:type="dxa" w:w="2041"/>
          </w:tcPr>
          <w:p>
            <w:pPr>
              <w:spacing w:after="40"/>
            </w:pPr>
            <w:r/>
            <w:r>
              <w:rPr>
                <w:b w:val="0"/>
                <w:sz w:val="18"/>
              </w:rPr>
              <w:t>En baisse continue depuis 1975</w:t>
            </w:r>
          </w:p>
        </w:tc>
        <w:tc>
          <w:tcPr>
            <w:tcW w:type="dxa" w:w="2154"/>
          </w:tcPr>
          <w:p>
            <w:pPr>
              <w:spacing w:after="40"/>
            </w:pPr>
            <w:r/>
            <w:r>
              <w:rPr>
                <w:b w:val="0"/>
                <w:sz w:val="18"/>
              </w:rPr>
              <w:t>—</w:t>
            </w:r>
          </w:p>
        </w:tc>
        <w:tc>
          <w:tcPr>
            <w:tcW w:type="dxa" w:w="2324"/>
          </w:tcPr>
          <w:p>
            <w:pPr>
              <w:spacing w:after="40"/>
            </w:pPr>
            <w:r/>
            <w:r>
              <w:rPr>
                <w:b w:val="0"/>
                <w:sz w:val="18"/>
              </w:rPr>
              <w:t>Déprise durable</w:t>
            </w:r>
          </w:p>
        </w:tc>
      </w:tr>
      <w:tr>
        <w:tc>
          <w:tcPr>
            <w:tcW w:type="dxa" w:w="2835"/>
          </w:tcPr>
          <w:p>
            <w:pPr>
              <w:spacing w:after="40"/>
            </w:pPr>
            <w:r/>
            <w:r>
              <w:rPr>
                <w:b w:val="0"/>
                <w:sz w:val="18"/>
              </w:rPr>
              <w:t>Quartiers prioritaires</w:t>
            </w:r>
          </w:p>
        </w:tc>
        <w:tc>
          <w:tcPr>
            <w:tcW w:type="dxa" w:w="2041"/>
          </w:tcPr>
          <w:p>
            <w:pPr>
              <w:spacing w:after="40"/>
            </w:pPr>
            <w:r/>
            <w:r>
              <w:rPr>
                <w:b w:val="0"/>
                <w:sz w:val="18"/>
              </w:rPr>
              <w:t>2</w:t>
            </w:r>
          </w:p>
        </w:tc>
        <w:tc>
          <w:tcPr>
            <w:tcW w:type="dxa" w:w="2154"/>
          </w:tcPr>
          <w:p>
            <w:pPr>
              <w:spacing w:after="40"/>
            </w:pPr>
            <w:r/>
            <w:r>
              <w:rPr>
                <w:b w:val="0"/>
                <w:sz w:val="18"/>
              </w:rPr>
              <w:t>—</w:t>
            </w:r>
          </w:p>
        </w:tc>
        <w:tc>
          <w:tcPr>
            <w:tcW w:type="dxa" w:w="2324"/>
          </w:tcPr>
          <w:p>
            <w:pPr>
              <w:spacing w:after="40"/>
            </w:pPr>
            <w:r/>
            <w:r>
              <w:rPr>
                <w:b w:val="0"/>
                <w:sz w:val="18"/>
              </w:rPr>
              <w:t>Précarité urbaine concentrée</w:t>
            </w:r>
          </w:p>
        </w:tc>
      </w:tr>
    </w:tbl>
    <w:p>
      <w:pPr>
        <w:spacing w:after="80"/>
      </w:pPr>
    </w:p>
    <w:p>
      <w:pPr>
        <w:jc w:val="both"/>
      </w:pPr>
      <w:r>
        <w:rPr>
          <w:b w:val="0"/>
          <w:i w:val="0"/>
          <w:sz w:val="21"/>
        </w:rPr>
        <w:t>La création de 30 emplois industriels permanents et d’une centaine d’emplois indirects représente, dans ce contexte, une injection économique significative au regard de la base productive locale : la masse salariale directe, de l’ordre de 1,1 à 1,4 million d’euros par an, est intégralement dépensée dans le bassin de vie.</w:t>
      </w:r>
    </w:p>
    <w:p>
      <w:pPr>
        <w:jc w:val="both"/>
      </w:pPr>
      <w:r>
        <w:rPr>
          <w:b w:val="0"/>
          <w:i w:val="0"/>
          <w:sz w:val="21"/>
        </w:rPr>
        <w:t>Le territoire dispose par ailleurs d’un gisement bocager considérable. La région recense de l’ordre de 20 000 kilomètres de haies et 10 000 arbres têtards dont l’entretien peut générer au moins 70 000 tonnes de bois par an, dont une faible part seulement est aujourd’hui valorisée en bois-énergie. La Thiérache et l’Avesnois, berceau du bocage thiérachien, en constituent le cœur.</w:t>
      </w:r>
    </w:p>
    <w:p>
      <w:pPr>
        <w:keepNext/>
        <w:spacing w:before="240" w:after="80"/>
      </w:pPr>
      <w:r>
        <w:rPr>
          <w:b/>
          <w:color w:val="1F3B57"/>
          <w:sz w:val="24"/>
        </w:rPr>
        <w:t>5.2 Inscription dans les cadres régionaux — Hauts-de-France</w:t>
      </w:r>
    </w:p>
    <w:p>
      <w:pPr>
        <w:keepNext/>
        <w:spacing w:before="180" w:after="60"/>
      </w:pPr>
      <w:r>
        <w:rPr>
          <w:b/>
          <w:color w:val="2E6B3E"/>
          <w:sz w:val="21"/>
        </w:rPr>
        <w:t>La stratégie Rev3</w:t>
      </w:r>
    </w:p>
    <w:p>
      <w:pPr>
        <w:jc w:val="both"/>
      </w:pPr>
      <w:r>
        <w:rPr>
          <w:b w:val="0"/>
          <w:i w:val="0"/>
          <w:sz w:val="21"/>
        </w:rPr>
        <w:t>La Révolution industrielle, numérique et énergétique constitue le cadre structurant de la stratégie économique des Hauts-de-France depuis 2015 : transformation de l’appareil productif régional vers une économie décarbonée et circulaire, portée conjointement par la Région, l’État, les entreprises et les territoires. Le projet en relève par ses caractéristiques propres : réindustrialisation d’un site en friche par une technologie de production d’énergie renouvelable, valorisation de la ressource forestière et bocagère régionale en circuit court, création d’emplois industriels non délocalisables, contribution à la décarbonation du chauffage. L’écosystème régional a accompagné le projet Picardie Granulation à Chaulnes, dans la Somme, unité de 100 000 tonnes par an livrée en mars 2025 et conduite par la même équipe.</w:t>
      </w:r>
    </w:p>
    <w:p>
      <w:pPr>
        <w:keepNext/>
        <w:spacing w:before="180" w:after="60"/>
      </w:pPr>
      <w:r>
        <w:rPr>
          <w:b/>
          <w:color w:val="2E6B3E"/>
          <w:sz w:val="21"/>
        </w:rPr>
        <w:t>Le SRADDET modifié en 2024</w:t>
      </w:r>
    </w:p>
    <w:p>
      <w:pPr>
        <w:jc w:val="both"/>
      </w:pPr>
      <w:r>
        <w:rPr>
          <w:b w:val="0"/>
          <w:i w:val="0"/>
          <w:sz w:val="21"/>
        </w:rPr>
        <w:t>Le schéma régional d’aménagement des Hauts-de-France, adopté le 30 juin 2020 et modifié en séance plénière le 21 novembre 2024, intègre une trajectoire chiffrée de réduction de 54,47 % de la consommation d’espaces naturels, agricoles et forestiers sur la période 2021-2031 par rapport à la décennie précédente, et renforce ses objectifs de réindustrialisation ciblée inscrits dans la stratégie Rev3. Dans un contexte où le foncier économique nouveau est fortement contraint, la réhabilitation d’un site industriel existant constitue l’opération que le schéma vise à promouvoir.</w:t>
      </w:r>
    </w:p>
    <w:p>
      <w:pPr>
        <w:jc w:val="both"/>
      </w:pPr>
      <w:r>
        <w:rPr>
          <w:b w:val="0"/>
          <w:i w:val="0"/>
          <w:sz w:val="21"/>
        </w:rPr>
        <w:t>Le schéma rappelle également la nécessité de privilégier le report modal vers le fluvial et le ferroviaire. Le projet intègre dès sa conception une option de transport ferroviaire des granulés depuis le site, en phase 2, rendue possible par la présence de voies adjacentes héritées de la vocation ferroviaire historique de la Rotonde.</w:t>
      </w:r>
    </w:p>
    <w:p>
      <w:pPr>
        <w:keepNext/>
        <w:spacing w:before="180" w:after="60"/>
      </w:pPr>
      <w:r>
        <w:rPr>
          <w:b/>
          <w:color w:val="2E6B3E"/>
          <w:sz w:val="21"/>
        </w:rPr>
        <w:t>SRDEII, Master Plan forêt-bois et FEDER</w:t>
      </w:r>
    </w:p>
    <w:p>
      <w:pPr>
        <w:jc w:val="both"/>
      </w:pPr>
      <w:r>
        <w:rPr>
          <w:b w:val="0"/>
          <w:i w:val="0"/>
          <w:sz w:val="21"/>
        </w:rPr>
        <w:t>Le schéma régional de développement économique 2022-2028, adopté le 8 décembre 2022, structure l’action économique régionale autour de six orientations et de neuf ambitions thématiques, dont l’ambition « Énergie ». Il prévoit la signature de conventions entre la Région et les intercommunalités pour déterminer les conditions d’intervention en matière d’aide aux entreprises.</w:t>
      </w:r>
    </w:p>
    <w:p>
      <w:pPr>
        <w:jc w:val="both"/>
      </w:pPr>
      <w:r>
        <w:rPr>
          <w:b w:val="0"/>
          <w:i w:val="0"/>
          <w:sz w:val="21"/>
        </w:rPr>
        <w:t>Le Master Plan forêt-bois 2022-2027, produit par la filière régionale en partenariat avec la Région, porte le développement de la filière bois-énergie parmi ses priorités. Les 35 scieries de première transformation de la région produisent environ la moitié de leurs volumes en connexes, gisement largement sous-valorisé faute de débouché industriel de grande capacité. Un besoin contractualisé de l’ordre de 170 000 tonnes de bois entrant par an constitue l’incitation économique permettant la structuration à l’échelle industrielle de la filière bocagère thiérachienne.</w:t>
      </w:r>
    </w:p>
    <w:p>
      <w:pPr>
        <w:jc w:val="both"/>
      </w:pPr>
      <w:r>
        <w:rPr>
          <w:b w:val="0"/>
          <w:i w:val="0"/>
          <w:sz w:val="21"/>
        </w:rPr>
        <w:t>Le programme régional FEDER 2021-2027, dont la Région est autorité de gestion, constitue un vecteur de cofinancement européen au titre de la transition verte et de la compétitivité des entreprises, pour un projet combinant réhabilitation de friche, création d’emplois industriels et production d’énergie renouvelable.</w:t>
      </w:r>
    </w:p>
    <w:p>
      <w:pPr>
        <w:keepNext/>
        <w:spacing w:before="240" w:after="80"/>
      </w:pPr>
      <w:r>
        <w:rPr>
          <w:b/>
          <w:color w:val="1F3B57"/>
          <w:sz w:val="24"/>
        </w:rPr>
        <w:t>5.3 Dispositifs de cohésion territoriale</w:t>
      </w:r>
    </w:p>
    <w:p>
      <w:pPr>
        <w:keepNext/>
        <w:spacing w:before="180" w:after="60"/>
      </w:pPr>
      <w:r>
        <w:rPr>
          <w:b/>
          <w:color w:val="2E6B3E"/>
          <w:sz w:val="21"/>
        </w:rPr>
        <w:t>Le Pacte pour la réussite de la Sambre-Avesnois-Thiérache</w:t>
      </w:r>
    </w:p>
    <w:p>
      <w:pPr>
        <w:jc w:val="both"/>
      </w:pPr>
      <w:r>
        <w:rPr>
          <w:b w:val="0"/>
          <w:i w:val="0"/>
          <w:sz w:val="21"/>
        </w:rPr>
        <w:t xml:space="preserve">Hirson est partie prenante du Pacte pour la réussite de la Sambre-Avesnois-Thiérache, démarche interdépartementale et interrégionale associant l’État, la Région Hauts-de-France, les Départements du Nord, de l’Aisne et du Pas-de-Calais et les intercommunalités concernées, sur un territoire de quelque 305 000 habitants. </w:t>
      </w:r>
      <w:r>
        <w:rPr>
          <w:b/>
          <w:i w:val="0"/>
          <w:sz w:val="21"/>
        </w:rPr>
        <w:t>Le troisième acte du Pacte a été signé le 2 septembre 2025 pour la période 2025-2029, avec 44 signataires, autour de trois axes prioritaires</w:t>
      </w:r>
      <w:r>
        <w:rPr>
          <w:b w:val="0"/>
          <w:i w:val="0"/>
          <w:sz w:val="21"/>
        </w:rPr>
        <w:t>, parmi lesquels le renouveau économique et industriel du territoire. Un projet industriel de 48 millions d’euros créateur de 30 emplois directs et d’une centaine d’emplois indirects, implanté sur une friche du périmètre, relève directement de ce cadre.</w:t>
      </w:r>
    </w:p>
    <w:p>
      <w:pPr>
        <w:keepNext/>
        <w:spacing w:before="180" w:after="60"/>
      </w:pPr>
      <w:r>
        <w:rPr>
          <w:b/>
          <w:color w:val="2E6B3E"/>
          <w:sz w:val="21"/>
        </w:rPr>
        <w:t>Petite Ville de Demain, contrat de ville et Territoires d’industrie</w:t>
      </w:r>
    </w:p>
    <w:p>
      <w:pPr>
        <w:jc w:val="both"/>
      </w:pPr>
      <w:r>
        <w:rPr>
          <w:b w:val="0"/>
          <w:i w:val="0"/>
          <w:sz w:val="21"/>
        </w:rPr>
        <w:t>Hirson est labellisée Petite Ville de Demain par l’État, labellisation qui ouvre l’accès à des ressources d’ingénierie et à des financements complémentaires, et qui est prise en compte dans la priorisation des dispositifs de recyclage foncier.</w:t>
      </w:r>
    </w:p>
    <w:p>
      <w:pPr>
        <w:jc w:val="both"/>
      </w:pPr>
      <w:r>
        <w:rPr>
          <w:b w:val="0"/>
          <w:i w:val="0"/>
          <w:sz w:val="21"/>
        </w:rPr>
        <w:t>La commune est la seule de son intercommunalité inscrite en politique de la ville. Le contrat de ville 2024-2030, signé en mars 2024, rassemble la préfecture, la Région, le Département, la caisse d’allocations familiales, l’agence régionale de santé, la mission locale pour l’emploi de Thiérache, France Travail et les bailleurs sociaux autour d’objectifs d’accès à l’emploi et de requalification urbaine. Le quartier Gare et Verrière jouxte la zone ferroviaire et industrielle d’implantation. Le programme Territoires d’industrie, dans sa phase 2023-2027, offre par ailleurs un cadre d’appui et d’ingénierie fondé sur une gouvernance associant élus et industriels.</w:t>
      </w:r>
    </w:p>
    <w:p>
      <w:pPr>
        <w:keepNext/>
        <w:spacing w:before="240" w:after="80"/>
      </w:pPr>
      <w:r>
        <w:rPr>
          <w:b/>
          <w:color w:val="1F3B57"/>
          <w:sz w:val="24"/>
        </w:rPr>
        <w:t>5.4 Foncier et insertion locale</w:t>
      </w:r>
    </w:p>
    <w:p>
      <w:pPr>
        <w:jc w:val="both"/>
      </w:pPr>
      <w:r>
        <w:rPr>
          <w:b w:val="0"/>
          <w:i w:val="0"/>
          <w:sz w:val="21"/>
        </w:rPr>
        <w:t>Le foncier appartient à la commune. Le conseil municipal a délibéré la cession des parcelles BD 84, BD 93 et BD 95, soit 35 629 mètres carrés de terrain industriel, au bénéfice de la société de projet, au prix de 1,12 million d’euros hors taxes, la proposition foncière ayant été obtenue le 10 décembre 2025. La configuration est simple : propriétaire unique, absence de morcellement, de copropriété complexe et de contentieux de délimitation.</w:t>
      </w:r>
    </w:p>
    <w:p>
      <w:pPr>
        <w:jc w:val="both"/>
      </w:pPr>
      <w:r>
        <w:rPr>
          <w:b w:val="0"/>
          <w:i w:val="0"/>
          <w:sz w:val="21"/>
        </w:rPr>
        <w:t>L’ancien site ferroviaire présente des caractéristiques directement exploitables : surfaces planes artificialisées adaptées à l’implantation d’une unité de granulation, accès poids-lourds existants, réseaux industriels en place, voies ferroviaires adjacentes. Le site est desservi par la RD 1043 et relié aux axes vers Maubeuge, Laon, Saint-Quentin et Reims. La position frontalière ouvre par ailleurs l’accès au marché belge, fortement consommateur de granulés.</w:t>
      </w:r>
    </w:p>
    <w:p>
      <w:pPr>
        <w:jc w:val="both"/>
      </w:pPr>
      <w:r>
        <w:rPr>
          <w:b w:val="0"/>
          <w:i w:val="0"/>
          <w:sz w:val="21"/>
        </w:rPr>
        <w:t>En tant qu’ancien site ferroviaire et industriel, l’emprise est classée en zone à vocation industrielle au document d’urbanisme communal. La hauteur des silos de stockage et de la cheminée de chaufferie appelle une vérification de compatibilité avec les règles de gabarit ; le cas échéant, une modification simplifiée du document d’urbanisme, d’une durée de trois à six mois, sera engagée en concertation avec la commune et la direction départementale des territoires. Ce point est traité au stade des études détaillées, en parallèle de l’instruction du permis de construire.</w:t>
      </w:r>
    </w:p>
    <w:p>
      <w:r>
        <w:br w:type="page"/>
      </w:r>
    </w:p>
    <w:p>
      <w:pPr>
        <w:keepNext/>
        <w:spacing w:before="360" w:after="160"/>
        <w:pBdr>
          <w:bottom w:val="single" w:sz="8" w:space="2" w:color="1F3B57"/>
        </w:pBdr>
      </w:pPr>
      <w:r>
        <w:rPr>
          <w:b/>
          <w:color w:val="1F3B57"/>
          <w:sz w:val="28"/>
        </w:rPr>
        <w:t>PARTIE VI — ÉCOMMOY (SARTHE) : DYNAMIS</w:t>
      </w:r>
    </w:p>
    <w:p>
      <w:pPr>
        <w:jc w:val="both"/>
      </w:pPr>
      <w:r>
        <w:rPr>
          <w:b w:val="0"/>
          <w:i/>
          <w:sz w:val="21"/>
        </w:rPr>
        <w:t>Capacité de production : 92 000 tonnes par an. Réhabilitation de la friche industrielle BELIPA, emprise de 8,5 hectares dont 8 500 m² couverts. Projet autorisé, purgé de recours.</w:t>
      </w:r>
    </w:p>
    <w:p>
      <w:pPr>
        <w:keepNext/>
        <w:spacing w:before="240" w:after="80"/>
      </w:pPr>
      <w:r>
        <w:rPr>
          <w:b/>
          <w:color w:val="1F3B57"/>
          <w:sz w:val="24"/>
        </w:rPr>
        <w:t>6.1 Diagnostic territorial</w:t>
      </w:r>
    </w:p>
    <w:p>
      <w:pPr>
        <w:jc w:val="both"/>
      </w:pPr>
      <w:r>
        <w:rPr>
          <w:b w:val="0"/>
          <w:i w:val="0"/>
          <w:sz w:val="21"/>
        </w:rPr>
        <w:t>Écommoy, commune de 4 868 habitants, chef-lieu de canton et pôle de services du sud-Sarthe, appartient à la Communauté de communes Orée de Bercé-Bélinois, qui regroupe 8 communes et 19 486 habitants. Située à vingt kilomètres au sud du Mans, elle bénéficie d’un accès direct au nœud autoroutier regroupant l’A11, l’A10, l’A28 et l’A81, carrefour de la logistique du Grand Ouest. Son territoire jouxte la forêt domaniale de Bercé, labellisée Forêt d’Exception depuis 2017, qui couvre 5 406 hectares.</w:t>
      </w:r>
    </w:p>
    <w:p>
      <w:pPr>
        <w:jc w:val="both"/>
      </w:pPr>
      <w:r>
        <w:rPr>
          <w:b w:val="0"/>
          <w:i w:val="0"/>
          <w:sz w:val="21"/>
        </w:rPr>
        <w:t>Le profil socio-économique de la commune n’est pas celui d’un territoire en déprise aiguë : le taux de chômage communal, de 8,1 % en 2022, est proche de la moyenne nationale, et la commune bénéficie de l’attractivité résidentielle de la couronne mancelle. Sa fragilité est d’une autre nature : dépendance aux emplois du Mans, érosion de la base économique productive locale, revenu médian départemental inférieur de 4,7 % à la médiane nationale, prix de l’immobilier inférieur de 29,7 %.</w:t>
      </w:r>
    </w:p>
    <w:p>
      <w:pPr>
        <w:jc w:val="both"/>
      </w:pPr>
      <w:r>
        <w:rPr>
          <w:b w:val="0"/>
          <w:i w:val="0"/>
          <w:sz w:val="21"/>
        </w:rPr>
        <w:t>L’histoire industrielle récente de la commune est marquée par la liquidation judiciaire de BELIPA, prononcée le 31 octobre 2012 après dix-huit mois de procédure et douze dossiers de reprise étudiés sans aboutir, entraînant la suppression de 118 emplois directs ; la cessation d’activité a été déclarée en novembre 2014. BELIPA, spécialisée dans la fabrication de panneaux de particules puis dans la production de composants de meubles, consommait entre 120 000 et 150 000 tonnes de résidus de bois par an. Son arrêt a contraint les opérateurs forestiers locaux à expédier leur bois vers d’autres régions, parfois à plusieurs centaines de kilomètres, voire à l’étranger.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fill="1F3B57"/>
          </w:tcPr>
          <w:p>
            <w:r/>
            <w:r>
              <w:rPr>
                <w:b/>
                <w:color w:val="FFFFFF"/>
                <w:sz w:val="18"/>
              </w:rPr>
              <w:t>Indicateur</w:t>
            </w:r>
          </w:p>
        </w:tc>
        <w:tc>
          <w:tcPr>
            <w:tcW w:type="dxa" w:w="2041"/>
            <w:shd w:val="clear" w:fill="1F3B57"/>
          </w:tcPr>
          <w:p>
            <w:r/>
            <w:r>
              <w:rPr>
                <w:b/>
                <w:color w:val="FFFFFF"/>
                <w:sz w:val="18"/>
              </w:rPr>
              <w:t>Écommoy / Sarthe</w:t>
            </w:r>
          </w:p>
        </w:tc>
        <w:tc>
          <w:tcPr>
            <w:tcW w:type="dxa" w:w="2154"/>
            <w:shd w:val="clear" w:fill="1F3B57"/>
          </w:tcPr>
          <w:p>
            <w:r/>
            <w:r>
              <w:rPr>
                <w:b/>
                <w:color w:val="FFFFFF"/>
                <w:sz w:val="18"/>
              </w:rPr>
              <w:t>France métropolitaine</w:t>
            </w:r>
          </w:p>
        </w:tc>
        <w:tc>
          <w:tcPr>
            <w:tcW w:type="dxa" w:w="2324"/>
            <w:shd w:val="clear" w:fill="1F3B57"/>
          </w:tcPr>
          <w:p>
            <w:r/>
            <w:r>
              <w:rPr>
                <w:b/>
                <w:color w:val="FFFFFF"/>
                <w:sz w:val="18"/>
              </w:rPr>
              <w:t>Écart</w:t>
            </w:r>
          </w:p>
        </w:tc>
      </w:tr>
      <w:tr>
        <w:tc>
          <w:tcPr>
            <w:tcW w:type="dxa" w:w="2835"/>
          </w:tcPr>
          <w:p>
            <w:pPr>
              <w:spacing w:after="40"/>
            </w:pPr>
            <w:r/>
            <w:r>
              <w:rPr>
                <w:b w:val="0"/>
                <w:sz w:val="18"/>
              </w:rPr>
              <w:t>Taux de chômage communal (BIT 2022)</w:t>
            </w:r>
          </w:p>
        </w:tc>
        <w:tc>
          <w:tcPr>
            <w:tcW w:type="dxa" w:w="2041"/>
          </w:tcPr>
          <w:p>
            <w:pPr>
              <w:spacing w:after="40"/>
            </w:pPr>
            <w:r/>
            <w:r>
              <w:rPr>
                <w:b w:val="0"/>
                <w:sz w:val="18"/>
              </w:rPr>
              <w:t>8,1 %</w:t>
            </w:r>
          </w:p>
        </w:tc>
        <w:tc>
          <w:tcPr>
            <w:tcW w:type="dxa" w:w="2154"/>
          </w:tcPr>
          <w:p>
            <w:pPr>
              <w:spacing w:after="40"/>
            </w:pPr>
            <w:r/>
            <w:r>
              <w:rPr>
                <w:b w:val="0"/>
                <w:sz w:val="18"/>
              </w:rPr>
              <w:t>7,4 % (2024)</w:t>
            </w:r>
          </w:p>
        </w:tc>
        <w:tc>
          <w:tcPr>
            <w:tcW w:type="dxa" w:w="2324"/>
          </w:tcPr>
          <w:p>
            <w:pPr>
              <w:spacing w:after="40"/>
            </w:pPr>
            <w:r/>
            <w:r>
              <w:rPr>
                <w:b w:val="0"/>
                <w:sz w:val="18"/>
              </w:rPr>
              <w:t>+0,7 point</w:t>
            </w:r>
          </w:p>
        </w:tc>
      </w:tr>
      <w:tr>
        <w:tc>
          <w:tcPr>
            <w:tcW w:type="dxa" w:w="2835"/>
          </w:tcPr>
          <w:p>
            <w:pPr>
              <w:spacing w:after="40"/>
            </w:pPr>
            <w:r/>
            <w:r>
              <w:rPr>
                <w:b w:val="0"/>
                <w:sz w:val="18"/>
              </w:rPr>
              <w:t>Revenu médian annuel (Sarthe)</w:t>
            </w:r>
          </w:p>
        </w:tc>
        <w:tc>
          <w:tcPr>
            <w:tcW w:type="dxa" w:w="2041"/>
          </w:tcPr>
          <w:p>
            <w:pPr>
              <w:spacing w:after="40"/>
            </w:pPr>
            <w:r/>
            <w:r>
              <w:rPr>
                <w:b w:val="0"/>
                <w:sz w:val="18"/>
              </w:rPr>
              <w:t>21 590 €</w:t>
            </w:r>
          </w:p>
        </w:tc>
        <w:tc>
          <w:tcPr>
            <w:tcW w:type="dxa" w:w="2154"/>
          </w:tcPr>
          <w:p>
            <w:pPr>
              <w:spacing w:after="40"/>
            </w:pPr>
            <w:r/>
            <w:r>
              <w:rPr>
                <w:b w:val="0"/>
                <w:sz w:val="18"/>
              </w:rPr>
              <w:t>22 660 €</w:t>
            </w:r>
          </w:p>
        </w:tc>
        <w:tc>
          <w:tcPr>
            <w:tcW w:type="dxa" w:w="2324"/>
          </w:tcPr>
          <w:p>
            <w:pPr>
              <w:spacing w:after="40"/>
            </w:pPr>
            <w:r/>
            <w:r>
              <w:rPr>
                <w:b w:val="0"/>
                <w:sz w:val="18"/>
              </w:rPr>
              <w:t>−4,7 %</w:t>
            </w:r>
          </w:p>
        </w:tc>
      </w:tr>
      <w:tr>
        <w:tc>
          <w:tcPr>
            <w:tcW w:type="dxa" w:w="2835"/>
          </w:tcPr>
          <w:p>
            <w:pPr>
              <w:spacing w:after="40"/>
            </w:pPr>
            <w:r/>
            <w:r>
              <w:rPr>
                <w:b w:val="0"/>
                <w:sz w:val="18"/>
              </w:rPr>
              <w:t>Prix médian de l’immobilier (Sarthe)</w:t>
            </w:r>
          </w:p>
        </w:tc>
        <w:tc>
          <w:tcPr>
            <w:tcW w:type="dxa" w:w="2041"/>
          </w:tcPr>
          <w:p>
            <w:pPr>
              <w:spacing w:after="40"/>
            </w:pPr>
            <w:r/>
            <w:r>
              <w:rPr>
                <w:b w:val="0"/>
                <w:sz w:val="18"/>
              </w:rPr>
              <w:t>1 783 €/m²</w:t>
            </w:r>
          </w:p>
        </w:tc>
        <w:tc>
          <w:tcPr>
            <w:tcW w:type="dxa" w:w="2154"/>
          </w:tcPr>
          <w:p>
            <w:pPr>
              <w:spacing w:after="40"/>
            </w:pPr>
            <w:r/>
            <w:r>
              <w:rPr>
                <w:b w:val="0"/>
                <w:sz w:val="18"/>
              </w:rPr>
              <w:t>2 536 €/m²</w:t>
            </w:r>
          </w:p>
        </w:tc>
        <w:tc>
          <w:tcPr>
            <w:tcW w:type="dxa" w:w="2324"/>
          </w:tcPr>
          <w:p>
            <w:pPr>
              <w:spacing w:after="40"/>
            </w:pPr>
            <w:r/>
            <w:r>
              <w:rPr>
                <w:b w:val="0"/>
                <w:sz w:val="18"/>
              </w:rPr>
              <w:t>−29,7 %</w:t>
            </w:r>
          </w:p>
        </w:tc>
      </w:tr>
      <w:tr>
        <w:tc>
          <w:tcPr>
            <w:tcW w:type="dxa" w:w="2835"/>
          </w:tcPr>
          <w:p>
            <w:pPr>
              <w:spacing w:after="40"/>
            </w:pPr>
            <w:r/>
            <w:r>
              <w:rPr>
                <w:b w:val="0"/>
                <w:sz w:val="18"/>
              </w:rPr>
              <w:t>Population communale (2023)</w:t>
            </w:r>
          </w:p>
        </w:tc>
        <w:tc>
          <w:tcPr>
            <w:tcW w:type="dxa" w:w="2041"/>
          </w:tcPr>
          <w:p>
            <w:pPr>
              <w:spacing w:after="40"/>
            </w:pPr>
            <w:r/>
            <w:r>
              <w:rPr>
                <w:b w:val="0"/>
                <w:sz w:val="18"/>
              </w:rPr>
              <w:t>4 868 hab.</w:t>
            </w:r>
          </w:p>
        </w:tc>
        <w:tc>
          <w:tcPr>
            <w:tcW w:type="dxa" w:w="2154"/>
          </w:tcPr>
          <w:p>
            <w:pPr>
              <w:spacing w:after="40"/>
            </w:pPr>
            <w:r/>
            <w:r>
              <w:rPr>
                <w:b w:val="0"/>
                <w:sz w:val="18"/>
              </w:rPr>
              <w:t>—</w:t>
            </w:r>
          </w:p>
        </w:tc>
        <w:tc>
          <w:tcPr>
            <w:tcW w:type="dxa" w:w="2324"/>
          </w:tcPr>
          <w:p>
            <w:pPr>
              <w:spacing w:after="40"/>
            </w:pPr>
            <w:r/>
            <w:r>
              <w:rPr>
                <w:b w:val="0"/>
                <w:sz w:val="18"/>
              </w:rPr>
              <w:t>—</w:t>
            </w:r>
          </w:p>
        </w:tc>
      </w:tr>
      <w:tr>
        <w:tc>
          <w:tcPr>
            <w:tcW w:type="dxa" w:w="2835"/>
          </w:tcPr>
          <w:p>
            <w:pPr>
              <w:spacing w:after="40"/>
            </w:pPr>
            <w:r/>
            <w:r>
              <w:rPr>
                <w:b w:val="0"/>
                <w:sz w:val="18"/>
              </w:rPr>
              <w:t>Emplois industriels supprimés en 2012</w:t>
            </w:r>
          </w:p>
        </w:tc>
        <w:tc>
          <w:tcPr>
            <w:tcW w:type="dxa" w:w="2041"/>
          </w:tcPr>
          <w:p>
            <w:pPr>
              <w:spacing w:after="40"/>
            </w:pPr>
            <w:r/>
            <w:r>
              <w:rPr>
                <w:b w:val="0"/>
                <w:sz w:val="18"/>
              </w:rPr>
              <w:t>118 (BELIPA)</w:t>
            </w:r>
          </w:p>
        </w:tc>
        <w:tc>
          <w:tcPr>
            <w:tcW w:type="dxa" w:w="2154"/>
          </w:tcPr>
          <w:p>
            <w:pPr>
              <w:spacing w:after="40"/>
            </w:pPr>
            <w:r/>
            <w:r>
              <w:rPr>
                <w:b w:val="0"/>
                <w:sz w:val="18"/>
              </w:rPr>
              <w:t>—</w:t>
            </w:r>
          </w:p>
        </w:tc>
        <w:tc>
          <w:tcPr>
            <w:tcW w:type="dxa" w:w="2324"/>
          </w:tcPr>
          <w:p>
            <w:pPr>
              <w:spacing w:after="40"/>
            </w:pPr>
            <w:r/>
            <w:r>
              <w:rPr>
                <w:b w:val="0"/>
                <w:sz w:val="18"/>
              </w:rPr>
              <w:t>—</w:t>
            </w:r>
          </w:p>
        </w:tc>
      </w:tr>
    </w:tbl>
    <w:p>
      <w:pPr>
        <w:spacing w:after="80"/>
      </w:pPr>
    </w:p>
    <w:p>
      <w:pPr>
        <w:jc w:val="both"/>
      </w:pPr>
      <w:r>
        <w:rPr>
          <w:b w:val="0"/>
          <w:i w:val="0"/>
          <w:sz w:val="21"/>
        </w:rPr>
        <w:t>Le projet ne crée donc pas un usage nouveau sur ce site : il rétablit un débouché industriel pour la filière bois locale, interrompu depuis la fermeture de l’usine.</w:t>
      </w:r>
    </w:p>
    <w:p>
      <w:pPr>
        <w:keepNext/>
        <w:spacing w:before="240" w:after="80"/>
      </w:pPr>
      <w:r>
        <w:rPr>
          <w:b/>
          <w:color w:val="1F3B57"/>
          <w:sz w:val="24"/>
        </w:rPr>
        <w:t>6.2 Inscription dans les cadres régionaux — Pays de la Loire</w:t>
      </w:r>
    </w:p>
    <w:p>
      <w:pPr>
        <w:keepNext/>
        <w:spacing w:before="180" w:after="60"/>
      </w:pPr>
      <w:r>
        <w:rPr>
          <w:b/>
          <w:color w:val="2E6B3E"/>
          <w:sz w:val="21"/>
        </w:rPr>
        <w:t>Le SRADDET approuvé le 7 février 2022</w:t>
      </w:r>
    </w:p>
    <w:p>
      <w:pPr>
        <w:jc w:val="both"/>
      </w:pPr>
      <w:r>
        <w:rPr>
          <w:b w:val="0"/>
          <w:i w:val="0"/>
          <w:sz w:val="21"/>
        </w:rPr>
        <w:t>Le schéma régional d’aménagement des Pays de la Loire articule trente objectifs autour de deux priorités : conjuguer attractivité et équilibre des territoires, et réussir la transition écologique en préservant les identités territoriales ligériennes. Il fixe l’ambition d’une région à énergie positive en 2050 et soutient un mix énergétique mobilisant les ressources naturelles régionales, la biomasse-énergie étant citée aux côtés de l’éolien, du solaire et de la méthanisation.</w:t>
      </w:r>
    </w:p>
    <w:p>
      <w:pPr>
        <w:jc w:val="both"/>
      </w:pPr>
      <w:r>
        <w:rPr>
          <w:b w:val="0"/>
          <w:i w:val="0"/>
          <w:sz w:val="21"/>
        </w:rPr>
        <w:t>Le projet y répond sur trois registres : la production d’énergie renouvelable à partir de biomasse locale ; le renforcement des fonctions productives d’un territoire périurbain dont la base économique s’est érodée ; et la sobriété foncière, le schéma intégrant les objectifs de la loi Climat et Résilience. Sur ce dernier point, le commissaire enquêteur a expressément relevé, au terme de l’enquête publique, que « le site retenu est conforme aux dispositions du document d’urbanisme intercommunal pour ce type d’activités », qu’il « s’inscrit dans une dynamique locale de proximité » et qu’il « présente, en outre, l’avantage de ne pas consommer de foncier ».</w:t>
      </w:r>
    </w:p>
    <w:p>
      <w:pPr>
        <w:keepNext/>
        <w:spacing w:before="180" w:after="60"/>
      </w:pPr>
      <w:r>
        <w:rPr>
          <w:b/>
          <w:color w:val="2E6B3E"/>
          <w:sz w:val="21"/>
        </w:rPr>
        <w:t>SRDEII et schéma régional biomasse</w:t>
      </w:r>
    </w:p>
    <w:p>
      <w:pPr>
        <w:jc w:val="both"/>
      </w:pPr>
      <w:r>
        <w:rPr>
          <w:b w:val="0"/>
          <w:i w:val="0"/>
          <w:sz w:val="21"/>
        </w:rPr>
        <w:t>Le schéma régional de développement économique 2022-2028 consacre, en priorité 11, le développement des filières énergétiques d’avenir et l’accélération des projets d’énergie renouvelable, en articulation avec la compétence régionale en matière de formation professionnelle. Un investissement industriel de 56 millions d’euros créant 30 emplois qualifiés non délocalisables et structurant une filière d’approvisionnement locale relève de cette priorité.</w:t>
      </w:r>
    </w:p>
    <w:p>
      <w:pPr>
        <w:jc w:val="both"/>
      </w:pPr>
      <w:r>
        <w:rPr>
          <w:b w:val="0"/>
          <w:i w:val="0"/>
          <w:sz w:val="21"/>
        </w:rPr>
        <w:t>Le schéma régional biomasse, arrêté le 14 décembre 2020, fixe des objectifs quantitatifs de mobilisation à l’horizon 2030 et rappelle la hiérarchie des usages. Il souligne que, malgré un taux de boisement régional de 11 %, la disponibilité de la biomasse demeure suffisante pour développer de nouveaux projets. En 2024, la région comptait 540 chaufferies collectives et industrielles produisant 1 522 GWh d’énergie finale bois-énergie. La Sarthe, avec un taux de boisement de 19 %, le plus élevé de la région, et la proximité de la forêt de Bercé, des massifs du Bélinois, du Perche méridional et du bocage sarthois, constitue le gisement prioritaire régional.</w:t>
      </w:r>
    </w:p>
    <w:p>
      <w:pPr>
        <w:jc w:val="both"/>
      </w:pPr>
      <w:r>
        <w:rPr>
          <w:b w:val="0"/>
          <w:i w:val="0"/>
          <w:sz w:val="21"/>
        </w:rPr>
        <w:t>Le dimensionnement de l’unité à 92 000 tonnes par an, correspondant à un besoin d’environ 156 000 tonnes de bois entrant, procède de cette disponibilité : il est calé sur la ressource mobilisable dans le rayon d’approvisionnement retenu — Sarthe, Indre-et-Loire, Orne, Mayenne et Maine-et-Loire.</w:t>
      </w:r>
    </w:p>
    <w:p>
      <w:pPr>
        <w:keepNext/>
        <w:spacing w:before="240" w:after="80"/>
      </w:pPr>
      <w:r>
        <w:rPr>
          <w:b/>
          <w:color w:val="1F3B57"/>
          <w:sz w:val="24"/>
        </w:rPr>
        <w:t>6.3 Intercommunalité et échelon supra-intercommunal</w:t>
      </w:r>
    </w:p>
    <w:p>
      <w:pPr>
        <w:jc w:val="both"/>
      </w:pPr>
      <w:r>
        <w:rPr>
          <w:b w:val="0"/>
          <w:i w:val="0"/>
          <w:sz w:val="21"/>
        </w:rPr>
        <w:t>Écommoy bénéficie depuis 2021 du programme national Petites Villes de Demain. La convention-cadre valant opération de revitalisation de territoire, signée le 21 décembre 2022, regroupe trois centralités — Écommoy, le pôle Laigné–Saint-Gervais-en-Belin et Teloché — et définit trente actions prioritaires réparties en quatre axes stratégiques, dont l’attractivité du territoire et la qualité du cadre de vie.</w:t>
      </w:r>
    </w:p>
    <w:p>
      <w:pPr>
        <w:jc w:val="both"/>
      </w:pPr>
      <w:r>
        <w:rPr>
          <w:b w:val="0"/>
          <w:i w:val="0"/>
          <w:sz w:val="21"/>
        </w:rPr>
        <w:t xml:space="preserve">La commune est classée en </w:t>
      </w:r>
      <w:r>
        <w:rPr>
          <w:b/>
          <w:i w:val="0"/>
          <w:sz w:val="21"/>
        </w:rPr>
        <w:t>zone France Ruralités Revitalisation</w:t>
      </w:r>
      <w:r>
        <w:rPr>
          <w:b w:val="0"/>
          <w:i w:val="0"/>
          <w:sz w:val="21"/>
        </w:rPr>
        <w:t xml:space="preserve"> depuis le 1er juillet 2024, aux côtés de Marigné-Laillé, Saint-Biez-en-Belin et Saint-Ouen-en-Belin, ce qui ouvre droit à des exonérations fiscales et sociales pour les entreprises qui s’y implantent.</w:t>
      </w:r>
    </w:p>
    <w:p>
      <w:pPr>
        <w:jc w:val="both"/>
      </w:pPr>
      <w:r>
        <w:rPr>
          <w:b w:val="0"/>
          <w:i w:val="0"/>
          <w:sz w:val="21"/>
        </w:rPr>
        <w:t>Le contrat de relance et de transition écologique du territoire articule les investissements publics locaux avec les objectifs de transition écologique et de revitalisation économique ; la réhabilitation de la friche BELIPA relève de sa dimension de recyclage foncier. À l’échelon supra-intercommunal, le schéma de cohérence territoriale du Pays du Mans encourage ce type d’opération dans ses orientations relatives à l’économie circulaire et au recyclage foncier, et le plan climat-air-énergie territorial du Pays du Mans trouve dans le projet une contribution directe, en production locale d’énergie renouvelable comme en valorisation de la biomasse ligneuse en circuit court.</w:t>
      </w:r>
    </w:p>
    <w:p>
      <w:pPr>
        <w:jc w:val="both"/>
      </w:pPr>
      <w:r>
        <w:rPr>
          <w:b w:val="0"/>
          <w:i w:val="0"/>
          <w:sz w:val="21"/>
        </w:rPr>
        <w:t>La richesse sylvicole du territoire offre enfin le cadre d’une charte forestière de territoire, en articulation avec la SICA Bois Énergie du Maine et l’Union des CUMA des Pays de la Loire, à laquelle le projet apporte l’ancrage économique d’un débouché contractualisé.</w:t>
      </w:r>
    </w:p>
    <w:p>
      <w:pPr>
        <w:keepNext/>
        <w:spacing w:before="240" w:after="80"/>
      </w:pPr>
      <w:r>
        <w:rPr>
          <w:b/>
          <w:color w:val="1F3B57"/>
          <w:sz w:val="24"/>
        </w:rPr>
        <w:t>6.4 Foncier, autorisations et insertion locale</w:t>
      </w:r>
    </w:p>
    <w:p>
      <w:pPr>
        <w:jc w:val="both"/>
      </w:pPr>
      <w:r>
        <w:rPr>
          <w:b w:val="0"/>
          <w:i w:val="0"/>
          <w:sz w:val="21"/>
        </w:rPr>
        <w:t>Le site est implanté au 101 route de Tours, à environ un kilomètre à l’est du centre-bourg et à moins d’un kilomètre de l’A28. Le bornage cadastral réalisé en décembre 2025 a identifié les parcelles AL65 et AL79, acquises par la société de projet, les parcelles voisines demeurant la propriété de JB Sol Transports et de Métamex. Le site déploie une superficie de 8,5 hectares, avec 8 500 mètres carrés d’entrepôts couverts et d’importantes zones de stockage extérieur.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fill="1F3B57"/>
          </w:tcPr>
          <w:p>
            <w:r/>
            <w:r>
              <w:rPr>
                <w:b/>
                <w:color w:val="FFFFFF"/>
                <w:sz w:val="18"/>
              </w:rPr>
              <w:t>Autorisation</w:t>
            </w:r>
          </w:p>
        </w:tc>
        <w:tc>
          <w:tcPr>
            <w:tcW w:type="dxa" w:w="2268"/>
            <w:shd w:val="clear" w:fill="1F3B57"/>
          </w:tcPr>
          <w:p>
            <w:r/>
            <w:r>
              <w:rPr>
                <w:b/>
                <w:color w:val="FFFFFF"/>
                <w:sz w:val="18"/>
              </w:rPr>
              <w:t>Date d’obtention</w:t>
            </w:r>
          </w:p>
        </w:tc>
        <w:tc>
          <w:tcPr>
            <w:tcW w:type="dxa" w:w="1984"/>
            <w:shd w:val="clear" w:fill="1F3B57"/>
          </w:tcPr>
          <w:p>
            <w:r/>
            <w:r>
              <w:rPr>
                <w:b/>
                <w:color w:val="FFFFFF"/>
                <w:sz w:val="18"/>
              </w:rPr>
              <w:t>Transfert</w:t>
            </w:r>
          </w:p>
        </w:tc>
        <w:tc>
          <w:tcPr>
            <w:tcW w:type="dxa" w:w="2268"/>
            <w:shd w:val="clear" w:fill="1F3B57"/>
          </w:tcPr>
          <w:p>
            <w:r/>
            <w:r>
              <w:rPr>
                <w:b/>
                <w:color w:val="FFFFFF"/>
                <w:sz w:val="18"/>
              </w:rPr>
              <w:t>Statut</w:t>
            </w:r>
          </w:p>
        </w:tc>
      </w:tr>
      <w:tr>
        <w:tc>
          <w:tcPr>
            <w:tcW w:type="dxa" w:w="2835"/>
          </w:tcPr>
          <w:p>
            <w:pPr>
              <w:spacing w:after="40"/>
            </w:pPr>
            <w:r/>
            <w:r>
              <w:rPr>
                <w:b w:val="0"/>
                <w:sz w:val="18"/>
              </w:rPr>
              <w:t>Permis de construire</w:t>
            </w:r>
          </w:p>
        </w:tc>
        <w:tc>
          <w:tcPr>
            <w:tcW w:type="dxa" w:w="2268"/>
          </w:tcPr>
          <w:p>
            <w:pPr>
              <w:spacing w:after="40"/>
            </w:pPr>
            <w:r/>
            <w:r>
              <w:rPr>
                <w:b w:val="0"/>
                <w:sz w:val="18"/>
              </w:rPr>
              <w:t>9 avril 2024</w:t>
            </w:r>
          </w:p>
        </w:tc>
        <w:tc>
          <w:tcPr>
            <w:tcW w:type="dxa" w:w="1984"/>
          </w:tcPr>
          <w:p>
            <w:pPr>
              <w:spacing w:after="40"/>
            </w:pPr>
            <w:r/>
            <w:r>
              <w:rPr>
                <w:b w:val="0"/>
                <w:sz w:val="18"/>
              </w:rPr>
              <w:t>8 décembre 2025</w:t>
            </w:r>
          </w:p>
        </w:tc>
        <w:tc>
          <w:tcPr>
            <w:tcW w:type="dxa" w:w="2268"/>
          </w:tcPr>
          <w:p>
            <w:pPr>
              <w:spacing w:after="40"/>
            </w:pPr>
            <w:r/>
            <w:r>
              <w:rPr>
                <w:b w:val="0"/>
                <w:sz w:val="18"/>
              </w:rPr>
              <w:t>Obtenu — purgé de recours</w:t>
            </w:r>
          </w:p>
        </w:tc>
      </w:tr>
      <w:tr>
        <w:tc>
          <w:tcPr>
            <w:tcW w:type="dxa" w:w="2835"/>
          </w:tcPr>
          <w:p>
            <w:pPr>
              <w:spacing w:after="40"/>
            </w:pPr>
            <w:r/>
            <w:r>
              <w:rPr>
                <w:b w:val="0"/>
                <w:sz w:val="18"/>
              </w:rPr>
              <w:t>Autorisation environnementale (ICPE)</w:t>
            </w:r>
          </w:p>
        </w:tc>
        <w:tc>
          <w:tcPr>
            <w:tcW w:type="dxa" w:w="2268"/>
          </w:tcPr>
          <w:p>
            <w:pPr>
              <w:spacing w:after="40"/>
            </w:pPr>
            <w:r/>
            <w:r>
              <w:rPr>
                <w:b w:val="0"/>
                <w:sz w:val="18"/>
              </w:rPr>
              <w:t>Juin 2024 (arrêté préfectoral)</w:t>
            </w:r>
          </w:p>
        </w:tc>
        <w:tc>
          <w:tcPr>
            <w:tcW w:type="dxa" w:w="1984"/>
          </w:tcPr>
          <w:p>
            <w:pPr>
              <w:spacing w:after="40"/>
            </w:pPr>
            <w:r/>
            <w:r>
              <w:rPr>
                <w:b w:val="0"/>
                <w:sz w:val="18"/>
              </w:rPr>
              <w:t>13 novembre 2025</w:t>
            </w:r>
          </w:p>
        </w:tc>
        <w:tc>
          <w:tcPr>
            <w:tcW w:type="dxa" w:w="2268"/>
          </w:tcPr>
          <w:p>
            <w:pPr>
              <w:spacing w:after="40"/>
            </w:pPr>
            <w:r/>
            <w:r>
              <w:rPr>
                <w:b w:val="0"/>
                <w:sz w:val="18"/>
              </w:rPr>
              <w:t>Obtenue — purgée de recours</w:t>
            </w:r>
          </w:p>
        </w:tc>
      </w:tr>
    </w:tbl>
    <w:p>
      <w:pPr>
        <w:spacing w:after="80"/>
      </w:pPr>
    </w:p>
    <w:p>
      <w:pPr>
        <w:jc w:val="both"/>
      </w:pPr>
      <w:r>
        <w:rPr>
          <w:b w:val="0"/>
          <w:i w:val="0"/>
          <w:sz w:val="21"/>
        </w:rPr>
        <w:t>L’autorisation environnementale a été délivrée au terme d’une enquête publique conduite de novembre 2023 à janvier 2024, avec avis favorable du commissaire enquêteur et des communes voisines, et après avis favorables de l’agence régionale de santé, de la direction départementale des territoires et du service départemental d’incendie et de secours.</w:t>
      </w:r>
    </w:p>
    <w:p>
      <w:pPr>
        <w:jc w:val="both"/>
      </w:pPr>
      <w:r>
        <w:rPr>
          <w:b w:val="0"/>
          <w:i w:val="0"/>
          <w:sz w:val="21"/>
        </w:rPr>
        <w:t>Le soutien municipal est formalisé : le maire d’Écommoy a délivré le 16 septembre 2025 un certificat de non-retrait et de non-recours confirmant l’affichage du permis de construire en mairie pendant deux mois sans contestation, et a signé le transfert du permis à la société de projet le 8 décembre 2025. La zone ne fait l’objet d’aucune opposition locale.</w:t>
      </w:r>
    </w:p>
    <w:p>
      <w:pPr>
        <w:jc w:val="both"/>
      </w:pPr>
      <w:r>
        <w:rPr>
          <w:b w:val="0"/>
          <w:i w:val="0"/>
          <w:sz w:val="21"/>
        </w:rPr>
        <w:t>JB Sol Transports, opérateur du site depuis la liquidation de BELIPA et à l’origine du projet de granulation, est spécialisée dans le transport en vrac, le négoce de sous-produits bois et le stockage de matériaux ; elle traite 30 000 tonnes de résidus de scieries, 5 000 tonnes de plaquettes forestières et 15 000 tonnes de déchets verts par an. Sa connaissance du bassin d’approvisionnement constitue un atout pour la structuration des chaînes d’approvisionnement.</w:t>
      </w:r>
    </w:p>
    <w:p>
      <w:r>
        <w:br w:type="page"/>
      </w:r>
    </w:p>
    <w:p>
      <w:pPr>
        <w:keepNext/>
        <w:spacing w:before="360" w:after="160"/>
        <w:pBdr>
          <w:bottom w:val="single" w:sz="8" w:space="2" w:color="1F3B57"/>
        </w:pBdr>
      </w:pPr>
      <w:r>
        <w:rPr>
          <w:b/>
          <w:color w:val="1F3B57"/>
          <w:sz w:val="28"/>
        </w:rPr>
        <w:t>PARTIE VII — LECTURE CONSOLIDÉE</w:t>
      </w:r>
    </w:p>
    <w:p>
      <w:pPr>
        <w:keepNext/>
        <w:spacing w:before="240" w:after="80"/>
      </w:pPr>
      <w:r>
        <w:rPr>
          <w:b/>
          <w:color w:val="1F3B57"/>
          <w:sz w:val="24"/>
        </w:rPr>
        <w:t>7.1 Une cohérence d’ensemble</w:t>
      </w:r>
    </w:p>
    <w:p>
      <w:pPr>
        <w:jc w:val="both"/>
      </w:pPr>
      <w:r>
        <w:rPr>
          <w:b w:val="0"/>
          <w:i w:val="0"/>
          <w:sz w:val="21"/>
        </w:rPr>
        <w:t>Examinés séparément, les trois projets constituent trois implantations industrielles régionales. Examinés ensemble, ils présentent quatre caractéristiques qui les rattachent à une même démarche.</w:t>
      </w:r>
    </w:p>
    <w:p>
      <w:pPr>
        <w:pStyle w:val="ListBullet"/>
        <w:spacing w:after="60"/>
        <w:ind w:left="340"/>
        <w:jc w:val="both"/>
      </w:pPr>
      <w:r>
        <w:rPr>
          <w:b/>
          <w:sz w:val="21"/>
        </w:rPr>
        <w:t>Trois bassins d’approvisionnement disjoints.</w:t>
      </w:r>
      <w:r>
        <w:rPr>
          <w:b w:val="0"/>
          <w:sz w:val="21"/>
        </w:rPr>
        <w:t xml:space="preserve"> Les rayons de 150 kilomètres du Grand Est, des Hauts-de-France et des Pays de la Loire ne se recouvrent pas. Les unités ne se concurrencent pas sur la ressource, et chaque bassin dispose d’un gisement de connexes et de bois sans débouché d’œuvre supérieur au besoin de l’unité qui s’y implante.</w:t>
      </w:r>
    </w:p>
    <w:p>
      <w:pPr>
        <w:pStyle w:val="ListBullet"/>
        <w:spacing w:after="60"/>
        <w:ind w:left="340"/>
        <w:jc w:val="both"/>
      </w:pPr>
      <w:r>
        <w:rPr>
          <w:b/>
          <w:sz w:val="21"/>
        </w:rPr>
        <w:t>Trois opérations de recyclage foncier.</w:t>
      </w:r>
      <w:r>
        <w:rPr>
          <w:b w:val="0"/>
          <w:sz w:val="21"/>
        </w:rPr>
        <w:t xml:space="preserve"> Une emprise militaire, un site ferroviaire, une friche industrielle : trois configurations de reconversion, aucune consommation d’espace naturel, agricole ou forestier.</w:t>
      </w:r>
    </w:p>
    <w:p>
      <w:pPr>
        <w:pStyle w:val="ListBullet"/>
        <w:spacing w:after="60"/>
        <w:ind w:left="340"/>
        <w:jc w:val="both"/>
      </w:pPr>
      <w:r>
        <w:rPr>
          <w:b/>
          <w:sz w:val="21"/>
        </w:rPr>
        <w:t>Un standard industriel et une équipe communs.</w:t>
      </w:r>
      <w:r>
        <w:rPr>
          <w:b w:val="0"/>
          <w:sz w:val="21"/>
        </w:rPr>
        <w:t xml:space="preserve"> Procédé standardisé, certification ENplus, contractualisation longue de l’amont et de l’aval, structuration des contrats de construction avec garanties de performance. L’équipe a conduit le projet Picardie Granulation à Chaulnes, unité de 100 000 tonnes par an livrée en mars 2025, de la structuration juridique et financière jusqu’à la mise en service.</w:t>
      </w:r>
    </w:p>
    <w:p>
      <w:pPr>
        <w:pStyle w:val="ListBullet"/>
        <w:spacing w:after="60"/>
        <w:ind w:left="340"/>
        <w:jc w:val="both"/>
      </w:pPr>
      <w:r>
        <w:rPr>
          <w:b/>
          <w:sz w:val="21"/>
        </w:rPr>
        <w:t>Un effet d’échelle sur l’emploi et sur la filière.</w:t>
      </w:r>
      <w:r>
        <w:rPr>
          <w:b w:val="0"/>
          <w:sz w:val="21"/>
        </w:rPr>
        <w:t xml:space="preserve"> 90 emplois directs et environ 300 emplois indirects, répartis sur trois bassins ruraux ou post-industriels, avec dans chaque cas une chaîne de valeur locale : scieries, exploitants forestiers, déchiquetage, transport amont et aval, maintenance, négoce.</w:t>
      </w:r>
    </w:p>
    <w:p>
      <w:pPr>
        <w:keepNext/>
        <w:spacing w:before="240" w:after="80"/>
      </w:pPr>
      <w:r>
        <w:rPr>
          <w:b/>
          <w:color w:val="1F3B57"/>
          <w:sz w:val="24"/>
        </w:rPr>
        <w:t>7.2 Contribution aux politiques publiques, par échelon</w:t>
      </w:r>
    </w:p>
    <w:tbl>
      <w:tblPr>
        <w:tblStyle w:val="TableGrid"/>
        <w:tblW w:type="auto" w:w="0"/>
        <w:jc w:val="center"/>
        <w:tblLook w:firstColumn="1" w:firstRow="1" w:lastColumn="0" w:lastRow="0" w:noHBand="0" w:noVBand="1" w:val="04A0"/>
      </w:tblPr>
      <w:tblGrid>
        <w:gridCol w:w="4873"/>
        <w:gridCol w:w="4873"/>
      </w:tblGrid>
      <w:tr>
        <w:tc>
          <w:tcPr>
            <w:tcW w:type="dxa" w:w="2268"/>
            <w:shd w:val="clear" w:fill="1F3B57"/>
          </w:tcPr>
          <w:p>
            <w:r/>
            <w:r>
              <w:rPr>
                <w:b/>
                <w:color w:val="FFFFFF"/>
                <w:sz w:val="18"/>
              </w:rPr>
              <w:t>Échelon</w:t>
            </w:r>
          </w:p>
        </w:tc>
        <w:tc>
          <w:tcPr>
            <w:tcW w:type="dxa" w:w="7087"/>
            <w:shd w:val="clear" w:fill="1F3B57"/>
          </w:tcPr>
          <w:p>
            <w:r/>
            <w:r>
              <w:rPr>
                <w:b/>
                <w:color w:val="FFFFFF"/>
                <w:sz w:val="18"/>
              </w:rPr>
              <w:t>Contribution des trois projets</w:t>
            </w:r>
          </w:p>
        </w:tc>
      </w:tr>
      <w:tr>
        <w:tc>
          <w:tcPr>
            <w:tcW w:type="dxa" w:w="2268"/>
          </w:tcPr>
          <w:p>
            <w:pPr>
              <w:spacing w:after="40"/>
            </w:pPr>
            <w:r/>
            <w:r>
              <w:rPr>
                <w:b/>
                <w:sz w:val="18"/>
              </w:rPr>
              <w:t>État et services déconcentrés</w:t>
            </w:r>
          </w:p>
        </w:tc>
        <w:tc>
          <w:tcPr>
            <w:tcW w:type="dxa" w:w="7087"/>
          </w:tcPr>
          <w:p>
            <w:pPr>
              <w:spacing w:after="40"/>
            </w:pPr>
            <w:r/>
            <w:r>
              <w:rPr>
                <w:b w:val="0"/>
                <w:sz w:val="18"/>
              </w:rPr>
              <w:t>Trois implantations industrielles conformes aux trajectoires de la programmation pluriannuelle de l’énergie et de la stratégie bas-carbone, sans consommation foncière, dans des territoires relevant des politiques de cohésion : zonage France Ruralités Revitalisation, Petites Villes de Demain, contrat de ville, Pacte pour la réussite de la Sambre-Avesnois-Thiérache, Territoires d’industrie.</w:t>
            </w:r>
          </w:p>
        </w:tc>
      </w:tr>
      <w:tr>
        <w:tc>
          <w:tcPr>
            <w:tcW w:type="dxa" w:w="2268"/>
          </w:tcPr>
          <w:p>
            <w:pPr>
              <w:spacing w:after="40"/>
            </w:pPr>
            <w:r/>
            <w:r>
              <w:rPr>
                <w:b/>
                <w:sz w:val="18"/>
              </w:rPr>
              <w:t>Régions</w:t>
            </w:r>
          </w:p>
        </w:tc>
        <w:tc>
          <w:tcPr>
            <w:tcW w:type="dxa" w:w="7087"/>
          </w:tcPr>
          <w:p>
            <w:pPr>
              <w:spacing w:after="40"/>
            </w:pPr>
            <w:r/>
            <w:r>
              <w:rPr>
                <w:b w:val="0"/>
                <w:sz w:val="18"/>
              </w:rPr>
              <w:t>Exécution concrète des objectifs des schémas régionaux d’aménagement, des schémas régionaux biomasse et des schémas de développement économique ; transformation d’un potentiel de mobilisation forestière en débouché industriel contractualisé.</w:t>
            </w:r>
          </w:p>
        </w:tc>
      </w:tr>
      <w:tr>
        <w:tc>
          <w:tcPr>
            <w:tcW w:type="dxa" w:w="2268"/>
          </w:tcPr>
          <w:p>
            <w:pPr>
              <w:spacing w:after="40"/>
            </w:pPr>
            <w:r/>
            <w:r>
              <w:rPr>
                <w:b/>
                <w:sz w:val="18"/>
              </w:rPr>
              <w:t>Départements</w:t>
            </w:r>
          </w:p>
        </w:tc>
        <w:tc>
          <w:tcPr>
            <w:tcW w:type="dxa" w:w="7087"/>
          </w:tcPr>
          <w:p>
            <w:pPr>
              <w:spacing w:after="40"/>
            </w:pPr>
            <w:r/>
            <w:r>
              <w:rPr>
                <w:b w:val="0"/>
                <w:sz w:val="18"/>
              </w:rPr>
              <w:t>Valorisation productive d’un investissement public d’aménagement dans les Vosges ; structuration d’une chaîne de valeur forestière et bocagère locale dans l’Aisne et la Sarthe.</w:t>
            </w:r>
          </w:p>
        </w:tc>
      </w:tr>
      <w:tr>
        <w:tc>
          <w:tcPr>
            <w:tcW w:type="dxa" w:w="2268"/>
          </w:tcPr>
          <w:p>
            <w:pPr>
              <w:spacing w:after="40"/>
            </w:pPr>
            <w:r/>
            <w:r>
              <w:rPr>
                <w:b/>
                <w:sz w:val="18"/>
              </w:rPr>
              <w:t>Intercommunalités et communes</w:t>
            </w:r>
          </w:p>
        </w:tc>
        <w:tc>
          <w:tcPr>
            <w:tcW w:type="dxa" w:w="7087"/>
          </w:tcPr>
          <w:p>
            <w:pPr>
              <w:spacing w:after="40"/>
            </w:pPr>
            <w:r/>
            <w:r>
              <w:rPr>
                <w:b w:val="0"/>
                <w:sz w:val="18"/>
              </w:rPr>
              <w:t>Emplois permanents locaux, consolidation de la base fiscale, requalification de sites dégradés ou sous-utilisés, sans extension de l’enveloppe artificialisée ni implantation en zone d’habitat.</w:t>
            </w:r>
          </w:p>
        </w:tc>
      </w:tr>
    </w:tbl>
    <w:p>
      <w:pPr>
        <w:spacing w:after="80"/>
      </w:pPr>
    </w:p>
    <w:p>
      <w:pPr>
        <w:keepNext/>
        <w:spacing w:before="240" w:after="80"/>
      </w:pPr>
      <w:r>
        <w:rPr>
          <w:b/>
          <w:color w:val="1F3B57"/>
          <w:sz w:val="24"/>
        </w:rPr>
        <w:t>7.3 Performance environnementale consolidée</w:t>
      </w:r>
    </w:p>
    <w:p>
      <w:pPr>
        <w:jc w:val="both"/>
      </w:pPr>
      <w:r>
        <w:rPr>
          <w:b w:val="0"/>
          <w:i w:val="0"/>
          <w:sz w:val="21"/>
        </w:rPr>
        <w:t>Les trois projets cumulent quatre dimensions d’économie circulaire et de transition écologique :</w:t>
      </w:r>
    </w:p>
    <w:p>
      <w:pPr>
        <w:pStyle w:val="ListBullet"/>
        <w:spacing w:after="60"/>
        <w:ind w:left="340"/>
        <w:jc w:val="both"/>
      </w:pPr>
      <w:r>
        <w:rPr>
          <w:b/>
          <w:sz w:val="21"/>
        </w:rPr>
        <w:t>Valorisation des connexes et des sous-produits.</w:t>
      </w:r>
      <w:r>
        <w:rPr>
          <w:b w:val="0"/>
          <w:sz w:val="21"/>
        </w:rPr>
        <w:t xml:space="preserve"> Les unités valorisent des connexes de scieries, des bois d’éclaircie et de faible diamètre, des houppiers, des plaquettes forestières, des bois scolytés et des produits de coupes sanitaires, dans le respect de la hiérarchie des usages. L’autoconsommation de 30 % des écorces issues des bois ronds dans la chaudière de séchage, à Damblain et à Hirson, prolonge cette logique à l’intérieur même du procédé.</w:t>
      </w:r>
    </w:p>
    <w:p>
      <w:pPr>
        <w:pStyle w:val="ListBullet"/>
        <w:spacing w:after="60"/>
        <w:ind w:left="340"/>
        <w:jc w:val="both"/>
      </w:pPr>
      <w:r>
        <w:rPr>
          <w:b/>
          <w:sz w:val="21"/>
        </w:rPr>
        <w:t>Recyclage foncier.</w:t>
      </w:r>
      <w:r>
        <w:rPr>
          <w:b w:val="0"/>
          <w:sz w:val="21"/>
        </w:rPr>
        <w:t xml:space="preserve"> Aucune consommation d’espace naturel, agricole ou forestier sur les trois sites.</w:t>
      </w:r>
    </w:p>
    <w:p>
      <w:pPr>
        <w:pStyle w:val="ListBullet"/>
        <w:spacing w:after="60"/>
        <w:ind w:left="340"/>
        <w:jc w:val="both"/>
      </w:pPr>
      <w:r>
        <w:rPr>
          <w:b/>
          <w:sz w:val="21"/>
        </w:rPr>
        <w:t>Circuit court et report modal.</w:t>
      </w:r>
      <w:r>
        <w:rPr>
          <w:b w:val="0"/>
          <w:sz w:val="21"/>
        </w:rPr>
        <w:t xml:space="preserve"> Approvisionnement dans un rayon d’environ 150 kilomètres ; expédition majoritairement ferroviaire à Damblain, raccordement ferroviaire prévu en phase 2 à Hirson.</w:t>
      </w:r>
    </w:p>
    <w:p>
      <w:pPr>
        <w:pStyle w:val="ListBullet"/>
        <w:spacing w:after="60"/>
        <w:ind w:left="340"/>
        <w:jc w:val="both"/>
      </w:pPr>
      <w:r>
        <w:rPr>
          <w:b/>
          <w:sz w:val="21"/>
        </w:rPr>
        <w:t>Gestion durable de la ressource forestière.</w:t>
      </w:r>
      <w:r>
        <w:rPr>
          <w:b w:val="0"/>
          <w:sz w:val="21"/>
        </w:rPr>
        <w:t xml:space="preserve"> Approvisionnement certifié PEFC ou FSC, garantissant le respect des plans de gestion forestière.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701"/>
            <w:shd w:val="clear" w:fill="1F3B57"/>
          </w:tcPr>
          <w:p>
            <w:r/>
            <w:r>
              <w:rPr>
                <w:b/>
                <w:color w:val="FFFFFF"/>
                <w:sz w:val="18"/>
              </w:rPr>
              <w:t>Site</w:t>
            </w:r>
          </w:p>
        </w:tc>
        <w:tc>
          <w:tcPr>
            <w:tcW w:type="dxa" w:w="1701"/>
            <w:shd w:val="clear" w:fill="1F3B57"/>
          </w:tcPr>
          <w:p>
            <w:r/>
            <w:r>
              <w:rPr>
                <w:b/>
                <w:color w:val="FFFFFF"/>
                <w:sz w:val="18"/>
              </w:rPr>
              <w:t>Capacité</w:t>
            </w:r>
          </w:p>
        </w:tc>
        <w:tc>
          <w:tcPr>
            <w:tcW w:type="dxa" w:w="1984"/>
            <w:shd w:val="clear" w:fill="1F3B57"/>
          </w:tcPr>
          <w:p>
            <w:r/>
            <w:r>
              <w:rPr>
                <w:b/>
                <w:color w:val="FFFFFF"/>
                <w:sz w:val="18"/>
              </w:rPr>
              <w:t>Énergie (PCI)</w:t>
            </w:r>
          </w:p>
        </w:tc>
        <w:tc>
          <w:tcPr>
            <w:tcW w:type="dxa" w:w="1984"/>
            <w:shd w:val="clear" w:fill="1F3B57"/>
          </w:tcPr>
          <w:p>
            <w:r/>
            <w:r>
              <w:rPr>
                <w:b/>
                <w:color w:val="FFFFFF"/>
                <w:sz w:val="18"/>
              </w:rPr>
              <w:t>CO₂ évité — référence gaz naturel</w:t>
            </w:r>
          </w:p>
        </w:tc>
        <w:tc>
          <w:tcPr>
            <w:tcW w:type="dxa" w:w="1984"/>
            <w:shd w:val="clear" w:fill="1F3B57"/>
          </w:tcPr>
          <w:p>
            <w:r/>
            <w:r>
              <w:rPr>
                <w:b/>
                <w:color w:val="FFFFFF"/>
                <w:sz w:val="18"/>
              </w:rPr>
              <w:t>CO₂ évité — référence fioul</w:t>
            </w:r>
          </w:p>
        </w:tc>
      </w:tr>
      <w:tr>
        <w:tc>
          <w:tcPr>
            <w:tcW w:type="dxa" w:w="1701"/>
          </w:tcPr>
          <w:p>
            <w:pPr>
              <w:spacing w:after="40"/>
            </w:pPr>
            <w:r/>
            <w:r>
              <w:rPr>
                <w:b w:val="0"/>
                <w:sz w:val="18"/>
              </w:rPr>
              <w:t>Damblain</w:t>
            </w:r>
          </w:p>
        </w:tc>
        <w:tc>
          <w:tcPr>
            <w:tcW w:type="dxa" w:w="1701"/>
          </w:tcPr>
          <w:p>
            <w:pPr>
              <w:spacing w:after="40"/>
            </w:pPr>
            <w:r/>
            <w:r>
              <w:rPr>
                <w:b w:val="0"/>
                <w:sz w:val="18"/>
              </w:rPr>
              <w:t>120 000 t/an</w:t>
            </w:r>
          </w:p>
        </w:tc>
        <w:tc>
          <w:tcPr>
            <w:tcW w:type="dxa" w:w="1984"/>
          </w:tcPr>
          <w:p>
            <w:pPr>
              <w:spacing w:after="40"/>
            </w:pPr>
            <w:r/>
            <w:r>
              <w:rPr>
                <w:b w:val="0"/>
                <w:sz w:val="18"/>
              </w:rPr>
              <w:t>576 000 MWh/an</w:t>
            </w:r>
          </w:p>
        </w:tc>
        <w:tc>
          <w:tcPr>
            <w:tcW w:type="dxa" w:w="1984"/>
          </w:tcPr>
          <w:p>
            <w:pPr>
              <w:spacing w:after="40"/>
            </w:pPr>
            <w:r/>
            <w:r>
              <w:rPr>
                <w:b w:val="0"/>
                <w:sz w:val="18"/>
              </w:rPr>
              <w:t>≈ 131 000 t CO₂/an</w:t>
            </w:r>
          </w:p>
        </w:tc>
        <w:tc>
          <w:tcPr>
            <w:tcW w:type="dxa" w:w="1984"/>
          </w:tcPr>
          <w:p>
            <w:pPr>
              <w:spacing w:after="40"/>
            </w:pPr>
            <w:r/>
            <w:r>
              <w:rPr>
                <w:b w:val="0"/>
                <w:sz w:val="18"/>
              </w:rPr>
              <w:t>≈ 154 000 t CO₂/an</w:t>
            </w:r>
          </w:p>
        </w:tc>
      </w:tr>
      <w:tr>
        <w:tc>
          <w:tcPr>
            <w:tcW w:type="dxa" w:w="1701"/>
          </w:tcPr>
          <w:p>
            <w:pPr>
              <w:spacing w:after="40"/>
            </w:pPr>
            <w:r/>
            <w:r>
              <w:rPr>
                <w:b w:val="0"/>
                <w:sz w:val="18"/>
              </w:rPr>
              <w:t>Hirson</w:t>
            </w:r>
          </w:p>
        </w:tc>
        <w:tc>
          <w:tcPr>
            <w:tcW w:type="dxa" w:w="1701"/>
          </w:tcPr>
          <w:p>
            <w:pPr>
              <w:spacing w:after="40"/>
            </w:pPr>
            <w:r/>
            <w:r>
              <w:rPr>
                <w:b w:val="0"/>
                <w:sz w:val="18"/>
              </w:rPr>
              <w:t>100 000 t/an</w:t>
            </w:r>
          </w:p>
        </w:tc>
        <w:tc>
          <w:tcPr>
            <w:tcW w:type="dxa" w:w="1984"/>
          </w:tcPr>
          <w:p>
            <w:pPr>
              <w:spacing w:after="40"/>
            </w:pPr>
            <w:r/>
            <w:r>
              <w:rPr>
                <w:b w:val="0"/>
                <w:sz w:val="18"/>
              </w:rPr>
              <w:t>480 000 MWh/an</w:t>
            </w:r>
          </w:p>
        </w:tc>
        <w:tc>
          <w:tcPr>
            <w:tcW w:type="dxa" w:w="1984"/>
          </w:tcPr>
          <w:p>
            <w:pPr>
              <w:spacing w:after="40"/>
            </w:pPr>
            <w:r/>
            <w:r>
              <w:rPr>
                <w:b w:val="0"/>
                <w:sz w:val="18"/>
              </w:rPr>
              <w:t>≈ 109 000 t CO₂/an</w:t>
            </w:r>
          </w:p>
        </w:tc>
        <w:tc>
          <w:tcPr>
            <w:tcW w:type="dxa" w:w="1984"/>
          </w:tcPr>
          <w:p>
            <w:pPr>
              <w:spacing w:after="40"/>
            </w:pPr>
            <w:r/>
            <w:r>
              <w:rPr>
                <w:b w:val="0"/>
                <w:sz w:val="18"/>
              </w:rPr>
              <w:t>≈ 129 000 t CO₂/an</w:t>
            </w:r>
          </w:p>
        </w:tc>
      </w:tr>
      <w:tr>
        <w:tc>
          <w:tcPr>
            <w:tcW w:type="dxa" w:w="1701"/>
          </w:tcPr>
          <w:p>
            <w:pPr>
              <w:spacing w:after="40"/>
            </w:pPr>
            <w:r/>
            <w:r>
              <w:rPr>
                <w:b w:val="0"/>
                <w:sz w:val="18"/>
              </w:rPr>
              <w:t>Écommoy</w:t>
            </w:r>
          </w:p>
        </w:tc>
        <w:tc>
          <w:tcPr>
            <w:tcW w:type="dxa" w:w="1701"/>
          </w:tcPr>
          <w:p>
            <w:pPr>
              <w:spacing w:after="40"/>
            </w:pPr>
            <w:r/>
            <w:r>
              <w:rPr>
                <w:b w:val="0"/>
                <w:sz w:val="18"/>
              </w:rPr>
              <w:t>92 000 t/an</w:t>
            </w:r>
          </w:p>
        </w:tc>
        <w:tc>
          <w:tcPr>
            <w:tcW w:type="dxa" w:w="1984"/>
          </w:tcPr>
          <w:p>
            <w:pPr>
              <w:spacing w:after="40"/>
            </w:pPr>
            <w:r/>
            <w:r>
              <w:rPr>
                <w:b w:val="0"/>
                <w:sz w:val="18"/>
              </w:rPr>
              <w:t>441 600 MWh/an</w:t>
            </w:r>
          </w:p>
        </w:tc>
        <w:tc>
          <w:tcPr>
            <w:tcW w:type="dxa" w:w="1984"/>
          </w:tcPr>
          <w:p>
            <w:pPr>
              <w:spacing w:after="40"/>
            </w:pPr>
            <w:r/>
            <w:r>
              <w:rPr>
                <w:b w:val="0"/>
                <w:sz w:val="18"/>
              </w:rPr>
              <w:t>≈ 100 000 t CO₂/an</w:t>
            </w:r>
          </w:p>
        </w:tc>
        <w:tc>
          <w:tcPr>
            <w:tcW w:type="dxa" w:w="1984"/>
          </w:tcPr>
          <w:p>
            <w:pPr>
              <w:spacing w:after="40"/>
            </w:pPr>
            <w:r/>
            <w:r>
              <w:rPr>
                <w:b w:val="0"/>
                <w:sz w:val="18"/>
              </w:rPr>
              <w:t>≈ 118 000 t CO₂/an</w:t>
            </w:r>
          </w:p>
        </w:tc>
      </w:tr>
      <w:tr>
        <w:tc>
          <w:tcPr>
            <w:tcW w:type="dxa" w:w="1701"/>
          </w:tcPr>
          <w:p>
            <w:pPr>
              <w:spacing w:after="40"/>
            </w:pPr>
            <w:r/>
            <w:r>
              <w:rPr>
                <w:b/>
                <w:sz w:val="18"/>
              </w:rPr>
              <w:t>Total</w:t>
            </w:r>
          </w:p>
        </w:tc>
        <w:tc>
          <w:tcPr>
            <w:tcW w:type="dxa" w:w="1701"/>
          </w:tcPr>
          <w:p>
            <w:pPr>
              <w:spacing w:after="40"/>
            </w:pPr>
            <w:r/>
            <w:r>
              <w:rPr>
                <w:b/>
                <w:sz w:val="18"/>
              </w:rPr>
              <w:t>312 000 t/an</w:t>
            </w:r>
          </w:p>
        </w:tc>
        <w:tc>
          <w:tcPr>
            <w:tcW w:type="dxa" w:w="1984"/>
          </w:tcPr>
          <w:p>
            <w:pPr>
              <w:spacing w:after="40"/>
            </w:pPr>
            <w:r/>
            <w:r>
              <w:rPr>
                <w:b/>
                <w:sz w:val="18"/>
              </w:rPr>
              <w:t>1 497 600 MWh/an</w:t>
            </w:r>
          </w:p>
        </w:tc>
        <w:tc>
          <w:tcPr>
            <w:tcW w:type="dxa" w:w="1984"/>
          </w:tcPr>
          <w:p>
            <w:pPr>
              <w:spacing w:after="40"/>
            </w:pPr>
            <w:r/>
            <w:r>
              <w:rPr>
                <w:b/>
                <w:sz w:val="18"/>
              </w:rPr>
              <w:t>≈ 340 000 t CO₂/an</w:t>
            </w:r>
          </w:p>
        </w:tc>
        <w:tc>
          <w:tcPr>
            <w:tcW w:type="dxa" w:w="1984"/>
          </w:tcPr>
          <w:p>
            <w:pPr>
              <w:spacing w:after="40"/>
            </w:pPr>
            <w:r/>
            <w:r>
              <w:rPr>
                <w:b/>
                <w:sz w:val="18"/>
              </w:rPr>
              <w:t>≈ 401 000 t CO₂/an</w:t>
            </w:r>
          </w:p>
        </w:tc>
      </w:tr>
    </w:tbl>
    <w:p>
      <w:pPr>
        <w:spacing w:after="80"/>
      </w:pPr>
    </w:p>
    <w:p>
      <w:pPr>
        <w:jc w:val="both"/>
      </w:pPr>
      <w:r>
        <w:rPr>
          <w:b w:val="0"/>
          <w:i/>
          <w:sz w:val="21"/>
        </w:rPr>
        <w:t>La méthode de calcul est détaillée en annexe A. La référence au gaz naturel est retenue comme référence principale, comme étant la plus représentative des installations industrielles substituées et la plus conservatrice des deux.</w:t>
      </w:r>
    </w:p>
    <w:p>
      <w:r>
        <w:br w:type="page"/>
      </w:r>
    </w:p>
    <w:p>
      <w:pPr>
        <w:keepNext/>
        <w:spacing w:before="360" w:after="160"/>
        <w:pBdr>
          <w:bottom w:val="single" w:sz="8" w:space="2" w:color="1F3B57"/>
        </w:pBdr>
      </w:pPr>
      <w:r>
        <w:rPr>
          <w:b/>
          <w:color w:val="1F3B57"/>
          <w:sz w:val="28"/>
        </w:rPr>
        <w:t>PARTIE VIII — ÉTAT D’AVANCEMENT ET ÉTAPES À VENIR</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fill="1F3B57"/>
          </w:tcPr>
          <w:p>
            <w:r/>
            <w:r>
              <w:rPr>
                <w:b/>
                <w:color w:val="FFFFFF"/>
                <w:sz w:val="17"/>
              </w:rPr>
              <w:t>Site</w:t>
            </w:r>
          </w:p>
        </w:tc>
        <w:tc>
          <w:tcPr>
            <w:tcW w:type="dxa" w:w="3969"/>
            <w:shd w:val="clear" w:fill="1F3B57"/>
          </w:tcPr>
          <w:p>
            <w:r/>
            <w:r>
              <w:rPr>
                <w:b/>
                <w:color w:val="FFFFFF"/>
                <w:sz w:val="17"/>
              </w:rPr>
              <w:t>État d’avancement</w:t>
            </w:r>
          </w:p>
        </w:tc>
        <w:tc>
          <w:tcPr>
            <w:tcW w:type="dxa" w:w="4025"/>
            <w:shd w:val="clear" w:fill="1F3B57"/>
          </w:tcPr>
          <w:p>
            <w:r/>
            <w:r>
              <w:rPr>
                <w:b/>
                <w:color w:val="FFFFFF"/>
                <w:sz w:val="17"/>
              </w:rPr>
              <w:t>Étapes à venir</w:t>
            </w:r>
          </w:p>
        </w:tc>
      </w:tr>
      <w:tr>
        <w:tc>
          <w:tcPr>
            <w:tcW w:type="dxa" w:w="1361"/>
          </w:tcPr>
          <w:p>
            <w:pPr>
              <w:spacing w:after="40"/>
            </w:pPr>
            <w:r/>
            <w:r>
              <w:rPr>
                <w:b/>
                <w:sz w:val="17"/>
              </w:rPr>
              <w:t>Damblain</w:t>
            </w:r>
          </w:p>
        </w:tc>
        <w:tc>
          <w:tcPr>
            <w:tcW w:type="dxa" w:w="3969"/>
          </w:tcPr>
          <w:p>
            <w:pPr>
              <w:spacing w:after="40"/>
            </w:pPr>
            <w:r/>
            <w:r>
              <w:rPr>
                <w:b w:val="0"/>
                <w:sz w:val="17"/>
              </w:rPr>
              <w:t>Permis de construire, autorisation environnementale et autorisation d’exploiter obtenus, transférés à la société de projet et purgés de recours. Vente du foncier contractualisée. Site embranché fer.</w:t>
            </w:r>
          </w:p>
        </w:tc>
        <w:tc>
          <w:tcPr>
            <w:tcW w:type="dxa" w:w="4025"/>
          </w:tcPr>
          <w:p>
            <w:pPr>
              <w:spacing w:after="40"/>
            </w:pPr>
            <w:r/>
            <w:r>
              <w:rPr>
                <w:b w:val="0"/>
                <w:sz w:val="17"/>
              </w:rPr>
              <w:t>Finalisation du raccordement électrique au réseau ; transformation des lettres d’intention d’approvisionnement en contrats fermes ; négociation des contrats de construction et d’exploitation-maintenance ; closing financier.</w:t>
            </w:r>
          </w:p>
        </w:tc>
      </w:tr>
      <w:tr>
        <w:tc>
          <w:tcPr>
            <w:tcW w:type="dxa" w:w="1361"/>
          </w:tcPr>
          <w:p>
            <w:pPr>
              <w:spacing w:after="40"/>
            </w:pPr>
            <w:r/>
            <w:r>
              <w:rPr>
                <w:b/>
                <w:sz w:val="17"/>
              </w:rPr>
              <w:t>Hirson</w:t>
            </w:r>
          </w:p>
        </w:tc>
        <w:tc>
          <w:tcPr>
            <w:tcW w:type="dxa" w:w="3969"/>
          </w:tcPr>
          <w:p>
            <w:pPr>
              <w:spacing w:after="40"/>
            </w:pPr>
            <w:r/>
            <w:r>
              <w:rPr>
                <w:b w:val="0"/>
                <w:sz w:val="17"/>
              </w:rPr>
              <w:t>Cession foncière délibérée par le conseil municipal (35 629 m², 1,12 M€ HT), proposition foncière obtenue le 10 décembre 2025. Site en zone à vocation industrielle.</w:t>
            </w:r>
          </w:p>
        </w:tc>
        <w:tc>
          <w:tcPr>
            <w:tcW w:type="dxa" w:w="4025"/>
          </w:tcPr>
          <w:p>
            <w:pPr>
              <w:spacing w:after="40"/>
            </w:pPr>
            <w:r/>
            <w:r>
              <w:rPr>
                <w:b w:val="0"/>
                <w:sz w:val="17"/>
              </w:rPr>
              <w:t>Instruction du permis de construire et de l’autorisation d’exploiter ; études détaillées et vérification des règles de gabarit ; financement de pré-construction ; closing financier ; construction et mise en service à l’horizon 2030.</w:t>
            </w:r>
          </w:p>
        </w:tc>
      </w:tr>
      <w:tr>
        <w:tc>
          <w:tcPr>
            <w:tcW w:type="dxa" w:w="1361"/>
          </w:tcPr>
          <w:p>
            <w:pPr>
              <w:spacing w:after="40"/>
            </w:pPr>
            <w:r/>
            <w:r>
              <w:rPr>
                <w:b/>
                <w:sz w:val="17"/>
              </w:rPr>
              <w:t>Écommoy</w:t>
            </w:r>
          </w:p>
        </w:tc>
        <w:tc>
          <w:tcPr>
            <w:tcW w:type="dxa" w:w="3969"/>
          </w:tcPr>
          <w:p>
            <w:pPr>
              <w:spacing w:after="40"/>
            </w:pPr>
            <w:r/>
            <w:r>
              <w:rPr>
                <w:b w:val="0"/>
                <w:sz w:val="17"/>
              </w:rPr>
              <w:t>Permis de construire et autorisation environnementale obtenus, transférés et purgés de recours. Foncier identifié et borné. Enquête publique favorable. Volumes d’approvisionnement engagés à hauteur d’environ 119 500 t/an au titre des lettres d’intention.</w:t>
            </w:r>
          </w:p>
        </w:tc>
        <w:tc>
          <w:tcPr>
            <w:tcW w:type="dxa" w:w="4025"/>
          </w:tcPr>
          <w:p>
            <w:pPr>
              <w:spacing w:after="40"/>
            </w:pPr>
            <w:r/>
            <w:r>
              <w:rPr>
                <w:b w:val="0"/>
                <w:sz w:val="17"/>
              </w:rPr>
              <w:t>Arbitrage de la configuration thermique (CSR ou biomasse) ; consolidation et contractualisation ferme de l’approvisionnement ; financement de pré-construction ; closing financier ; mise en service à l’horizon 2029.</w:t>
            </w:r>
          </w:p>
        </w:tc>
      </w:tr>
    </w:tbl>
    <w:p>
      <w:pPr>
        <w:spacing w:after="80"/>
      </w:pPr>
    </w:p>
    <w:p>
      <w:pPr>
        <w:jc w:val="both"/>
      </w:pPr>
      <w:r>
        <w:rPr>
          <w:b w:val="0"/>
          <w:i w:val="0"/>
          <w:sz w:val="21"/>
        </w:rPr>
        <w:t>Les trois projets sont portés au sein de sociétés de projet dédiées, adossées à une plateforme intégrant les compétences de développement et de structuration, d’ingénierie et de maîtrise d’ouvrage déléguée, de structuration financière, d’approvisionnement en biomasse et de commercialisation. Cette organisation permet la mutualisation des méthodes, des retours d’expérience et des relations d’approvisionnement entre les sites.</w:t>
      </w:r>
    </w:p>
    <w:p>
      <w:r>
        <w:br w:type="page"/>
      </w:r>
    </w:p>
    <w:p>
      <w:pPr>
        <w:keepNext/>
        <w:spacing w:before="360" w:after="160"/>
        <w:pBdr>
          <w:bottom w:val="single" w:sz="8" w:space="2" w:color="1F3B57"/>
        </w:pBdr>
      </w:pPr>
      <w:r>
        <w:rPr>
          <w:b/>
          <w:color w:val="1F3B57"/>
          <w:sz w:val="28"/>
        </w:rPr>
        <w:t>ANNEXE A — MÉTHODE DE CALCUL DES ÉMISSIONS ÉVITÉES</w:t>
      </w:r>
    </w:p>
    <w:p>
      <w:pPr>
        <w:jc w:val="both"/>
      </w:pPr>
      <w:r>
        <w:rPr>
          <w:b w:val="0"/>
          <w:i w:val="0"/>
          <w:sz w:val="21"/>
        </w:rPr>
        <w:t>Les émissions évitées présentées dans ce document résultent d’une méthode unique, appliquée de manière identique aux trois projets afin d’en permettre la comparaison.</w:t>
      </w:r>
    </w:p>
    <w:p>
      <w:pPr>
        <w:pStyle w:val="ListBullet"/>
        <w:spacing w:after="60"/>
        <w:ind w:left="340"/>
        <w:jc w:val="both"/>
      </w:pPr>
      <w:r>
        <w:rPr>
          <w:b w:val="0"/>
          <w:sz w:val="21"/>
        </w:rPr>
        <w:t>Pouvoir calorifique inférieur du granulé retenu : 4,8 kWh/kg, soit 4,8 MWh par tonne.</w:t>
      </w:r>
    </w:p>
    <w:p>
      <w:pPr>
        <w:pStyle w:val="ListBullet"/>
        <w:spacing w:after="60"/>
        <w:ind w:left="340"/>
        <w:jc w:val="both"/>
      </w:pPr>
      <w:r>
        <w:rPr>
          <w:b w:val="0"/>
          <w:sz w:val="21"/>
        </w:rPr>
        <w:t>Substitution exprimée en équivalence de pouvoir calorifique inférieur, sans hypothèse de rendement différencié entre l’installation substituée et l’installation nouvelle.</w:t>
      </w:r>
    </w:p>
    <w:p>
      <w:pPr>
        <w:pStyle w:val="ListBullet"/>
        <w:spacing w:after="60"/>
        <w:ind w:left="340"/>
        <w:jc w:val="both"/>
      </w:pPr>
      <w:r>
        <w:rPr>
          <w:b w:val="0"/>
          <w:sz w:val="21"/>
        </w:rPr>
        <w:t>Facteur d’émission du gaz naturel : 0,227 kg CO₂ par kWh PCI.</w:t>
      </w:r>
    </w:p>
    <w:p>
      <w:pPr>
        <w:pStyle w:val="ListBullet"/>
        <w:spacing w:after="60"/>
        <w:ind w:left="340"/>
        <w:jc w:val="both"/>
      </w:pPr>
      <w:r>
        <w:rPr>
          <w:b w:val="0"/>
          <w:sz w:val="21"/>
        </w:rPr>
        <w:t>Facteur d’émission du fioul domestique : 2,67 kg CO₂ par litre, pour un pouvoir calorifique inférieur de 9,96 kWh par litre.</w:t>
      </w:r>
    </w:p>
    <w:p>
      <w:pPr>
        <w:jc w:val="both"/>
      </w:pPr>
      <w:r>
        <w:rPr>
          <w:b w:val="0"/>
          <w:i w:val="0"/>
          <w:sz w:val="21"/>
        </w:rPr>
        <w:t>La référence au gaz naturel est retenue comme référence principale : elle correspond à la situation la plus fréquente des sites industriels et des chaufferies collectives substitués, et produit une estimation plus prudente que la référence au fioul domestique. Cette dernière est mentionnée à titre complémentaire, pour les usages résidentiels et les collectivités rurales encore équipées au fioul.</w:t>
      </w:r>
    </w:p>
    <w:p>
      <w:pPr>
        <w:keepNext/>
        <w:spacing w:before="360" w:after="160"/>
        <w:pBdr>
          <w:bottom w:val="single" w:sz="8" w:space="2" w:color="1F3B57"/>
        </w:pBdr>
      </w:pPr>
      <w:r>
        <w:rPr>
          <w:b/>
          <w:color w:val="1F3B57"/>
          <w:sz w:val="28"/>
        </w:rPr>
        <w:t>ANNEXE B — SOURCES</w:t>
      </w:r>
    </w:p>
    <w:p>
      <w:pPr>
        <w:keepNext/>
        <w:spacing w:before="180" w:after="60"/>
      </w:pPr>
      <w:r>
        <w:rPr>
          <w:b/>
          <w:color w:val="2E6B3E"/>
          <w:sz w:val="21"/>
        </w:rPr>
        <w:t>Cadres nationaux et européens</w:t>
      </w:r>
    </w:p>
    <w:p>
      <w:pPr>
        <w:pStyle w:val="ListBullet"/>
        <w:spacing w:after="60"/>
        <w:ind w:left="340"/>
        <w:jc w:val="both"/>
      </w:pPr>
      <w:r>
        <w:rPr>
          <w:b w:val="0"/>
          <w:sz w:val="21"/>
        </w:rPr>
        <w:t>Décret n° 2026-76 du 12 février 2026 relatif à la programmation pluriannuelle de l’énergie, publié au Journal officiel du 13 février 2026 ; dossier de présentation de la PPE 3 (2026-2035).</w:t>
      </w:r>
    </w:p>
    <w:p>
      <w:pPr>
        <w:pStyle w:val="ListBullet"/>
        <w:spacing w:after="60"/>
        <w:ind w:left="340"/>
        <w:jc w:val="both"/>
      </w:pPr>
      <w:r>
        <w:rPr>
          <w:b w:val="0"/>
          <w:sz w:val="21"/>
        </w:rPr>
        <w:t>Stratégie nationale bas-carbone.</w:t>
      </w:r>
    </w:p>
    <w:p>
      <w:pPr>
        <w:pStyle w:val="ListBullet"/>
        <w:spacing w:after="60"/>
        <w:ind w:left="340"/>
        <w:jc w:val="both"/>
      </w:pPr>
      <w:r>
        <w:rPr>
          <w:b w:val="0"/>
          <w:sz w:val="21"/>
        </w:rPr>
        <w:t>Directive (UE) relative aux énergies renouvelables, dite RED III ; documentation du ministère de la Transition écologique sur la durabilité des bioénergies et l’état de sa transposition.</w:t>
      </w:r>
    </w:p>
    <w:p>
      <w:pPr>
        <w:pStyle w:val="ListBullet"/>
        <w:spacing w:after="60"/>
        <w:ind w:left="340"/>
        <w:jc w:val="both"/>
      </w:pPr>
      <w:r>
        <w:rPr>
          <w:b w:val="0"/>
          <w:sz w:val="21"/>
        </w:rPr>
        <w:t>Loi n° 2021-1104 du 22 août 2021 portant lutte contre le dérèglement climatique et renforcement de la résilience face à ses effets ; article L. 111-26 du code de l’urbanisme.</w:t>
      </w:r>
    </w:p>
    <w:p>
      <w:pPr>
        <w:pStyle w:val="ListBullet"/>
        <w:spacing w:after="60"/>
        <w:ind w:left="340"/>
        <w:jc w:val="both"/>
      </w:pPr>
      <w:r>
        <w:rPr>
          <w:b w:val="0"/>
          <w:sz w:val="21"/>
        </w:rPr>
        <w:t>Norme ISO 17225-2 et référentiel de certification ENplus.</w:t>
      </w:r>
    </w:p>
    <w:p>
      <w:pPr>
        <w:keepNext/>
        <w:spacing w:before="180" w:after="60"/>
      </w:pPr>
      <w:r>
        <w:rPr>
          <w:b/>
          <w:color w:val="2E6B3E"/>
          <w:sz w:val="21"/>
        </w:rPr>
        <w:t>Dispositifs de soutien</w:t>
      </w:r>
    </w:p>
    <w:p>
      <w:pPr>
        <w:pStyle w:val="ListBullet"/>
        <w:spacing w:after="60"/>
        <w:ind w:left="340"/>
        <w:jc w:val="both"/>
      </w:pPr>
      <w:r>
        <w:rPr>
          <w:b w:val="0"/>
          <w:sz w:val="21"/>
        </w:rPr>
        <w:t>ADEME — Fonds chaleur, budget 2026 ; appel à projets BCIAT 2026, ouvert du 26 mars au 17 juillet 2026 ; appel à projets BCIB.</w:t>
      </w:r>
    </w:p>
    <w:p>
      <w:pPr>
        <w:pStyle w:val="ListBullet"/>
        <w:spacing w:after="60"/>
        <w:ind w:left="340"/>
        <w:jc w:val="both"/>
      </w:pPr>
      <w:r>
        <w:rPr>
          <w:b w:val="0"/>
          <w:sz w:val="21"/>
        </w:rPr>
        <w:t>Ministère de la Transition écologique — mesure « recyclage foncier des friches » du Fonds vert, campagne 2026 ; loi de finances pour 2026.</w:t>
      </w:r>
    </w:p>
    <w:p>
      <w:pPr>
        <w:pStyle w:val="ListBullet"/>
        <w:spacing w:after="60"/>
        <w:ind w:left="340"/>
        <w:jc w:val="both"/>
      </w:pPr>
      <w:r>
        <w:rPr>
          <w:b w:val="0"/>
          <w:sz w:val="21"/>
        </w:rPr>
        <w:t>Direction générale des entreprises — programme Territoires d’industrie, phase 2023-2027.</w:t>
      </w:r>
    </w:p>
    <w:p>
      <w:pPr>
        <w:pStyle w:val="ListBullet"/>
        <w:spacing w:after="60"/>
        <w:ind w:left="340"/>
        <w:jc w:val="both"/>
      </w:pPr>
      <w:r>
        <w:rPr>
          <w:b w:val="0"/>
          <w:sz w:val="21"/>
        </w:rPr>
        <w:t>Arrêté du 19 juin 2024 constatant le classement de communes en zone France ruralités revitalisation ; communication de la Communauté de communes Orée de Bercé-Bélinois relative au classement au 1er juillet 2024.</w:t>
      </w:r>
    </w:p>
    <w:p>
      <w:pPr>
        <w:pStyle w:val="ListBullet"/>
        <w:spacing w:after="60"/>
        <w:ind w:left="340"/>
        <w:jc w:val="both"/>
      </w:pPr>
      <w:r>
        <w:rPr>
          <w:b w:val="0"/>
          <w:sz w:val="21"/>
        </w:rPr>
        <w:t>Dispositifs d’aide au chauffage résidentiel — évolution de MaPrimeRénov’ au 1er janvier 2026 ; taux réduit de taxe sur la valeur ajoutée.</w:t>
      </w:r>
    </w:p>
    <w:p>
      <w:pPr>
        <w:keepNext/>
        <w:spacing w:before="180" w:after="60"/>
      </w:pPr>
      <w:r>
        <w:rPr>
          <w:b/>
          <w:color w:val="2E6B3E"/>
          <w:sz w:val="21"/>
        </w:rPr>
        <w:t>Cadres régionaux et territoriaux</w:t>
      </w:r>
    </w:p>
    <w:p>
      <w:pPr>
        <w:pStyle w:val="ListBullet"/>
        <w:spacing w:after="60"/>
        <w:ind w:left="340"/>
        <w:jc w:val="both"/>
      </w:pPr>
      <w:r>
        <w:rPr>
          <w:b w:val="0"/>
          <w:sz w:val="21"/>
        </w:rPr>
        <w:t>SRADDET Grand Est (2019), Hauts-de-France (2020, modifié en 2024), Pays de la Loire (2022).</w:t>
      </w:r>
    </w:p>
    <w:p>
      <w:pPr>
        <w:pStyle w:val="ListBullet"/>
        <w:spacing w:after="60"/>
        <w:ind w:left="340"/>
        <w:jc w:val="both"/>
      </w:pPr>
      <w:r>
        <w:rPr>
          <w:b w:val="0"/>
          <w:sz w:val="21"/>
        </w:rPr>
        <w:t>Schémas régionaux de développement économique, d’innovation et d’internationalisation des trois régions.</w:t>
      </w:r>
    </w:p>
    <w:p>
      <w:pPr>
        <w:pStyle w:val="ListBullet"/>
        <w:spacing w:after="60"/>
        <w:ind w:left="340"/>
        <w:jc w:val="both"/>
      </w:pPr>
      <w:r>
        <w:rPr>
          <w:b w:val="0"/>
          <w:sz w:val="21"/>
        </w:rPr>
        <w:t>Schéma régional biomasse du Grand Est (2021) et des Pays de la Loire (arrêté du 14 décembre 2020) ; programme régional de la forêt et du bois Grand Est 2018-2027 ; Master Plan forêt-bois Hauts-de-France 2022-2027.</w:t>
      </w:r>
    </w:p>
    <w:p>
      <w:pPr>
        <w:pStyle w:val="ListBullet"/>
        <w:spacing w:after="60"/>
        <w:ind w:left="340"/>
        <w:jc w:val="both"/>
      </w:pPr>
      <w:r>
        <w:rPr>
          <w:b w:val="0"/>
          <w:sz w:val="21"/>
        </w:rPr>
        <w:t>Programme Climaxion (ADEME et Région Grand Est) ; convention de transition écologique de janvier 2023 portant délégation d’une partie du Fonds chaleur.</w:t>
      </w:r>
    </w:p>
    <w:p>
      <w:pPr>
        <w:pStyle w:val="ListBullet"/>
        <w:spacing w:after="60"/>
        <w:ind w:left="340"/>
        <w:jc w:val="both"/>
      </w:pPr>
      <w:r>
        <w:rPr>
          <w:b w:val="0"/>
          <w:sz w:val="21"/>
        </w:rPr>
        <w:t>Stratégie Rev3 de la Région Hauts-de-France.</w:t>
      </w:r>
    </w:p>
    <w:p>
      <w:pPr>
        <w:pStyle w:val="ListBullet"/>
        <w:spacing w:after="60"/>
        <w:ind w:left="340"/>
        <w:jc w:val="both"/>
      </w:pPr>
      <w:r>
        <w:rPr>
          <w:b w:val="0"/>
          <w:sz w:val="21"/>
        </w:rPr>
        <w:t>Pacte pour la réussite de la Sambre-Avesnois-Thiérache, acte 3, 2025-2029, signé le 2 septembre 2025.</w:t>
      </w:r>
    </w:p>
    <w:p>
      <w:pPr>
        <w:pStyle w:val="ListBullet"/>
        <w:spacing w:after="60"/>
        <w:ind w:left="340"/>
        <w:jc w:val="both"/>
      </w:pPr>
      <w:r>
        <w:rPr>
          <w:b w:val="0"/>
          <w:sz w:val="21"/>
        </w:rPr>
        <w:t>Programmes régionaux FEDER 2021-2027 des trois régions.</w:t>
      </w:r>
    </w:p>
    <w:p>
      <w:pPr>
        <w:keepNext/>
        <w:spacing w:before="180" w:after="60"/>
      </w:pPr>
      <w:r>
        <w:rPr>
          <w:b/>
          <w:color w:val="2E6B3E"/>
          <w:sz w:val="21"/>
        </w:rPr>
        <w:t>Filière et marché</w:t>
      </w:r>
    </w:p>
    <w:p>
      <w:pPr>
        <w:pStyle w:val="ListBullet"/>
        <w:spacing w:after="60"/>
        <w:ind w:left="340"/>
        <w:jc w:val="both"/>
      </w:pPr>
      <w:r>
        <w:rPr>
          <w:b w:val="0"/>
          <w:sz w:val="21"/>
        </w:rPr>
        <w:t>Propellet France — chiffres clés de la filière, prix et marché du granulé de bois, 2025 et 2026.</w:t>
      </w:r>
    </w:p>
    <w:p>
      <w:pPr>
        <w:pStyle w:val="ListBullet"/>
        <w:spacing w:after="60"/>
        <w:ind w:left="340"/>
        <w:jc w:val="both"/>
      </w:pPr>
      <w:r>
        <w:rPr>
          <w:b w:val="0"/>
          <w:sz w:val="21"/>
        </w:rPr>
        <w:t>Données INSEE relatives aux communes, aux intercommunalités et aux zones d’emploi concernées.</w:t>
      </w:r>
    </w:p>
    <w:p>
      <w:pPr>
        <w:pStyle w:val="ListBullet"/>
        <w:spacing w:after="60"/>
        <w:ind w:left="340"/>
        <w:jc w:val="both"/>
      </w:pPr>
      <w:r>
        <w:rPr>
          <w:b w:val="0"/>
          <w:sz w:val="21"/>
        </w:rPr>
        <w:t>Documentation des projets : dossiers de présentation institutionnelle de Damblain, d’Hirson et d’Écommoy ; rapports d’enquête publique.</w:t>
      </w:r>
    </w:p>
    <w:p/>
    <w:p>
      <w:pPr>
        <w:jc w:val="center"/>
      </w:pPr>
      <w:r>
        <w:rPr>
          <w:i/>
          <w:color w:val="595959"/>
          <w:sz w:val="19"/>
        </w:rPr>
        <w:t>Arbange Capital — Secrétariat Général</w:t>
        <w:br/>
        <w:t>Maxence Druelle Fourniez — Relations institutionnelles et financements publics</w:t>
        <w:br/>
        <w:t>Septembre 2026</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Arbange Capital   |   Document de présentation — diffusion restreinte   —   page </w:t>
    </w:r>
    <w:r>
      <w:rPr>
        <w:color w:val="595959"/>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95959"/>
        <w:sz w:val="15"/>
      </w:rPr>
      <w:t>PLATEFORME ARBANGE — Insertion territoriale des projets de granulation   |   Damblain · Hirson · Écommoy   |   Septembre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