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Assistentes de IA e</w:t>
        <w:br/>
        <w:t>codificação manual</w:t>
      </w:r>
    </w:p>
    <w:p>
      <w:pPr>
        <w:pStyle w:val="Subtitle"/>
      </w:pPr>
      <w:r>
        <w:t>Relatório final do experimento controlado</w:t>
      </w:r>
    </w:p>
    <w:p>
      <w:pPr>
        <w:pStyle w:val="Caption"/>
      </w:pPr>
      <w:r>
        <w:t>Grupo: Gabriel Ferreira Amaral, Gabriel Santiago e Gabriel Tavares.</w:t>
        <w:br/>
        <w:t>Responsável pelo relatório: Gabriel Ferreira Amaral.</w:t>
        <w:br/>
        <w:t>Professor: Danilo Maia  •  Engenharia de Software  •  Setembro de 2026</w:t>
      </w:r>
    </w:p>
    <w:p>
      <w:pPr>
        <w:pStyle w:val="Heading1"/>
      </w:pPr>
      <w:r>
        <w:t>Objetivo e resultado principal</w:t>
      </w:r>
    </w:p>
    <w:p>
      <w:r>
        <w:t>Avaliamos a associação entre o uso de ChatGPT e o tempo de resolução, o sucesso nos testes e a estrutura de seis katas Python. Os tempos registrados foram menores com IA, mas a análise pareada de três participantes não alcançou significância estatística (p = 0,125). Todos os trials passaram nos testes, e a mediana da complexidade foi igual nos dois tratamentos.</w:t>
      </w:r>
    </w:p>
    <w:p>
      <w:pPr>
        <w:pStyle w:val="Heading1"/>
      </w:pPr>
      <w:r>
        <w:t>Hipóteses e métricas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E8EE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Questão</w:t>
            </w:r>
          </w:p>
        </w:tc>
        <w:tc>
          <w:tcPr>
            <w:tcW w:type="dxa" w:w="3360"/>
            <w:shd w:fill="E8EE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Hipótese alternativa</w:t>
            </w:r>
          </w:p>
        </w:tc>
        <w:tc>
          <w:tcPr>
            <w:tcW w:type="dxa" w:w="3360"/>
            <w:shd w:fill="E8EE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Métrica escolhida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RQ1 Tempo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Menor tempo com IA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Segundos até todos os testes passarem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RQ2 Defeitos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Maior sucesso com IA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Testes passando / total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RQ3 Estrutura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Complexidade diferente com IA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CC média por função; LOC como controle</w:t>
            </w:r>
          </w:p>
        </w:tc>
      </w:tr>
    </w:tbl>
    <w:p>
      <w:pPr>
        <w:spacing w:after="0"/>
      </w:pPr>
    </w:p>
    <w:p>
      <w:r>
        <w:t>As hipóteses nulas estabelecem diferenças centradas em zero entre os tratamentos. A taxa de sucesso permite comparar katas com cinco ou seis testes; LOC contextualiza o tamanho das soluções. Reportamos mediana e intervalo interquartil (IQR) pela amostra pequena.</w:t>
      </w:r>
    </w:p>
    <w:p>
      <w:pPr>
        <w:pStyle w:val="Heading1"/>
      </w:pPr>
      <w:r>
        <w:t>Desenho e execução</w:t>
      </w:r>
    </w:p>
    <w:p>
      <w:r>
        <w:t>Três participantes resolveram seis katas cada: 18 trials, nove com IA e nove sem IA. Cada pessoa realizou três de cada tratamento, em katas distintos. Os exercícios autorais abrangem intervalos, dicionários, logs, vagas livres, checksum e pontuação de frames. O limite foi 35 minutos por trial; nenhum registro atingiu a censura.</w:t>
      </w:r>
    </w:p>
    <w:p>
      <w:r>
        <w:t>A sequência registrada foi IA → sem IA para Ferreira, sem IA → IA para Santiago e alternada para Tavares. O protocolo previa Python 3, pytest, Radon e ChatGPT web gratuito como único assistente. A versão do modelo e a IDE não foram registradas, limitando a replicação exata.</w:t>
      </w:r>
    </w:p>
    <w:p>
      <w:r>
        <w:t>Para inferência, usamos as medianas por pessoa e tratamento: três pares independentes, sem tratar os nove trials de cada grupo como nove pares. Aplicamos Wilcoxon por permutação exaustiva de sinais, unilateral em RQ1/RQ2 e bilateral em RQ3, com alfa de 5%.</w:t>
      </w:r>
    </w:p>
    <w:p>
      <w:r>
        <w:br w:type="page"/>
      </w:r>
    </w:p>
    <w:p>
      <w:pPr>
        <w:pStyle w:val="Heading1"/>
      </w:pPr>
      <w:r>
        <w:t>Tempo e sucesso nos testes</w:t>
      </w:r>
    </w:p>
    <w:p>
      <w:pPr>
        <w:pStyle w:val="Heading2"/>
      </w:pPr>
      <w:r>
        <w:t>RQ1 Tempo de resolução</w:t>
      </w:r>
    </w:p>
    <w:p>
      <w:r>
        <w:t>A mediana dos nove trials foi 8,83 s com IA e 459,21 s sem IA; os IQRs foram 11,11 s e 94,78 s, respectivamente. A figura compara as medianas individuais que entram no teste pareado.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400800" cy="2423160"/>
            <wp:docPr id="1" name="Picture 1" descr="Figura 1. Medianas de três trials por ponto. Cada linha liga a mesma pessoa nos dois tratamentos. Fonte: trials.csv; n = 3 participantes, 18 tria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1_tempo_pare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Medianas de três trials por ponto. Cada linha liga a mesma pessoa nos dois tratamentos. Fonte: trials.csv; n = 3 participantes, 18 trials.</w:t>
      </w:r>
    </w:p>
    <w:p>
      <w:r>
        <w:t>Os três participantes tiveram menor mediana com IA. O teste resultou em W+ = 0 e p = 0,125: não rejeitamos H0. Com apenas três diferenças não nulas, o menor p unilateral possível é 1/8 = 0,125. A separação visual não permite afirmar um efeito generalizável.</w:t>
      </w:r>
    </w:p>
    <w:p>
      <w:pPr>
        <w:pStyle w:val="Heading2"/>
      </w:pPr>
      <w:r>
        <w:t>RQ2 Qualidade funcional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400800" cy="1188720"/>
            <wp:docPr id="2" name="Picture 2" descr="Figura 2. Taxa de sucesso final em escala completa de 0 a 100%. Os nove pontos de cada grupo coincidem. Fonte: trials.csv; n = 9 trials por tratam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2_suces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Taxa de sucesso final em escala completa de 0 a 100%. Os nove pontos de cada grupo coincidem. Fonte: trials.csv; n = 9 trials por tratamento.</w:t>
      </w:r>
    </w:p>
    <w:p>
      <w:r>
        <w:t>Os 18 trials atingiram 100% de sucesso e zero testes falhando. As diferenças das medianas individuais foram [0, 0, 0]; Wilcoxon não tem diferenças não nulas para testar. Esse efeito teto impede avaliar redução de defeitos. Passar nos testes disponíveis não demonstra ausência de defeitos ou equivalência entre os tratamentos.</w:t>
      </w:r>
    </w:p>
    <w:p>
      <w:pPr>
        <w:pStyle w:val="Heading2"/>
      </w:pPr>
      <w:r>
        <w:t>Leitura conjunta</w:t>
      </w:r>
    </w:p>
    <w:p>
      <w:r>
        <w:t>Nesta amostra, a diferença observável está no tempo registrado. O encerramento no primeiro green torna a taxa final pouco discriminativa quando todos concluem. Uma nova coleta deve registrar também a primeira tentativa e o número de tentativas até green.</w:t>
      </w:r>
    </w:p>
    <w:p>
      <w:r>
        <w:br w:type="page"/>
      </w:r>
    </w:p>
    <w:p>
      <w:pPr>
        <w:pStyle w:val="Heading1"/>
      </w:pPr>
      <w:r>
        <w:t>Estrutura das soluções</w:t>
      </w:r>
    </w:p>
    <w:p>
      <w:pPr>
        <w:pStyle w:val="Heading2"/>
      </w:pPr>
      <w:r>
        <w:t>RQ3 Complexidade com controle de tamanho</w:t>
      </w:r>
    </w:p>
    <w:p>
      <w:r>
        <w:t>Conferimos as 18 medições de complexidade e LOC com Radon 6.0.1 nos arquivos finais preservados por participante. A mediana da CC foi 4 nos dois tratamentos; a LOC física foi 23 com IA e 17 sem IA. O número de linhas, isoladamente, não indica maior complexidade.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400800" cy="3017520"/>
            <wp:docPr id="3" name="Picture 3" descr="Figura 3. Cada ponto representa um trial; deslocamento horizontal revela valores repetidos. Traço preto = mediana; faixa vertical = Q1 a Q3. Fonte: static_metrics.csv, conferido nas soluções; n = 9 por tratam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3_estru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Cada ponto representa um trial; deslocamento horizontal revela valores repetidos. Traço preto = mediana; faixa vertical = Q1 a Q3. Fonte: static_metrics.csv, conferido nas soluções; n = 9 por tratamento.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E8EE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3360"/>
            <w:shd w:fill="E8EE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Com IA mediana / IQR</w:t>
            </w:r>
          </w:p>
        </w:tc>
        <w:tc>
          <w:tcPr>
            <w:tcW w:type="dxa" w:w="3360"/>
            <w:shd w:fill="E8EE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Sem IA mediana / IQR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CC média por função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4 / 1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4 / 1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Linhas físicas LOC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23 / 5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17 / 15</w:t>
            </w:r>
          </w:p>
        </w:tc>
      </w:tr>
    </w:tbl>
    <w:p>
      <w:pPr>
        <w:spacing w:after="0"/>
      </w:pPr>
    </w:p>
    <w:p>
      <w:r>
        <w:t>As medianas individuais de CC também foram iguais: Ferreira 4/4, Santiago 5/5 e Tavares 4/4 (com/sem IA). A análise bilateral das medianas não possui diferenças não nulas para Wilcoxon. A conclusão é descritiva: não observamos mudança na mediana de CC, sem demonstrar equivalência estrutural.</w:t>
      </w:r>
    </w:p>
    <w:p>
      <w:r>
        <w:t>LOC funciona como controle descritivo; não ajustamos um modelo causal nem dividimos CC automaticamente por LOC. A duplicação não foi medida: o grupo optou por CC e LOC em funções curtas. Portanto, os resultados não respondem à parcela de duplicação da RQ3. O índice de manutenibilidade, opcional, foi mantido fora desta síntese.</w:t>
      </w:r>
    </w:p>
    <w:p>
      <w:pPr>
        <w:pStyle w:val="Heading2"/>
      </w:pPr>
      <w:r>
        <w:t>Convenção estatística</w:t>
      </w:r>
    </w:p>
    <w:p>
      <w:r>
        <w:t>Usamos quartis por interpolação linear inclusiva (tipo 7) em todas as métricas. Essa padronização coincide com o dashboard atual; o relatório inicial de RQ3 usava outra convenção de quartis, por isso seus IQRs de LOC diferem dos apresentados aqui.</w:t>
      </w:r>
    </w:p>
    <w:p>
      <w:r>
        <w:br w:type="page"/>
      </w:r>
    </w:p>
    <w:p>
      <w:pPr>
        <w:pStyle w:val="Heading1"/>
      </w:pPr>
      <w:r>
        <w:t>Discussão e conclusão</w:t>
      </w:r>
    </w:p>
    <w:p>
      <w:pPr>
        <w:pStyle w:val="Heading2"/>
      </w:pPr>
      <w:r>
        <w:t>Validade e revisão dos dados</w:t>
      </w:r>
    </w:p>
    <w:p>
      <w:r>
        <w:t>A principal restrição é o tamanho amostral: três participantes não permitem confirmar o efeito de tempo a 5% pelo teste exato adotado. Katas diferentes em cada tratamento, aprendizado, ordem e familiaridade com IA podem explicar parte das diferenças. A simetria das diferenças, pressuposto do teste, não pode ser avaliada com segurança.</w:t>
      </w:r>
    </w:p>
    <w:p>
      <w:r>
        <w:t>Pela regra de 1,5 × IQR, os tempos sem IA de 122,79 s, 245,54 s, 664,54 s e 908,87 s são observações extremas. Todos foram mantidos: ser extremo não comprova erro, especialmente com nove trials por tratamento. Nenhum tempo com IA ultrapassou esses limites.</w:t>
      </w:r>
    </w:p>
    <w:p>
      <w:r>
        <w:t>O README do dashboard identifica os CSVs como fonte. No commit b09955d, três tempos sem IA de Ferreira foram alterados para 426,47 s, 473,86 s e 521,25 s, sem explicação específica da remedição no README. Usamos a versão atual e preservamos essa ressalva de procedência. Os tempos com IA de poucos segundos também exigem cuidado ao interpretá-los como duração integral de programação.</w:t>
      </w:r>
    </w:p>
    <w:p>
      <w:pPr>
        <w:pStyle w:val="Heading2"/>
      </w:pPr>
      <w:r>
        <w:t>Conclusão</w:t>
      </w:r>
    </w:p>
    <w:p>
      <w:r>
        <w:t>O experimento registra tempos menores com IA, mas não sustenta uma conclusão inferencial de redução de tempo. Não distingue os tratamentos quanto a defeitos nos testes finais ou à mediana de complexidade. Para ampliar a evidência, são necessários mais participantes, registro verificável de início e fim e tarefas que permitam observar falhas antes do green.</w:t>
      </w:r>
    </w:p>
    <w:p>
      <w:pPr>
        <w:pStyle w:val="Heading2"/>
      </w:pPr>
      <w:r>
        <w:t>Reprodução e rastreabilidade</w:t>
      </w:r>
    </w:p>
    <w:p>
      <w:r>
        <w:t>Dados: lab02/data/trials.csv e static_metrics.csv. Soluções: lab02/trials/. Scripts: analyze_rq1_rq2.py, static_metrics.py e scripts/gerar_relatorio_lab02.py. O arquivo resultados_relatorio.json registra os hashes das fontes, quartis, testes e observações extremas. As dependências e os comandos estão em relatorio/lab02/README.md.</w:t>
      </w:r>
    </w:p>
    <w:p>
      <w:r>
        <w:t>O ambiente de coleta foi descrito pelo grupo como Python 3.14; a geração deste relatório usa Python 3.12, SciPy 1.18.1 e Radon 6.0.1. Os timestamps e durações originais não foram reconstituídos. A interpretação do Wilcoxon segue a documentação do SciPy, e o desenho segue o enunciado do Lab02.</w:t>
      </w:r>
    </w:p>
    <w:p>
      <w:pPr>
        <w:pStyle w:val="Caption"/>
        <w:spacing w:after="80"/>
      </w:pPr>
      <w:r>
        <w:t xml:space="preserve">Repositório: </w:t>
      </w:r>
      <w:hyperlink r:id="rId14">
        <w:r>
          <w:t>https://github.com/Druitti/Laboratorio-de-Desenvolvimento-de-Software</w:t>
        </w:r>
      </w:hyperlink>
    </w:p>
    <w:p>
      <w:pPr>
        <w:pStyle w:val="Caption"/>
        <w:spacing w:after="80"/>
      </w:pPr>
      <w:r>
        <w:t xml:space="preserve">GitHub Projects: </w:t>
      </w:r>
      <w:hyperlink r:id="rId15">
        <w:r>
          <w:t>https://github.com/users/Druitti/projects/5</w:t>
        </w:r>
      </w:hyperlink>
    </w:p>
    <w:p>
      <w:pPr>
        <w:pStyle w:val="Caption"/>
        <w:spacing w:after="80"/>
      </w:pPr>
      <w:r>
        <w:t xml:space="preserve">Entrega do relatório: </w:t>
      </w:r>
      <w:hyperlink r:id="rId16">
        <w:r>
          <w:t>https://github.com/Druitti/Laboratorio-de-Desenvolvimento-de-Software/issues/40</w:t>
        </w:r>
      </w:hyperlink>
    </w:p>
    <w:p>
      <w:pPr>
        <w:pStyle w:val="Caption"/>
        <w:spacing w:after="80"/>
      </w:pPr>
      <w:r>
        <w:t xml:space="preserve">Referência estatística: </w:t>
      </w:r>
      <w:hyperlink r:id="rId17">
        <w:r>
          <w:t>https://docs.scipy.org/doc/scipy/reference/generated/scipy.stats.wilcoxon.html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Lab02  •  Relatório final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PUC MINAS  |  LABORATÓRIO DE EXPERIMENTAÇÃO DE SOFTWARE  |  LAB02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hub.com/Druitti/Laboratorio-de-Desenvolvimento-de-Software" TargetMode="External"/><Relationship Id="rId15" Type="http://schemas.openxmlformats.org/officeDocument/2006/relationships/hyperlink" Target="https://github.com/users/Druitti/projects/5" TargetMode="External"/><Relationship Id="rId16" Type="http://schemas.openxmlformats.org/officeDocument/2006/relationships/hyperlink" Target="https://github.com/Druitti/Laboratorio-de-Desenvolvimento-de-Software/issues/40" TargetMode="External"/><Relationship Id="rId17" Type="http://schemas.openxmlformats.org/officeDocument/2006/relationships/hyperlink" Target="https://docs.scipy.org/doc/scipy/reference/generated/scipy.stats.wilcox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Assistentes de IA e codificação manual</dc:title>
  <dc:subject>Relatório final do Lab02</dc:subject>
  <dc:creator>Gabriel Ferreira Amaral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