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594360" cy="594360"/>
            <wp:docPr id="1" name="Picture 1"/>
            <wp:cNvGraphicFramePr>
              <a:graphicFrameLocks noChangeAspect="1"/>
            </wp:cNvGraphicFramePr>
            <a:graphic>
              <a:graphicData uri="http://schemas.openxmlformats.org/drawingml/2006/picture">
                <pic:pic>
                  <pic:nvPicPr>
                    <pic:cNvPr id="0" name="loogo.png"/>
                    <pic:cNvPicPr/>
                  </pic:nvPicPr>
                  <pic:blipFill>
                    <a:blip r:embed="rId10"/>
                    <a:stretch>
                      <a:fillRect/>
                    </a:stretch>
                  </pic:blipFill>
                  <pic:spPr>
                    <a:xfrm>
                      <a:off x="0" y="0"/>
                      <a:ext cx="594360" cy="594360"/>
                    </a:xfrm>
                    <a:prstGeom prst="rect"/>
                  </pic:spPr>
                </pic:pic>
              </a:graphicData>
            </a:graphic>
          </wp:inline>
        </w:drawing>
      </w:r>
    </w:p>
    <w:p>
      <w:pPr>
        <w:spacing w:before="240" w:after="60"/>
      </w:pPr>
      <w:r>
        <w:rPr>
          <w:rFonts w:ascii="Calibri" w:hAnsi="Calibri"/>
          <w:b/>
          <w:color w:val="192535"/>
          <w:sz w:val="48"/>
        </w:rPr>
        <w:t>L&amp;B Global Website Worker User Guide</w:t>
      </w:r>
    </w:p>
    <w:p>
      <w:pPr>
        <w:spacing w:after="360"/>
      </w:pPr>
      <w:r>
        <w:rPr>
          <w:color w:val="59636E"/>
          <w:sz w:val="26"/>
        </w:rPr>
        <w:t>Client handover draft for staff using the website and CRM</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vAlign w:val="top"/>
            <w:shd w:fill="F2F4F7"/>
          </w:tcPr>
          <w:p>
            <w:pPr>
              <w:spacing w:after="40"/>
            </w:pPr>
            <w:r/>
            <w:r>
              <w:rPr>
                <w:rFonts w:ascii="Calibri" w:hAnsi="Calibri"/>
                <w:b/>
                <w:color w:val="192535"/>
                <w:sz w:val="19"/>
              </w:rPr>
              <w:t>Prepared for</w:t>
            </w:r>
          </w:p>
        </w:tc>
        <w:tc>
          <w:tcPr>
            <w:tcW w:type="dxa" w:w="6860"/>
            <w:vAlign w:val="top"/>
          </w:tcPr>
          <w:p>
            <w:pPr>
              <w:spacing w:after="40"/>
            </w:pPr>
            <w:r/>
            <w:r>
              <w:rPr>
                <w:rFonts w:ascii="Calibri" w:hAnsi="Calibri"/>
                <w:b w:val="0"/>
                <w:color w:val="192535"/>
                <w:sz w:val="19"/>
              </w:rPr>
              <w:t>L&amp;B Global client handover</w:t>
            </w:r>
          </w:p>
        </w:tc>
      </w:tr>
      <w:tr>
        <w:tc>
          <w:tcPr>
            <w:tcW w:type="dxa" w:w="2500"/>
            <w:vAlign w:val="top"/>
            <w:shd w:fill="F2F4F7"/>
          </w:tcPr>
          <w:p>
            <w:pPr>
              <w:spacing w:after="40"/>
            </w:pPr>
            <w:r/>
            <w:r>
              <w:rPr>
                <w:rFonts w:ascii="Calibri" w:hAnsi="Calibri"/>
                <w:b/>
                <w:color w:val="192535"/>
                <w:sz w:val="19"/>
              </w:rPr>
              <w:t>Audience</w:t>
            </w:r>
          </w:p>
        </w:tc>
        <w:tc>
          <w:tcPr>
            <w:tcW w:type="dxa" w:w="6860"/>
            <w:vAlign w:val="top"/>
          </w:tcPr>
          <w:p>
            <w:pPr>
              <w:spacing w:after="40"/>
            </w:pPr>
            <w:r/>
            <w:r>
              <w:rPr>
                <w:rFonts w:ascii="Calibri" w:hAnsi="Calibri"/>
                <w:b w:val="0"/>
                <w:color w:val="192535"/>
                <w:sz w:val="19"/>
              </w:rPr>
              <w:t>Admins, Agents, and Case Managers</w:t>
            </w:r>
          </w:p>
        </w:tc>
      </w:tr>
      <w:tr>
        <w:tc>
          <w:tcPr>
            <w:tcW w:type="dxa" w:w="2500"/>
            <w:vAlign w:val="top"/>
            <w:shd w:fill="F2F4F7"/>
          </w:tcPr>
          <w:p>
            <w:pPr>
              <w:spacing w:after="40"/>
            </w:pPr>
            <w:r/>
            <w:r>
              <w:rPr>
                <w:rFonts w:ascii="Calibri" w:hAnsi="Calibri"/>
                <w:b/>
                <w:color w:val="192535"/>
                <w:sz w:val="19"/>
              </w:rPr>
              <w:t>Version</w:t>
            </w:r>
          </w:p>
        </w:tc>
        <w:tc>
          <w:tcPr>
            <w:tcW w:type="dxa" w:w="6860"/>
            <w:vAlign w:val="top"/>
          </w:tcPr>
          <w:p>
            <w:pPr>
              <w:spacing w:after="40"/>
            </w:pPr>
            <w:r/>
            <w:r>
              <w:rPr>
                <w:rFonts w:ascii="Calibri" w:hAnsi="Calibri"/>
                <w:b w:val="0"/>
                <w:color w:val="192535"/>
                <w:sz w:val="19"/>
              </w:rPr>
              <w:t>Draft 1.0</w:t>
            </w:r>
          </w:p>
        </w:tc>
      </w:tr>
      <w:tr>
        <w:tc>
          <w:tcPr>
            <w:tcW w:type="dxa" w:w="2500"/>
            <w:vAlign w:val="top"/>
            <w:shd w:fill="F2F4F7"/>
          </w:tcPr>
          <w:p>
            <w:pPr>
              <w:spacing w:after="40"/>
            </w:pPr>
            <w:r/>
            <w:r>
              <w:rPr>
                <w:rFonts w:ascii="Calibri" w:hAnsi="Calibri"/>
                <w:b/>
                <w:color w:val="192535"/>
                <w:sz w:val="19"/>
              </w:rPr>
              <w:t>Prepared</w:t>
            </w:r>
          </w:p>
        </w:tc>
        <w:tc>
          <w:tcPr>
            <w:tcW w:type="dxa" w:w="6860"/>
            <w:vAlign w:val="top"/>
          </w:tcPr>
          <w:p>
            <w:pPr>
              <w:spacing w:after="40"/>
            </w:pPr>
            <w:r/>
            <w:r>
              <w:rPr>
                <w:rFonts w:ascii="Calibri" w:hAnsi="Calibri"/>
                <w:b w:val="0"/>
                <w:color w:val="192535"/>
                <w:sz w:val="19"/>
              </w:rPr>
              <w:t>May 2026</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top"/>
            <w:shd w:fill="F7F9FC"/>
          </w:tcPr>
          <w:p>
            <w:pPr>
              <w:spacing w:after="40"/>
            </w:pPr>
            <w:r>
              <w:rPr>
                <w:b/>
                <w:color w:val="1F4D78"/>
                <w:sz w:val="20"/>
              </w:rPr>
              <w:t>Purpose</w:t>
            </w:r>
          </w:p>
          <w:p>
            <w:pPr>
              <w:spacing w:after="0" w:line="288" w:lineRule="auto"/>
            </w:pPr>
            <w:r>
              <w:t>This guide is written for staff who will use the website day to day. It explains what each worker role can do, how new inquiries move through the system, and how to manage student cases, tasks, documents, communications, contracts, invoices, and notifications.</w:t>
            </w:r>
          </w:p>
        </w:tc>
      </w:tr>
    </w:tbl>
    <w:p/>
    <w:p>
      <w:r>
        <w:br w:type="page"/>
      </w:r>
    </w:p>
    <w:p>
      <w:pPr>
        <w:pStyle w:val="Heading1"/>
      </w:pPr>
      <w:r>
        <w:t>Role Access At A Glance</w:t>
      </w:r>
    </w:p>
    <w:tbl>
      <w:tblPr>
        <w:tblW w:type="dxa" w:w="9360"/>
        <w:jc w:val="left"/>
        <w:tblLayout w:type="fixed"/>
        <w:tblLook w:firstColumn="1" w:firstRow="1" w:lastColumn="0" w:lastRow="0" w:noHBand="0" w:noVBand="1" w:val="04A0"/>
        <w:tblInd w:w="120" w:type="dxa"/>
      </w:tblPr>
      <w:tblGrid>
        <w:gridCol w:w="1800"/>
        <w:gridCol w:w="3300"/>
        <w:gridCol w:w="4260"/>
      </w:tblGrid>
      <w:tr>
        <w:tc>
          <w:tcPr>
            <w:tcW w:type="dxa" w:w="1800"/>
            <w:vAlign w:val="top"/>
            <w:shd w:fill="E8EEF5"/>
          </w:tcPr>
          <w:p>
            <w:pPr>
              <w:spacing w:after="40"/>
            </w:pPr>
            <w:r/>
            <w:r>
              <w:rPr>
                <w:rFonts w:ascii="Calibri" w:hAnsi="Calibri"/>
                <w:b/>
                <w:color w:val="192535"/>
                <w:sz w:val="19"/>
              </w:rPr>
              <w:t>Role</w:t>
            </w:r>
          </w:p>
        </w:tc>
        <w:tc>
          <w:tcPr>
            <w:tcW w:type="dxa" w:w="3300"/>
            <w:vAlign w:val="top"/>
            <w:shd w:fill="E8EEF5"/>
          </w:tcPr>
          <w:p>
            <w:pPr>
              <w:spacing w:after="40"/>
            </w:pPr>
            <w:r/>
            <w:r>
              <w:rPr>
                <w:rFonts w:ascii="Calibri" w:hAnsi="Calibri"/>
                <w:b/>
                <w:color w:val="192535"/>
                <w:sz w:val="19"/>
              </w:rPr>
              <w:t>Main Dashboard</w:t>
            </w:r>
          </w:p>
        </w:tc>
        <w:tc>
          <w:tcPr>
            <w:tcW w:type="dxa" w:w="4260"/>
            <w:vAlign w:val="top"/>
            <w:shd w:fill="E8EEF5"/>
          </w:tcPr>
          <w:p>
            <w:pPr>
              <w:spacing w:after="40"/>
            </w:pPr>
            <w:r/>
            <w:r>
              <w:rPr>
                <w:rFonts w:ascii="Calibri" w:hAnsi="Calibri"/>
                <w:b/>
                <w:color w:val="192535"/>
                <w:sz w:val="19"/>
              </w:rPr>
              <w:t>Typical Responsibilities</w:t>
            </w:r>
          </w:p>
        </w:tc>
      </w:tr>
      <w:tr>
        <w:tc>
          <w:tcPr>
            <w:tcW w:type="dxa" w:w="1800"/>
          </w:tcPr>
          <w:p>
            <w:pPr>
              <w:spacing w:after="40"/>
            </w:pPr>
            <w:r/>
            <w:r>
              <w:rPr>
                <w:rFonts w:ascii="Calibri" w:hAnsi="Calibri"/>
                <w:b/>
                <w:color w:val="192535"/>
                <w:sz w:val="19"/>
              </w:rPr>
              <w:t>Admin</w:t>
            </w:r>
          </w:p>
        </w:tc>
        <w:tc>
          <w:tcPr>
            <w:tcW w:type="dxa" w:w="3300"/>
          </w:tcPr>
          <w:p>
            <w:pPr>
              <w:spacing w:after="40"/>
            </w:pPr>
            <w:r/>
            <w:r>
              <w:rPr>
                <w:rFonts w:ascii="Calibri" w:hAnsi="Calibri"/>
                <w:b w:val="0"/>
                <w:color w:val="192535"/>
                <w:sz w:val="19"/>
              </w:rPr>
              <w:t>/dashboard/admin</w:t>
            </w:r>
          </w:p>
        </w:tc>
        <w:tc>
          <w:tcPr>
            <w:tcW w:type="dxa" w:w="4260"/>
          </w:tcPr>
          <w:p>
            <w:pPr>
              <w:spacing w:after="40"/>
            </w:pPr>
            <w:r/>
            <w:r>
              <w:rPr>
                <w:rFonts w:ascii="Calibri" w:hAnsi="Calibri"/>
                <w:b w:val="0"/>
                <w:color w:val="192535"/>
                <w:sz w:val="19"/>
              </w:rPr>
              <w:t>Full system control, staff accounts, all students, analytics, settings, templates, lead sources, and content.</w:t>
            </w:r>
          </w:p>
        </w:tc>
      </w:tr>
      <w:tr>
        <w:tc>
          <w:tcPr>
            <w:tcW w:type="dxa" w:w="1800"/>
          </w:tcPr>
          <w:p>
            <w:pPr>
              <w:spacing w:after="40"/>
            </w:pPr>
            <w:r/>
            <w:r>
              <w:rPr>
                <w:rFonts w:ascii="Calibri" w:hAnsi="Calibri"/>
                <w:b/>
                <w:color w:val="192535"/>
                <w:sz w:val="19"/>
              </w:rPr>
              <w:t>Agent</w:t>
            </w:r>
          </w:p>
        </w:tc>
        <w:tc>
          <w:tcPr>
            <w:tcW w:type="dxa" w:w="3300"/>
          </w:tcPr>
          <w:p>
            <w:pPr>
              <w:spacing w:after="40"/>
            </w:pPr>
            <w:r/>
            <w:r>
              <w:rPr>
                <w:rFonts w:ascii="Calibri" w:hAnsi="Calibri"/>
                <w:b w:val="0"/>
                <w:color w:val="192535"/>
                <w:sz w:val="19"/>
              </w:rPr>
              <w:t>/dashboard/sub-admin</w:t>
            </w:r>
          </w:p>
        </w:tc>
        <w:tc>
          <w:tcPr>
            <w:tcW w:type="dxa" w:w="4260"/>
          </w:tcPr>
          <w:p>
            <w:pPr>
              <w:spacing w:after="40"/>
            </w:pPr>
            <w:r/>
            <w:r>
              <w:rPr>
                <w:rFonts w:ascii="Calibri" w:hAnsi="Calibri"/>
                <w:b w:val="0"/>
                <w:color w:val="192535"/>
                <w:sz w:val="19"/>
              </w:rPr>
              <w:t>Claim and manage inquiries, update statuses, delegate to case managers, oversee team work, and manage assigned cases.</w:t>
            </w:r>
          </w:p>
        </w:tc>
      </w:tr>
      <w:tr>
        <w:tc>
          <w:tcPr>
            <w:tcW w:type="dxa" w:w="1800"/>
          </w:tcPr>
          <w:p>
            <w:pPr>
              <w:spacing w:after="40"/>
            </w:pPr>
            <w:r/>
            <w:r>
              <w:rPr>
                <w:rFonts w:ascii="Calibri" w:hAnsi="Calibri"/>
                <w:b/>
                <w:color w:val="192535"/>
                <w:sz w:val="19"/>
              </w:rPr>
              <w:t>Case Manager</w:t>
            </w:r>
          </w:p>
        </w:tc>
        <w:tc>
          <w:tcPr>
            <w:tcW w:type="dxa" w:w="3300"/>
          </w:tcPr>
          <w:p>
            <w:pPr>
              <w:spacing w:after="40"/>
            </w:pPr>
            <w:r/>
            <w:r>
              <w:rPr>
                <w:rFonts w:ascii="Calibri" w:hAnsi="Calibri"/>
                <w:b w:val="0"/>
                <w:color w:val="192535"/>
                <w:sz w:val="19"/>
              </w:rPr>
              <w:t>/dashboard/internal-staff</w:t>
            </w:r>
          </w:p>
        </w:tc>
        <w:tc>
          <w:tcPr>
            <w:tcW w:type="dxa" w:w="4260"/>
          </w:tcPr>
          <w:p>
            <w:pPr>
              <w:spacing w:after="40"/>
            </w:pPr>
            <w:r/>
            <w:r>
              <w:rPr>
                <w:rFonts w:ascii="Calibri" w:hAnsi="Calibri"/>
                <w:b w:val="0"/>
                <w:color w:val="192535"/>
                <w:sz w:val="19"/>
              </w:rPr>
              <w:t>Work assigned cases, complete tasks, upload or verify documents, manage follow-ups, and coordinate through notes/chat.</w:t>
            </w:r>
          </w:p>
        </w:tc>
      </w:tr>
      <w:tr>
        <w:tc>
          <w:tcPr>
            <w:tcW w:type="dxa" w:w="1800"/>
          </w:tcPr>
          <w:p>
            <w:pPr>
              <w:spacing w:after="40"/>
            </w:pPr>
            <w:r/>
            <w:r>
              <w:rPr>
                <w:rFonts w:ascii="Calibri" w:hAnsi="Calibri"/>
                <w:b/>
                <w:color w:val="192535"/>
                <w:sz w:val="19"/>
              </w:rPr>
              <w:t>Applicant</w:t>
            </w:r>
          </w:p>
        </w:tc>
        <w:tc>
          <w:tcPr>
            <w:tcW w:type="dxa" w:w="3300"/>
          </w:tcPr>
          <w:p>
            <w:pPr>
              <w:spacing w:after="40"/>
            </w:pPr>
            <w:r/>
            <w:r>
              <w:rPr>
                <w:rFonts w:ascii="Calibri" w:hAnsi="Calibri"/>
                <w:b w:val="0"/>
                <w:color w:val="192535"/>
                <w:sz w:val="19"/>
              </w:rPr>
              <w:t>No staff dashboard</w:t>
            </w:r>
          </w:p>
        </w:tc>
        <w:tc>
          <w:tcPr>
            <w:tcW w:type="dxa" w:w="4260"/>
          </w:tcPr>
          <w:p>
            <w:pPr>
              <w:spacing w:after="40"/>
            </w:pPr>
            <w:r/>
            <w:r>
              <w:rPr>
                <w:rFonts w:ascii="Calibri" w:hAnsi="Calibri"/>
                <w:b w:val="0"/>
                <w:color w:val="192535"/>
                <w:sz w:val="19"/>
              </w:rPr>
              <w:t>Applicants submit public forms only. They are stored as student records but do not use a worker login.</w:t>
            </w:r>
          </w:p>
        </w:tc>
      </w:tr>
    </w:tbl>
    <w:p>
      <w:pPr>
        <w:pStyle w:val="Heading1"/>
      </w:pPr>
      <w:r>
        <w:t>Daily Start Checklist</w:t>
      </w:r>
    </w:p>
    <w:p>
      <w:pPr>
        <w:pStyle w:val="ListNumber"/>
        <w:spacing w:after="80" w:line="300" w:lineRule="auto"/>
      </w:pPr>
      <w:r>
        <w:t>Sign in at /login using the staff email and password provided by the administrator.</w:t>
      </w:r>
    </w:p>
    <w:p>
      <w:pPr>
        <w:pStyle w:val="ListNumber"/>
        <w:spacing w:after="80" w:line="300" w:lineRule="auto"/>
      </w:pPr>
      <w:r>
        <w:t>Confirm the role badge in the top bar: Admin, Agent, or Case Manager.</w:t>
      </w:r>
    </w:p>
    <w:p>
      <w:pPr>
        <w:pStyle w:val="ListNumber"/>
        <w:spacing w:after="80" w:line="300" w:lineRule="auto"/>
      </w:pPr>
      <w:r>
        <w:t>Check the notification bell for action-required items such as new applications or returned documents.</w:t>
      </w:r>
    </w:p>
    <w:p>
      <w:pPr>
        <w:pStyle w:val="ListNumber"/>
        <w:spacing w:after="80" w:line="300" w:lineRule="auto"/>
      </w:pPr>
      <w:r>
        <w:t>Check the Reminders widget for overdue follow-ups, visa expiry risks, task due dates, contract reminders, invoice reminders, and stalled case stages.</w:t>
      </w:r>
    </w:p>
    <w:p>
      <w:pPr>
        <w:pStyle w:val="ListNumber"/>
        <w:spacing w:after="80" w:line="300" w:lineRule="auto"/>
      </w:pPr>
      <w:r>
        <w:t>Use Student Search in the top bar when you need to open a known student quickly.</w:t>
      </w:r>
    </w:p>
    <w:p>
      <w:pPr>
        <w:pStyle w:val="ListNumber"/>
        <w:spacing w:after="80" w:line="300" w:lineRule="auto"/>
      </w:pPr>
      <w:r>
        <w:t>Review your dashboard tabs and work from the highest urgency items first: unassigned inquiries, overdue follow-ups, pending documents, and blocked tasks.</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shd w:fill="F7F9FC"/>
          </w:tcPr>
          <w:p>
            <w:pPr>
              <w:spacing w:after="40"/>
            </w:pPr>
            <w:r>
              <w:rPr>
                <w:b/>
                <w:color w:val="1F4D78"/>
                <w:sz w:val="20"/>
              </w:rPr>
              <w:t>Good operating habit</w:t>
            </w:r>
          </w:p>
          <w:p>
            <w:pPr>
              <w:spacing w:after="0" w:line="288" w:lineRule="auto"/>
            </w:pPr>
            <w:r>
              <w:t>Open a student profile before making case decisions. The profile brings together notes, submission answers, case stage, documents, financials, audit history, and contribution history.</w:t>
            </w:r>
          </w:p>
        </w:tc>
      </w:tr>
    </w:tbl>
    <w:p/>
    <w:p>
      <w:pPr>
        <w:pStyle w:val="Heading1"/>
      </w:pPr>
      <w:r>
        <w:t>Using The Dashboards</w:t>
      </w:r>
    </w:p>
    <w:p>
      <w:pPr>
        <w:pStyle w:val="Heading2"/>
      </w:pPr>
      <w:r>
        <w:t>Admin Dashboard</w:t>
      </w:r>
    </w:p>
    <w:p>
      <w:pPr>
        <w:pStyle w:val="ListBullet"/>
        <w:spacing w:after="80" w:line="300" w:lineRule="auto"/>
      </w:pPr>
      <w:r>
        <w:t>Overview: review executive snapshot numbers, reminders, new unclaimed inquiries, case stage funnel, open tasks, pending documents, draft contracts, and draft invoices.</w:t>
      </w:r>
    </w:p>
    <w:p>
      <w:pPr>
        <w:pStyle w:val="ListBullet"/>
        <w:spacing w:after="80" w:line="300" w:lineRule="auto"/>
      </w:pPr>
      <w:r>
        <w:t>Students: filter and open student records, assign submissions to agents, delegate students to internal staff, and export student/submission CSV data.</w:t>
      </w:r>
    </w:p>
    <w:p>
      <w:pPr>
        <w:pStyle w:val="ListBullet"/>
        <w:spacing w:after="80" w:line="300" w:lineRule="auto"/>
      </w:pPr>
      <w:r>
        <w:t>Analytics: review geography, course, intake, and application funnel charts. Use Lead Sources for deeper marketing-source analysis.</w:t>
      </w:r>
    </w:p>
    <w:p>
      <w:pPr>
        <w:pStyle w:val="ListBullet"/>
        <w:spacing w:after="80" w:line="300" w:lineRule="auto"/>
      </w:pPr>
      <w:r>
        <w:t>Staff &amp; Content: create or edit Admin, Agent, and Case Manager accounts; manage team relationships, questionnaire templates, email templates, company settings, and newsletter/content posts.</w:t>
      </w:r>
    </w:p>
    <w:p>
      <w:pPr>
        <w:pStyle w:val="ListBullet"/>
        <w:spacing w:after="80" w:line="300" w:lineRule="auto"/>
      </w:pPr>
      <w:r>
        <w:t>Contributions: review team contribution scores across cases.</w:t>
      </w:r>
    </w:p>
    <w:p>
      <w:pPr>
        <w:pStyle w:val="Heading2"/>
      </w:pPr>
      <w:r>
        <w:t>Agent Dashboard</w:t>
      </w:r>
    </w:p>
    <w:p>
      <w:pPr>
        <w:pStyle w:val="ListBullet"/>
        <w:spacing w:after="80" w:line="300" w:lineRule="auto"/>
      </w:pPr>
      <w:r>
        <w:t>Overview: monitor new unclaimed inquiries, pending approvals, unassigned cases, overloaded team members, overdue follow-ups, team member counts, and case stage funnel.</w:t>
      </w:r>
    </w:p>
    <w:p>
      <w:pPr>
        <w:pStyle w:val="ListBullet"/>
        <w:spacing w:after="80" w:line="300" w:lineRule="auto"/>
      </w:pPr>
      <w:r>
        <w:t>Students: use saved filters for All Cases, Unassigned Cases, Overdue Follow-ups, and Needs Approval. Agents can claim unassigned cases, update statuses, bulk update selected submissions, delegate work, or escalate a case.</w:t>
      </w:r>
    </w:p>
    <w:p>
      <w:pPr>
        <w:pStyle w:val="ListBullet"/>
        <w:spacing w:after="80" w:line="300" w:lineRule="auto"/>
      </w:pPr>
      <w:r>
        <w:t>Team &amp; Operations: review approval queues, assignment boards, delegation snapshots, team workload, and authored home-page/newsletter posts.</w:t>
      </w:r>
    </w:p>
    <w:p>
      <w:pPr>
        <w:pStyle w:val="ListBullet"/>
        <w:spacing w:after="80" w:line="300" w:lineRule="auto"/>
      </w:pPr>
      <w:r>
        <w:t>Contributions: see contribution leaderboards for assigned cases.</w:t>
      </w:r>
    </w:p>
    <w:p>
      <w:pPr>
        <w:pStyle w:val="Heading2"/>
      </w:pPr>
      <w:r>
        <w:t>Case Manager Dashboard</w:t>
      </w:r>
    </w:p>
    <w:p>
      <w:pPr>
        <w:pStyle w:val="ListBullet"/>
        <w:spacing w:after="80" w:line="300" w:lineRule="auto"/>
      </w:pPr>
      <w:r>
        <w:t>Overview: review active cases, open tasks, overdue items, pending document reviews, reminders, daily work report, and case stage pipeline.</w:t>
      </w:r>
    </w:p>
    <w:p>
      <w:pPr>
        <w:pStyle w:val="ListBullet"/>
        <w:spacing w:after="80" w:line="300" w:lineRule="auto"/>
      </w:pPr>
      <w:r>
        <w:t>Work Queue: use All Work, Overdue Focus, or Due Today filters to decide what to complete next.</w:t>
      </w:r>
    </w:p>
    <w:p>
      <w:pPr>
        <w:pStyle w:val="ListBullet"/>
        <w:spacing w:after="80" w:line="300" w:lineRule="auto"/>
      </w:pPr>
      <w:r>
        <w:t>Tasks &amp; Docs: update task statuses in bulk and verify or reject pending documents.</w:t>
      </w:r>
    </w:p>
    <w:p>
      <w:pPr>
        <w:pStyle w:val="ListBullet"/>
        <w:spacing w:after="80" w:line="300" w:lineRule="auto"/>
      </w:pPr>
      <w:r>
        <w:t>Students: view assigned student records and add new students or clients when permitted.</w:t>
      </w:r>
    </w:p>
    <w:p>
      <w:pPr>
        <w:pStyle w:val="ListBullet"/>
        <w:spacing w:after="80" w:line="300" w:lineRule="auto"/>
      </w:pPr>
      <w:r>
        <w:t>Contributions: review contribution scores for work completed on cases.</w:t>
      </w:r>
    </w:p>
    <w:p>
      <w:pPr>
        <w:pStyle w:val="Heading1"/>
      </w:pPr>
      <w:r>
        <w:t>New Inquiry Workflow</w:t>
      </w:r>
    </w:p>
    <w:p>
      <w:pPr>
        <w:spacing w:after="120" w:line="300" w:lineRule="auto"/>
      </w:pPr>
      <w:r>
        <w:t>New applicants usually enter through the public Apply form. Staff can also manually add a Student or Client from the Agent or Case Manager dashboards.</w:t>
      </w:r>
    </w:p>
    <w:p>
      <w:pPr>
        <w:pStyle w:val="ListNumber"/>
        <w:spacing w:after="80" w:line="300" w:lineRule="auto"/>
      </w:pPr>
      <w:r>
        <w:t>Applicant submits the Apply form, or staff adds a Student/Client manually.</w:t>
      </w:r>
    </w:p>
    <w:p>
      <w:pPr>
        <w:pStyle w:val="ListNumber"/>
        <w:spacing w:after="80" w:line="300" w:lineRule="auto"/>
      </w:pPr>
      <w:r>
        <w:t>The system creates or updates the applicant record and creates a questionnaire submission.</w:t>
      </w:r>
    </w:p>
    <w:p>
      <w:pPr>
        <w:pStyle w:val="ListNumber"/>
        <w:spacing w:after="80" w:line="300" w:lineRule="auto"/>
      </w:pPr>
      <w:r>
        <w:t>New public inquiries are unclaimed by default and appear in the New Inquiries card for Admins and Agents.</w:t>
      </w:r>
    </w:p>
    <w:p>
      <w:pPr>
        <w:pStyle w:val="ListNumber"/>
        <w:spacing w:after="80" w:line="300" w:lineRule="auto"/>
      </w:pPr>
      <w:r>
        <w:t>Admins and Agents receive a workflow notification. Public inquiries also queue an email notice to active Admins and Agents.</w:t>
      </w:r>
    </w:p>
    <w:p>
      <w:pPr>
        <w:pStyle w:val="ListNumber"/>
        <w:spacing w:after="80" w:line="300" w:lineRule="auto"/>
      </w:pPr>
      <w:r>
        <w:t>An Admin or Agent claims the submission. Claiming sets the submission to Under Review when it was previously unassigned.</w:t>
      </w:r>
    </w:p>
    <w:p>
      <w:pPr>
        <w:pStyle w:val="ListNumber"/>
        <w:spacing w:after="80" w:line="300" w:lineRule="auto"/>
      </w:pPr>
      <w:r>
        <w:t>The worker opens the student profile, reviews answers, records notes, sets the next case stage, assigns/delegates where needed, and begins tasks or document requests.</w:t>
      </w:r>
    </w:p>
    <w:p>
      <w:pPr>
        <w:pStyle w:val="Heading2"/>
      </w:pPr>
      <w:r>
        <w:t>Submission Statuses</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vAlign w:val="top"/>
            <w:shd w:fill="E8EEF5"/>
          </w:tcPr>
          <w:p>
            <w:pPr>
              <w:spacing w:after="40"/>
            </w:pPr>
            <w:r/>
            <w:r>
              <w:rPr>
                <w:rFonts w:ascii="Calibri" w:hAnsi="Calibri"/>
                <w:b/>
                <w:color w:val="192535"/>
                <w:sz w:val="19"/>
              </w:rPr>
              <w:t>Status</w:t>
            </w:r>
          </w:p>
        </w:tc>
        <w:tc>
          <w:tcPr>
            <w:tcW w:type="dxa" w:w="6860"/>
            <w:vAlign w:val="top"/>
            <w:shd w:fill="E8EEF5"/>
          </w:tcPr>
          <w:p>
            <w:pPr>
              <w:spacing w:after="40"/>
            </w:pPr>
            <w:r/>
            <w:r>
              <w:rPr>
                <w:rFonts w:ascii="Calibri" w:hAnsi="Calibri"/>
                <w:b/>
                <w:color w:val="192535"/>
                <w:sz w:val="19"/>
              </w:rPr>
              <w:t>When to use it</w:t>
            </w:r>
          </w:p>
        </w:tc>
      </w:tr>
      <w:tr>
        <w:tc>
          <w:tcPr>
            <w:tcW w:type="dxa" w:w="2500"/>
          </w:tcPr>
          <w:p>
            <w:pPr>
              <w:spacing w:after="40"/>
            </w:pPr>
            <w:r/>
            <w:r>
              <w:rPr>
                <w:rFonts w:ascii="Calibri" w:hAnsi="Calibri"/>
                <w:b/>
                <w:color w:val="192535"/>
                <w:sz w:val="19"/>
              </w:rPr>
              <w:t>Submitted</w:t>
            </w:r>
          </w:p>
        </w:tc>
        <w:tc>
          <w:tcPr>
            <w:tcW w:type="dxa" w:w="6860"/>
          </w:tcPr>
          <w:p>
            <w:pPr>
              <w:spacing w:after="40"/>
            </w:pPr>
            <w:r/>
            <w:r>
              <w:rPr>
                <w:rFonts w:ascii="Calibri" w:hAnsi="Calibri"/>
                <w:b w:val="0"/>
                <w:color w:val="192535"/>
                <w:sz w:val="19"/>
              </w:rPr>
              <w:t>A new inquiry has arrived and has not yet been reviewed.</w:t>
            </w:r>
          </w:p>
        </w:tc>
      </w:tr>
      <w:tr>
        <w:tc>
          <w:tcPr>
            <w:tcW w:type="dxa" w:w="2500"/>
          </w:tcPr>
          <w:p>
            <w:pPr>
              <w:spacing w:after="40"/>
            </w:pPr>
            <w:r/>
            <w:r>
              <w:rPr>
                <w:rFonts w:ascii="Calibri" w:hAnsi="Calibri"/>
                <w:b/>
                <w:color w:val="192535"/>
                <w:sz w:val="19"/>
              </w:rPr>
              <w:t>Under Review</w:t>
            </w:r>
          </w:p>
        </w:tc>
        <w:tc>
          <w:tcPr>
            <w:tcW w:type="dxa" w:w="6860"/>
          </w:tcPr>
          <w:p>
            <w:pPr>
              <w:spacing w:after="40"/>
            </w:pPr>
            <w:r/>
            <w:r>
              <w:rPr>
                <w:rFonts w:ascii="Calibri" w:hAnsi="Calibri"/>
                <w:b w:val="0"/>
                <w:color w:val="192535"/>
                <w:sz w:val="19"/>
              </w:rPr>
              <w:t>A staff member has started assessing the inquiry.</w:t>
            </w:r>
          </w:p>
        </w:tc>
      </w:tr>
      <w:tr>
        <w:tc>
          <w:tcPr>
            <w:tcW w:type="dxa" w:w="2500"/>
          </w:tcPr>
          <w:p>
            <w:pPr>
              <w:spacing w:after="40"/>
            </w:pPr>
            <w:r/>
            <w:r>
              <w:rPr>
                <w:rFonts w:ascii="Calibri" w:hAnsi="Calibri"/>
                <w:b/>
                <w:color w:val="192535"/>
                <w:sz w:val="19"/>
              </w:rPr>
              <w:t>Docs Requested</w:t>
            </w:r>
          </w:p>
        </w:tc>
        <w:tc>
          <w:tcPr>
            <w:tcW w:type="dxa" w:w="6860"/>
          </w:tcPr>
          <w:p>
            <w:pPr>
              <w:spacing w:after="40"/>
            </w:pPr>
            <w:r/>
            <w:r>
              <w:rPr>
                <w:rFonts w:ascii="Calibri" w:hAnsi="Calibri"/>
                <w:b w:val="0"/>
                <w:color w:val="192535"/>
                <w:sz w:val="19"/>
              </w:rPr>
              <w:t>The team needs more documents from the applicant.</w:t>
            </w:r>
          </w:p>
        </w:tc>
      </w:tr>
      <w:tr>
        <w:tc>
          <w:tcPr>
            <w:tcW w:type="dxa" w:w="2500"/>
          </w:tcPr>
          <w:p>
            <w:pPr>
              <w:spacing w:after="40"/>
            </w:pPr>
            <w:r/>
            <w:r>
              <w:rPr>
                <w:rFonts w:ascii="Calibri" w:hAnsi="Calibri"/>
                <w:b/>
                <w:color w:val="192535"/>
                <w:sz w:val="19"/>
              </w:rPr>
              <w:t>Offer Received</w:t>
            </w:r>
          </w:p>
        </w:tc>
        <w:tc>
          <w:tcPr>
            <w:tcW w:type="dxa" w:w="6860"/>
          </w:tcPr>
          <w:p>
            <w:pPr>
              <w:spacing w:after="40"/>
            </w:pPr>
            <w:r/>
            <w:r>
              <w:rPr>
                <w:rFonts w:ascii="Calibri" w:hAnsi="Calibri"/>
                <w:b w:val="0"/>
                <w:color w:val="192535"/>
                <w:sz w:val="19"/>
              </w:rPr>
              <w:t>An offer has been received and follow-up work continues.</w:t>
            </w:r>
          </w:p>
        </w:tc>
      </w:tr>
      <w:tr>
        <w:tc>
          <w:tcPr>
            <w:tcW w:type="dxa" w:w="2500"/>
          </w:tcPr>
          <w:p>
            <w:pPr>
              <w:spacing w:after="40"/>
            </w:pPr>
            <w:r/>
            <w:r>
              <w:rPr>
                <w:rFonts w:ascii="Calibri" w:hAnsi="Calibri"/>
                <w:b/>
                <w:color w:val="192535"/>
                <w:sz w:val="19"/>
              </w:rPr>
              <w:t>Visa Granted</w:t>
            </w:r>
          </w:p>
        </w:tc>
        <w:tc>
          <w:tcPr>
            <w:tcW w:type="dxa" w:w="6860"/>
          </w:tcPr>
          <w:p>
            <w:pPr>
              <w:spacing w:after="40"/>
            </w:pPr>
            <w:r/>
            <w:r>
              <w:rPr>
                <w:rFonts w:ascii="Calibri" w:hAnsi="Calibri"/>
                <w:b w:val="0"/>
                <w:color w:val="192535"/>
                <w:sz w:val="19"/>
              </w:rPr>
              <w:t>Visa outcome is successful.</w:t>
            </w:r>
          </w:p>
        </w:tc>
      </w:tr>
      <w:tr>
        <w:tc>
          <w:tcPr>
            <w:tcW w:type="dxa" w:w="2500"/>
          </w:tcPr>
          <w:p>
            <w:pPr>
              <w:spacing w:after="40"/>
            </w:pPr>
            <w:r/>
            <w:r>
              <w:rPr>
                <w:rFonts w:ascii="Calibri" w:hAnsi="Calibri"/>
                <w:b/>
                <w:color w:val="192535"/>
                <w:sz w:val="19"/>
              </w:rPr>
              <w:t>Rejected</w:t>
            </w:r>
          </w:p>
        </w:tc>
        <w:tc>
          <w:tcPr>
            <w:tcW w:type="dxa" w:w="6860"/>
          </w:tcPr>
          <w:p>
            <w:pPr>
              <w:spacing w:after="40"/>
            </w:pPr>
            <w:r/>
            <w:r>
              <w:rPr>
                <w:rFonts w:ascii="Calibri" w:hAnsi="Calibri"/>
                <w:b w:val="0"/>
                <w:color w:val="192535"/>
                <w:sz w:val="19"/>
              </w:rPr>
              <w:t>Application or inquiry has been rejected or will not proceed.</w:t>
            </w:r>
          </w:p>
        </w:tc>
      </w:tr>
      <w:tr>
        <w:tc>
          <w:tcPr>
            <w:tcW w:type="dxa" w:w="2500"/>
          </w:tcPr>
          <w:p>
            <w:pPr>
              <w:spacing w:after="40"/>
            </w:pPr>
            <w:r/>
            <w:r>
              <w:rPr>
                <w:rFonts w:ascii="Calibri" w:hAnsi="Calibri"/>
                <w:b/>
                <w:color w:val="192535"/>
                <w:sz w:val="19"/>
              </w:rPr>
              <w:t>Enrolled</w:t>
            </w:r>
          </w:p>
        </w:tc>
        <w:tc>
          <w:tcPr>
            <w:tcW w:type="dxa" w:w="6860"/>
          </w:tcPr>
          <w:p>
            <w:pPr>
              <w:spacing w:after="40"/>
            </w:pPr>
            <w:r/>
            <w:r>
              <w:rPr>
                <w:rFonts w:ascii="Calibri" w:hAnsi="Calibri"/>
                <w:b w:val="0"/>
                <w:color w:val="192535"/>
                <w:sz w:val="19"/>
              </w:rPr>
              <w:t>Student has enrolled and the case is treated as converted/completed.</w:t>
            </w:r>
          </w:p>
        </w:tc>
      </w:tr>
    </w:tbl>
    <w:p>
      <w:pPr>
        <w:pStyle w:val="Heading1"/>
      </w:pPr>
      <w:r>
        <w:t>Student Profile Guide</w:t>
      </w:r>
    </w:p>
    <w:p>
      <w:pPr>
        <w:spacing w:after="120" w:line="300" w:lineRule="auto"/>
      </w:pPr>
      <w:r>
        <w:t>The student profile is the main working area for a case. Open it from dashboards, notification links, search, or student lists.</w:t>
      </w:r>
    </w:p>
    <w:p>
      <w:pPr>
        <w:pStyle w:val="Heading2"/>
      </w:pPr>
      <w:r>
        <w:t>Profile Tabs</w:t>
      </w:r>
    </w:p>
    <w:p>
      <w:pPr>
        <w:pStyle w:val="ListBullet"/>
        <w:spacing w:after="80" w:line="300" w:lineRule="auto"/>
      </w:pPr>
      <w:r>
        <w:t>Overview &amp; Notes: add internal notes, see recent notes, review basic student details, visa snapshot, case stage progress, and student-thread communication.</w:t>
      </w:r>
    </w:p>
    <w:p>
      <w:pPr>
        <w:pStyle w:val="ListBullet"/>
        <w:spacing w:after="80" w:line="300" w:lineRule="auto"/>
      </w:pPr>
      <w:r>
        <w:t>Profile &amp; Assignment: review questionnaire answers, contact details, education details, assignments, and delegation controls.</w:t>
      </w:r>
    </w:p>
    <w:p>
      <w:pPr>
        <w:pStyle w:val="ListBullet"/>
        <w:spacing w:after="80" w:line="300" w:lineRule="auto"/>
      </w:pPr>
      <w:r>
        <w:t>Tasks &amp; Documents: create tasks, change task statuses, upload documents, verify/reject documents, return verified documents, upload replacements, and view earlier document versions.</w:t>
      </w:r>
    </w:p>
    <w:p>
      <w:pPr>
        <w:pStyle w:val="ListBullet"/>
        <w:spacing w:after="80" w:line="300" w:lineRule="auto"/>
      </w:pPr>
      <w:r>
        <w:t>Contracts &amp; Invoices: generate contract previews from active templates, create invoice drafts, preview/send records, and delete drafts where appropriate.</w:t>
      </w:r>
    </w:p>
    <w:p>
      <w:pPr>
        <w:pStyle w:val="ListBullet"/>
        <w:spacing w:after="80" w:line="300" w:lineRule="auto"/>
      </w:pPr>
      <w:r>
        <w:t>Audit Log: review recorded activity for the student, including stage moves, document changes, assignments, task updates, notes, contracts, and invoices.</w:t>
      </w:r>
    </w:p>
    <w:p>
      <w:pPr>
        <w:pStyle w:val="ListBullet"/>
        <w:spacing w:after="80" w:line="300" w:lineRule="auto"/>
      </w:pPr>
      <w:r>
        <w:t>Contributions: review contribution scoring for the case.</w:t>
      </w:r>
    </w:p>
    <w:p>
      <w:pPr>
        <w:pStyle w:val="Heading2"/>
      </w:pPr>
      <w:r>
        <w:t>Case Stage Flow</w:t>
      </w:r>
    </w:p>
    <w:p>
      <w:pPr>
        <w:spacing w:after="120" w:line="300" w:lineRule="auto"/>
      </w:pPr>
      <w:r>
        <w:t>Use the case stage field to track the student journey through the study and visa process. Update it whenever the case genuinely moves forward or reaches an outcome.</w:t>
      </w:r>
    </w:p>
    <w:p>
      <w:pPr>
        <w:pStyle w:val="ListBullet"/>
        <w:spacing w:after="80" w:line="300" w:lineRule="auto"/>
      </w:pPr>
      <w:r>
        <w:t>Consultation and Documentation</w:t>
      </w:r>
    </w:p>
    <w:p>
      <w:pPr>
        <w:pStyle w:val="ListBullet"/>
        <w:spacing w:after="80" w:line="300" w:lineRule="auto"/>
      </w:pPr>
      <w:r>
        <w:t>Research Proposal</w:t>
      </w:r>
    </w:p>
    <w:p>
      <w:pPr>
        <w:pStyle w:val="ListBullet"/>
        <w:spacing w:after="80" w:line="300" w:lineRule="auto"/>
      </w:pPr>
      <w:r>
        <w:t>Enrolment Process</w:t>
      </w:r>
    </w:p>
    <w:p>
      <w:pPr>
        <w:pStyle w:val="ListBullet"/>
        <w:spacing w:after="80" w:line="300" w:lineRule="auto"/>
      </w:pPr>
      <w:r>
        <w:t>Conditional Offer Letter</w:t>
      </w:r>
    </w:p>
    <w:p>
      <w:pPr>
        <w:pStyle w:val="ListBullet"/>
        <w:spacing w:after="80" w:line="300" w:lineRule="auto"/>
      </w:pPr>
      <w:r>
        <w:t>Unconditional Offer Letter</w:t>
      </w:r>
    </w:p>
    <w:p>
      <w:pPr>
        <w:pStyle w:val="ListBullet"/>
        <w:spacing w:after="80" w:line="300" w:lineRule="auto"/>
      </w:pPr>
      <w:r>
        <w:t>Tuition Fee and OSHC Paid</w:t>
      </w:r>
    </w:p>
    <w:p>
      <w:pPr>
        <w:pStyle w:val="ListBullet"/>
        <w:spacing w:after="80" w:line="300" w:lineRule="auto"/>
      </w:pPr>
      <w:r>
        <w:t>COE Received</w:t>
      </w:r>
    </w:p>
    <w:p>
      <w:pPr>
        <w:pStyle w:val="ListBullet"/>
        <w:spacing w:after="80" w:line="300" w:lineRule="auto"/>
      </w:pPr>
      <w:r>
        <w:t>GTE Process</w:t>
      </w:r>
    </w:p>
    <w:p>
      <w:pPr>
        <w:pStyle w:val="ListBullet"/>
        <w:spacing w:after="80" w:line="300" w:lineRule="auto"/>
      </w:pPr>
      <w:r>
        <w:t>Visa Draft Preparation</w:t>
      </w:r>
    </w:p>
    <w:p>
      <w:pPr>
        <w:pStyle w:val="ListBullet"/>
        <w:spacing w:after="80" w:line="300" w:lineRule="auto"/>
      </w:pPr>
      <w:r>
        <w:t>Visa Lodgment</w:t>
      </w:r>
    </w:p>
    <w:p>
      <w:pPr>
        <w:pStyle w:val="ListBullet"/>
        <w:spacing w:after="80" w:line="300" w:lineRule="auto"/>
      </w:pPr>
      <w:r>
        <w:t>Visa Granted, Visa Refused, AAT Case, or Withdrawn</w:t>
      </w:r>
    </w:p>
    <w:p>
      <w:pPr>
        <w:pStyle w:val="Heading1"/>
      </w:pPr>
      <w:r>
        <w:t>Tasks And Documents</w:t>
      </w:r>
    </w:p>
    <w:p>
      <w:pPr>
        <w:pStyle w:val="Heading2"/>
      </w:pPr>
      <w:r>
        <w:t>Tasks</w:t>
      </w:r>
    </w:p>
    <w:p>
      <w:pPr>
        <w:pStyle w:val="ListNumber"/>
        <w:spacing w:after="80" w:line="300" w:lineRule="auto"/>
      </w:pPr>
      <w:r>
        <w:t>Open a student profile and go to Tasks &amp; Documents.</w:t>
      </w:r>
    </w:p>
    <w:p>
      <w:pPr>
        <w:pStyle w:val="ListNumber"/>
        <w:spacing w:after="80" w:line="300" w:lineRule="auto"/>
      </w:pPr>
      <w:r>
        <w:t>Create a task with a clear title, optional description, and priority: Low, Medium, High, or Urgent.</w:t>
      </w:r>
    </w:p>
    <w:p>
      <w:pPr>
        <w:pStyle w:val="ListNumber"/>
        <w:spacing w:after="80" w:line="300" w:lineRule="auto"/>
      </w:pPr>
      <w:r>
        <w:t>Use statuses consistently: To Do means not started, In Progress means actively being worked, Blocked means waiting on someone or something, and Done means complete.</w:t>
      </w:r>
    </w:p>
    <w:p>
      <w:pPr>
        <w:pStyle w:val="ListNumber"/>
        <w:spacing w:after="80" w:line="300" w:lineRule="auto"/>
      </w:pPr>
      <w:r>
        <w:t>For multiple tasks, tick the checkboxes and apply a bulk status from the checklist controls.</w:t>
      </w:r>
    </w:p>
    <w:p>
      <w:pPr>
        <w:pStyle w:val="ListNumber"/>
        <w:spacing w:after="80" w:line="300" w:lineRule="auto"/>
      </w:pPr>
      <w:r>
        <w:t>Use the Audit Log if you need to confirm when a task changed or who changed it.</w:t>
      </w:r>
    </w:p>
    <w:p>
      <w:pPr>
        <w:pStyle w:val="Heading2"/>
      </w:pPr>
      <w:r>
        <w:t>Documents</w:t>
      </w:r>
    </w:p>
    <w:p>
      <w:pPr>
        <w:pStyle w:val="ListBullet"/>
        <w:spacing w:after="80" w:line="300" w:lineRule="auto"/>
      </w:pPr>
      <w:r>
        <w:t>Accepted uploads are PDF or image files, subject to the configured file-size limit shown on screen.</w:t>
      </w:r>
    </w:p>
    <w:p>
      <w:pPr>
        <w:pStyle w:val="ListBullet"/>
        <w:spacing w:after="80" w:line="300" w:lineRule="auto"/>
      </w:pPr>
      <w:r>
        <w:t>Document categories are Asset/Passport, Identity, Transcripts, Statement of Purpose, Offer Letters, Visa, Financial, and Other.</w:t>
      </w:r>
    </w:p>
    <w:p>
      <w:pPr>
        <w:pStyle w:val="ListBullet"/>
        <w:spacing w:after="80" w:line="300" w:lineRule="auto"/>
      </w:pPr>
      <w:r>
        <w:t>Case Managers and Admins can set documents to Pending, Verified, or Rejected and add notes.</w:t>
      </w:r>
    </w:p>
    <w:p>
      <w:pPr>
        <w:pStyle w:val="ListBullet"/>
        <w:spacing w:after="80" w:line="300" w:lineRule="auto"/>
      </w:pPr>
      <w:r>
        <w:t>Agents can return a previously verified document to Pending or Rejected, but must provide a return note.</w:t>
      </w:r>
    </w:p>
    <w:p>
      <w:pPr>
        <w:pStyle w:val="ListBullet"/>
        <w:spacing w:after="80" w:line="300" w:lineRule="auto"/>
      </w:pPr>
      <w:r>
        <w:t>When a document is returned, the original verifier receives a notification. They can upload a replacement or dispute the return.</w:t>
      </w:r>
    </w:p>
    <w:p>
      <w:pPr>
        <w:pStyle w:val="ListBullet"/>
        <w:spacing w:after="80" w:line="300" w:lineRule="auto"/>
      </w:pPr>
      <w:r>
        <w:t>Replacement documents keep a version chain so staff can open current and previous versions.</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shd w:fill="F7F9FC"/>
          </w:tcPr>
          <w:p>
            <w:pPr>
              <w:spacing w:after="40"/>
            </w:pPr>
            <w:r>
              <w:rPr>
                <w:b/>
                <w:color w:val="1F4D78"/>
                <w:sz w:val="20"/>
              </w:rPr>
              <w:t>Document return loop</w:t>
            </w:r>
          </w:p>
          <w:p>
            <w:pPr>
              <w:spacing w:after="0" w:line="288" w:lineRule="auto"/>
            </w:pPr>
            <w:r>
              <w:t>The intended loop is: verified document is returned by an Agent, Case Manager receives the notification, Case Manager uploads a replacement or disputes the return, and the Agent/Admin reviews the updated item.</w:t>
            </w:r>
          </w:p>
        </w:tc>
      </w:tr>
    </w:tbl>
    <w:p/>
    <w:p>
      <w:pPr>
        <w:pStyle w:val="Heading1"/>
      </w:pPr>
      <w:r>
        <w:t>Communication, Contracts, And Invoices</w:t>
      </w:r>
    </w:p>
    <w:p>
      <w:pPr>
        <w:pStyle w:val="Heading2"/>
      </w:pPr>
      <w:r>
        <w:t>Internal Communication</w:t>
      </w:r>
    </w:p>
    <w:p>
      <w:pPr>
        <w:pStyle w:val="ListBullet"/>
        <w:spacing w:after="80" w:line="300" w:lineRule="auto"/>
      </w:pPr>
      <w:r>
        <w:t>Use student notes on the profile for case-specific updates. Notes are visible to staff with access to that student.</w:t>
      </w:r>
    </w:p>
    <w:p>
      <w:pPr>
        <w:pStyle w:val="ListBullet"/>
        <w:spacing w:after="80" w:line="300" w:lineRule="auto"/>
      </w:pPr>
      <w:r>
        <w:t>Use Open full thread from the profile to continue the student-specific conversation in the Communication hub.</w:t>
      </w:r>
    </w:p>
    <w:p>
      <w:pPr>
        <w:pStyle w:val="ListBullet"/>
        <w:spacing w:after="80" w:line="300" w:lineRule="auto"/>
      </w:pPr>
      <w:r>
        <w:t>Use the chat popup or Communication dashboard for direct staff conversations and team threads.</w:t>
      </w:r>
    </w:p>
    <w:p>
      <w:pPr>
        <w:pStyle w:val="ListBullet"/>
        <w:spacing w:after="80" w:line="300" w:lineRule="auto"/>
      </w:pPr>
      <w:r>
        <w:t>Unread chat counts are separate from workflow notification counts.</w:t>
      </w:r>
    </w:p>
    <w:p>
      <w:pPr>
        <w:pStyle w:val="Heading2"/>
      </w:pPr>
      <w:r>
        <w:t>Contracts</w:t>
      </w:r>
    </w:p>
    <w:p>
      <w:pPr>
        <w:pStyle w:val="ListNumber"/>
        <w:spacing w:after="80" w:line="300" w:lineRule="auto"/>
      </w:pPr>
      <w:r>
        <w:t>Open the student profile and go to Contracts &amp; Invoices.</w:t>
      </w:r>
    </w:p>
    <w:p>
      <w:pPr>
        <w:pStyle w:val="ListNumber"/>
        <w:spacing w:after="80" w:line="300" w:lineRule="auto"/>
      </w:pPr>
      <w:r>
        <w:t>Choose an active contract template.</w:t>
      </w:r>
    </w:p>
    <w:p>
      <w:pPr>
        <w:pStyle w:val="ListNumber"/>
        <w:spacing w:after="80" w:line="300" w:lineRule="auto"/>
      </w:pPr>
      <w:r>
        <w:t>Generate the contract preview and review the rendered content before sending or progressing it.</w:t>
      </w:r>
    </w:p>
    <w:p>
      <w:pPr>
        <w:pStyle w:val="ListNumber"/>
        <w:spacing w:after="80" w:line="300" w:lineRule="auto"/>
      </w:pPr>
      <w:r>
        <w:t>Track the contract status: Draft, Sent, Accepted, Rejected, or Cancelled.</w:t>
      </w:r>
    </w:p>
    <w:p>
      <w:pPr>
        <w:pStyle w:val="Heading2"/>
      </w:pPr>
      <w:r>
        <w:t>Invoices</w:t>
      </w:r>
    </w:p>
    <w:p>
      <w:pPr>
        <w:pStyle w:val="ListNumber"/>
        <w:spacing w:after="80" w:line="300" w:lineRule="auto"/>
      </w:pPr>
      <w:r>
        <w:t>Open the student profile and go to Contracts &amp; Invoices.</w:t>
      </w:r>
    </w:p>
    <w:p>
      <w:pPr>
        <w:pStyle w:val="ListNumber"/>
        <w:spacing w:after="80" w:line="300" w:lineRule="auto"/>
      </w:pPr>
      <w:r>
        <w:t>Create an invoice draft. The system uses company settings such as invoice prefix, default currency, tax rate, payment terms, and remarks.</w:t>
      </w:r>
    </w:p>
    <w:p>
      <w:pPr>
        <w:pStyle w:val="ListNumber"/>
        <w:spacing w:after="80" w:line="300" w:lineRule="auto"/>
      </w:pPr>
      <w:r>
        <w:t>Open the invoice preview, update line items as needed, then send or mark the invoice according to the business process.</w:t>
      </w:r>
    </w:p>
    <w:p>
      <w:pPr>
        <w:pStyle w:val="ListNumber"/>
        <w:spacing w:after="80" w:line="300" w:lineRule="auto"/>
      </w:pPr>
      <w:r>
        <w:t>Track the invoice status: Draft, Sent, Paid, Overdue, or Cancelled.</w:t>
      </w:r>
    </w:p>
    <w:p>
      <w:pPr>
        <w:pStyle w:val="Heading1"/>
      </w:pPr>
      <w:r>
        <w:t>Notifications, Reminders, And Reports</w:t>
      </w:r>
    </w:p>
    <w:p>
      <w:pPr>
        <w:pStyle w:val="Heading2"/>
      </w:pPr>
      <w:r>
        <w:t>Workflow Notifications Bell</w:t>
      </w:r>
    </w:p>
    <w:p>
      <w:pPr>
        <w:pStyle w:val="ListBullet"/>
        <w:spacing w:after="80" w:line="300" w:lineRule="auto"/>
      </w:pPr>
      <w:r>
        <w:t>New Student Application: appears for Admins and Agents when a public inquiry is submitted.</w:t>
      </w:r>
    </w:p>
    <w:p>
      <w:pPr>
        <w:pStyle w:val="ListBullet"/>
        <w:spacing w:after="80" w:line="300" w:lineRule="auto"/>
      </w:pPr>
      <w:r>
        <w:t>Document Returned: appears when an Agent returns a verified document to the original internal verifier.</w:t>
      </w:r>
    </w:p>
    <w:p>
      <w:pPr>
        <w:pStyle w:val="ListBullet"/>
        <w:spacing w:after="80" w:line="300" w:lineRule="auto"/>
      </w:pPr>
      <w:r>
        <w:t>Document Replacement Uploaded: appears when a replacement file is uploaded for review.</w:t>
      </w:r>
    </w:p>
    <w:p>
      <w:pPr>
        <w:pStyle w:val="ListBullet"/>
        <w:spacing w:after="80" w:line="300" w:lineRule="auto"/>
      </w:pPr>
      <w:r>
        <w:t>Document Return Disputed: appears when an internal staff member disputes the return.</w:t>
      </w:r>
    </w:p>
    <w:p>
      <w:pPr>
        <w:pStyle w:val="ListBullet"/>
        <w:spacing w:after="80" w:line="300" w:lineRule="auto"/>
      </w:pPr>
      <w:r>
        <w:t>Document Re-verified: appears when a returned document has been re-verified.</w:t>
      </w:r>
    </w:p>
    <w:p>
      <w:pPr>
        <w:pStyle w:val="ListBullet"/>
        <w:spacing w:after="80" w:line="300" w:lineRule="auto"/>
      </w:pPr>
      <w:r>
        <w:t>Clicking a notification opens the related student or action area and marks that notification as read.</w:t>
      </w:r>
    </w:p>
    <w:p>
      <w:pPr>
        <w:pStyle w:val="Heading2"/>
      </w:pPr>
      <w:r>
        <w:t>Reminders</w:t>
      </w:r>
    </w:p>
    <w:p>
      <w:pPr>
        <w:pStyle w:val="ListBullet"/>
        <w:spacing w:after="80" w:line="300" w:lineRule="auto"/>
      </w:pPr>
      <w:r>
        <w:t>Follow-up reminders show overdue or upcoming follow-up dates.</w:t>
      </w:r>
    </w:p>
    <w:p>
      <w:pPr>
        <w:pStyle w:val="ListBullet"/>
        <w:spacing w:after="80" w:line="300" w:lineRule="auto"/>
      </w:pPr>
      <w:r>
        <w:t>Visa expiry reminders highlight students approaching expiry windows.</w:t>
      </w:r>
    </w:p>
    <w:p>
      <w:pPr>
        <w:pStyle w:val="ListBullet"/>
        <w:spacing w:after="80" w:line="300" w:lineRule="auto"/>
      </w:pPr>
      <w:r>
        <w:t>Task reminders surface overdue or upcoming tasks.</w:t>
      </w:r>
    </w:p>
    <w:p>
      <w:pPr>
        <w:pStyle w:val="ListBullet"/>
        <w:spacing w:after="80" w:line="300" w:lineRule="auto"/>
      </w:pPr>
      <w:r>
        <w:t>Contract and invoice reminders surface pending acceptance or due/payment risks.</w:t>
      </w:r>
    </w:p>
    <w:p>
      <w:pPr>
        <w:pStyle w:val="ListBullet"/>
        <w:spacing w:after="80" w:line="300" w:lineRule="auto"/>
      </w:pPr>
      <w:r>
        <w:t>Stage stalled reminders flag cases that have not moved for a long time.</w:t>
      </w:r>
    </w:p>
    <w:p>
      <w:pPr>
        <w:pStyle w:val="Heading2"/>
      </w:pPr>
      <w:r>
        <w:t>Reports And Exports</w:t>
      </w:r>
    </w:p>
    <w:p>
      <w:pPr>
        <w:pStyle w:val="ListBullet"/>
        <w:spacing w:after="80" w:line="300" w:lineRule="auto"/>
      </w:pPr>
      <w:r>
        <w:t>Admins and Agents can export submissions as CSV from the Students dashboard filters.</w:t>
      </w:r>
    </w:p>
    <w:p>
      <w:pPr>
        <w:pStyle w:val="ListBullet"/>
        <w:spacing w:after="80" w:line="300" w:lineRule="auto"/>
      </w:pPr>
      <w:r>
        <w:t>Agents can download weekly manager report CSVs from their dashboard.</w:t>
      </w:r>
    </w:p>
    <w:p>
      <w:pPr>
        <w:pStyle w:val="ListBullet"/>
        <w:spacing w:after="80" w:line="300" w:lineRule="auto"/>
      </w:pPr>
      <w:r>
        <w:t>Case Managers can download daily work report CSVs for handovers and tracking.</w:t>
      </w:r>
    </w:p>
    <w:p>
      <w:pPr>
        <w:pStyle w:val="ListBullet"/>
        <w:spacing w:after="80" w:line="300" w:lineRule="auto"/>
      </w:pPr>
      <w:r>
        <w:t>Use filters before exporting when the client needs a focused report.</w:t>
      </w:r>
    </w:p>
    <w:p>
      <w:pPr>
        <w:pStyle w:val="Heading1"/>
      </w:pPr>
      <w:r>
        <w:t>Admin Setup Responsibilities</w:t>
      </w:r>
    </w:p>
    <w:p>
      <w:pPr>
        <w:pStyle w:val="ListBullet"/>
        <w:spacing w:after="80" w:line="300" w:lineRule="auto"/>
      </w:pPr>
      <w:r>
        <w:t>Create staff accounts with the correct role: Admin, Agent, or Case Manager.</w:t>
      </w:r>
    </w:p>
    <w:p>
      <w:pPr>
        <w:pStyle w:val="ListBullet"/>
        <w:spacing w:after="80" w:line="300" w:lineRule="auto"/>
      </w:pPr>
      <w:r>
        <w:t>Avoid deleting the last Admin account. Keep at least one administrator available at all times.</w:t>
      </w:r>
    </w:p>
    <w:p>
      <w:pPr>
        <w:pStyle w:val="ListBullet"/>
        <w:spacing w:after="80" w:line="300" w:lineRule="auto"/>
      </w:pPr>
      <w:r>
        <w:t>Assign Case Managers to Agents where team reporting and delegation should follow a manager structure.</w:t>
      </w:r>
    </w:p>
    <w:p>
      <w:pPr>
        <w:pStyle w:val="ListBullet"/>
        <w:spacing w:after="80" w:line="300" w:lineRule="auto"/>
      </w:pPr>
      <w:r>
        <w:t>Maintain the active Apply questionnaire template so public inquiries collect the right information.</w:t>
      </w:r>
    </w:p>
    <w:p>
      <w:pPr>
        <w:pStyle w:val="ListBullet"/>
        <w:spacing w:after="80" w:line="300" w:lineRule="auto"/>
      </w:pPr>
      <w:r>
        <w:t>Maintain email templates for contracts, invoices, follow-ups, and general messages.</w:t>
      </w:r>
    </w:p>
    <w:p>
      <w:pPr>
        <w:pStyle w:val="ListBullet"/>
        <w:spacing w:after="80" w:line="300" w:lineRule="auto"/>
      </w:pPr>
      <w:r>
        <w:t>Review company settings before invoice use, including company name, address, contact details, logo, default currency, tax rate, payment terms, and remarks.</w:t>
      </w:r>
    </w:p>
    <w:p>
      <w:pPr>
        <w:pStyle w:val="ListBullet"/>
        <w:spacing w:after="80" w:line="300" w:lineRule="auto"/>
      </w:pPr>
      <w:r>
        <w:t>Review lead-source analytics and public newsletter/content posts where the client uses the website as a marketing channel.</w:t>
      </w:r>
    </w:p>
    <w:p>
      <w:pPr>
        <w:pStyle w:val="Heading1"/>
      </w:pPr>
      <w:r>
        <w:t>Quick Reference: What To Do When</w:t>
      </w:r>
    </w:p>
    <w:tbl>
      <w:tblPr>
        <w:tblW w:type="dxa" w:w="9360"/>
        <w:jc w:val="left"/>
        <w:tblLayout w:type="fixed"/>
        <w:tblLook w:firstColumn="1" w:firstRow="1" w:lastColumn="0" w:lastRow="0" w:noHBand="0" w:noVBand="1" w:val="04A0"/>
        <w:tblInd w:w="120" w:type="dxa"/>
      </w:tblPr>
      <w:tblGrid>
        <w:gridCol w:w="2500"/>
        <w:gridCol w:w="3850"/>
        <w:gridCol w:w="3010"/>
      </w:tblGrid>
      <w:tr>
        <w:tc>
          <w:tcPr>
            <w:tcW w:type="dxa" w:w="2500"/>
            <w:vAlign w:val="top"/>
            <w:shd w:fill="E8EEF5"/>
          </w:tcPr>
          <w:p>
            <w:pPr>
              <w:spacing w:after="40"/>
            </w:pPr>
            <w:r/>
            <w:r>
              <w:rPr>
                <w:rFonts w:ascii="Calibri" w:hAnsi="Calibri"/>
                <w:b/>
                <w:color w:val="192535"/>
                <w:sz w:val="19"/>
              </w:rPr>
              <w:t>Situation</w:t>
            </w:r>
          </w:p>
        </w:tc>
        <w:tc>
          <w:tcPr>
            <w:tcW w:type="dxa" w:w="3850"/>
            <w:vAlign w:val="top"/>
            <w:shd w:fill="E8EEF5"/>
          </w:tcPr>
          <w:p>
            <w:pPr>
              <w:spacing w:after="40"/>
            </w:pPr>
            <w:r/>
            <w:r>
              <w:rPr>
                <w:rFonts w:ascii="Calibri" w:hAnsi="Calibri"/>
                <w:b/>
                <w:color w:val="192535"/>
                <w:sz w:val="19"/>
              </w:rPr>
              <w:t>Action</w:t>
            </w:r>
          </w:p>
        </w:tc>
        <w:tc>
          <w:tcPr>
            <w:tcW w:type="dxa" w:w="3010"/>
            <w:vAlign w:val="top"/>
            <w:shd w:fill="E8EEF5"/>
          </w:tcPr>
          <w:p>
            <w:pPr>
              <w:spacing w:after="40"/>
            </w:pPr>
            <w:r/>
            <w:r>
              <w:rPr>
                <w:rFonts w:ascii="Calibri" w:hAnsi="Calibri"/>
                <w:b/>
                <w:color w:val="192535"/>
                <w:sz w:val="19"/>
              </w:rPr>
              <w:t>Best Owner</w:t>
            </w:r>
          </w:p>
        </w:tc>
      </w:tr>
      <w:tr>
        <w:tc>
          <w:tcPr>
            <w:tcW w:type="dxa" w:w="2500"/>
          </w:tcPr>
          <w:p>
            <w:pPr>
              <w:spacing w:after="40"/>
            </w:pPr>
            <w:r/>
            <w:r>
              <w:rPr>
                <w:rFonts w:ascii="Calibri" w:hAnsi="Calibri"/>
                <w:b/>
                <w:color w:val="192535"/>
                <w:sz w:val="19"/>
              </w:rPr>
              <w:t>New inquiry arrives</w:t>
            </w:r>
          </w:p>
        </w:tc>
        <w:tc>
          <w:tcPr>
            <w:tcW w:type="dxa" w:w="3850"/>
          </w:tcPr>
          <w:p>
            <w:pPr>
              <w:spacing w:after="40"/>
            </w:pPr>
            <w:r/>
            <w:r>
              <w:rPr>
                <w:rFonts w:ascii="Calibri" w:hAnsi="Calibri"/>
                <w:b w:val="0"/>
                <w:color w:val="192535"/>
                <w:sz w:val="19"/>
              </w:rPr>
              <w:t>Open notification or New Inquiries card, review details, then claim or assign.</w:t>
            </w:r>
          </w:p>
        </w:tc>
        <w:tc>
          <w:tcPr>
            <w:tcW w:type="dxa" w:w="3010"/>
          </w:tcPr>
          <w:p>
            <w:pPr>
              <w:spacing w:after="40"/>
            </w:pPr>
            <w:r/>
            <w:r>
              <w:rPr>
                <w:rFonts w:ascii="Calibri" w:hAnsi="Calibri"/>
                <w:b w:val="0"/>
                <w:color w:val="192535"/>
                <w:sz w:val="19"/>
              </w:rPr>
              <w:t>Admin or Agent</w:t>
            </w:r>
          </w:p>
        </w:tc>
      </w:tr>
      <w:tr>
        <w:tc>
          <w:tcPr>
            <w:tcW w:type="dxa" w:w="2500"/>
          </w:tcPr>
          <w:p>
            <w:pPr>
              <w:spacing w:after="40"/>
            </w:pPr>
            <w:r/>
            <w:r>
              <w:rPr>
                <w:rFonts w:ascii="Calibri" w:hAnsi="Calibri"/>
                <w:b/>
                <w:color w:val="192535"/>
                <w:sz w:val="19"/>
              </w:rPr>
              <w:t>Case needs a worker</w:t>
            </w:r>
          </w:p>
        </w:tc>
        <w:tc>
          <w:tcPr>
            <w:tcW w:type="dxa" w:w="3850"/>
          </w:tcPr>
          <w:p>
            <w:pPr>
              <w:spacing w:after="40"/>
            </w:pPr>
            <w:r/>
            <w:r>
              <w:rPr>
                <w:rFonts w:ascii="Calibri" w:hAnsi="Calibri"/>
                <w:b w:val="0"/>
                <w:color w:val="192535"/>
                <w:sz w:val="19"/>
              </w:rPr>
              <w:t>Delegate the student to an internal staff member from dashboard or profile.</w:t>
            </w:r>
          </w:p>
        </w:tc>
        <w:tc>
          <w:tcPr>
            <w:tcW w:type="dxa" w:w="3010"/>
          </w:tcPr>
          <w:p>
            <w:pPr>
              <w:spacing w:after="40"/>
            </w:pPr>
            <w:r/>
            <w:r>
              <w:rPr>
                <w:rFonts w:ascii="Calibri" w:hAnsi="Calibri"/>
                <w:b w:val="0"/>
                <w:color w:val="192535"/>
                <w:sz w:val="19"/>
              </w:rPr>
              <w:t>Admin or Agent</w:t>
            </w:r>
          </w:p>
        </w:tc>
      </w:tr>
      <w:tr>
        <w:tc>
          <w:tcPr>
            <w:tcW w:type="dxa" w:w="2500"/>
          </w:tcPr>
          <w:p>
            <w:pPr>
              <w:spacing w:after="40"/>
            </w:pPr>
            <w:r/>
            <w:r>
              <w:rPr>
                <w:rFonts w:ascii="Calibri" w:hAnsi="Calibri"/>
                <w:b/>
                <w:color w:val="192535"/>
                <w:sz w:val="19"/>
              </w:rPr>
              <w:t>Follow-up is overdue</w:t>
            </w:r>
          </w:p>
        </w:tc>
        <w:tc>
          <w:tcPr>
            <w:tcW w:type="dxa" w:w="3850"/>
          </w:tcPr>
          <w:p>
            <w:pPr>
              <w:spacing w:after="40"/>
            </w:pPr>
            <w:r/>
            <w:r>
              <w:rPr>
                <w:rFonts w:ascii="Calibri" w:hAnsi="Calibri"/>
                <w:b w:val="0"/>
                <w:color w:val="192535"/>
                <w:sz w:val="19"/>
              </w:rPr>
              <w:t>Open the student, add/update notes, set next follow-up, and complete any task.</w:t>
            </w:r>
          </w:p>
        </w:tc>
        <w:tc>
          <w:tcPr>
            <w:tcW w:type="dxa" w:w="3010"/>
          </w:tcPr>
          <w:p>
            <w:pPr>
              <w:spacing w:after="40"/>
            </w:pPr>
            <w:r/>
            <w:r>
              <w:rPr>
                <w:rFonts w:ascii="Calibri" w:hAnsi="Calibri"/>
                <w:b w:val="0"/>
                <w:color w:val="192535"/>
                <w:sz w:val="19"/>
              </w:rPr>
              <w:t>Assigned worker</w:t>
            </w:r>
          </w:p>
        </w:tc>
      </w:tr>
      <w:tr>
        <w:tc>
          <w:tcPr>
            <w:tcW w:type="dxa" w:w="2500"/>
          </w:tcPr>
          <w:p>
            <w:pPr>
              <w:spacing w:after="40"/>
            </w:pPr>
            <w:r/>
            <w:r>
              <w:rPr>
                <w:rFonts w:ascii="Calibri" w:hAnsi="Calibri"/>
                <w:b/>
                <w:color w:val="192535"/>
                <w:sz w:val="19"/>
              </w:rPr>
              <w:t>Document is missing</w:t>
            </w:r>
          </w:p>
        </w:tc>
        <w:tc>
          <w:tcPr>
            <w:tcW w:type="dxa" w:w="3850"/>
          </w:tcPr>
          <w:p>
            <w:pPr>
              <w:spacing w:after="40"/>
            </w:pPr>
            <w:r/>
            <w:r>
              <w:rPr>
                <w:rFonts w:ascii="Calibri" w:hAnsi="Calibri"/>
                <w:b w:val="0"/>
                <w:color w:val="192535"/>
                <w:sz w:val="19"/>
              </w:rPr>
              <w:t>Create a task or note describing what is required and set case status/stage appropriately.</w:t>
            </w:r>
          </w:p>
        </w:tc>
        <w:tc>
          <w:tcPr>
            <w:tcW w:type="dxa" w:w="3010"/>
          </w:tcPr>
          <w:p>
            <w:pPr>
              <w:spacing w:after="40"/>
            </w:pPr>
            <w:r/>
            <w:r>
              <w:rPr>
                <w:rFonts w:ascii="Calibri" w:hAnsi="Calibri"/>
                <w:b w:val="0"/>
                <w:color w:val="192535"/>
                <w:sz w:val="19"/>
              </w:rPr>
              <w:t>Agent or Case Manager</w:t>
            </w:r>
          </w:p>
        </w:tc>
      </w:tr>
      <w:tr>
        <w:tc>
          <w:tcPr>
            <w:tcW w:type="dxa" w:w="2500"/>
          </w:tcPr>
          <w:p>
            <w:pPr>
              <w:spacing w:after="40"/>
            </w:pPr>
            <w:r/>
            <w:r>
              <w:rPr>
                <w:rFonts w:ascii="Calibri" w:hAnsi="Calibri"/>
                <w:b/>
                <w:color w:val="192535"/>
                <w:sz w:val="19"/>
              </w:rPr>
              <w:t>Document looks wrong</w:t>
            </w:r>
          </w:p>
        </w:tc>
        <w:tc>
          <w:tcPr>
            <w:tcW w:type="dxa" w:w="3850"/>
          </w:tcPr>
          <w:p>
            <w:pPr>
              <w:spacing w:after="40"/>
            </w:pPr>
            <w:r/>
            <w:r>
              <w:rPr>
                <w:rFonts w:ascii="Calibri" w:hAnsi="Calibri"/>
                <w:b w:val="0"/>
                <w:color w:val="192535"/>
                <w:sz w:val="19"/>
              </w:rPr>
              <w:t>Reject it or return a verified item with a clear note.</w:t>
            </w:r>
          </w:p>
        </w:tc>
        <w:tc>
          <w:tcPr>
            <w:tcW w:type="dxa" w:w="3010"/>
          </w:tcPr>
          <w:p>
            <w:pPr>
              <w:spacing w:after="40"/>
            </w:pPr>
            <w:r/>
            <w:r>
              <w:rPr>
                <w:rFonts w:ascii="Calibri" w:hAnsi="Calibri"/>
                <w:b w:val="0"/>
                <w:color w:val="192535"/>
                <w:sz w:val="19"/>
              </w:rPr>
              <w:t>Case Manager, Agent, or Admin</w:t>
            </w:r>
          </w:p>
        </w:tc>
      </w:tr>
      <w:tr>
        <w:tc>
          <w:tcPr>
            <w:tcW w:type="dxa" w:w="2500"/>
          </w:tcPr>
          <w:p>
            <w:pPr>
              <w:spacing w:after="40"/>
            </w:pPr>
            <w:r/>
            <w:r>
              <w:rPr>
                <w:rFonts w:ascii="Calibri" w:hAnsi="Calibri"/>
                <w:b/>
                <w:color w:val="192535"/>
                <w:sz w:val="19"/>
              </w:rPr>
              <w:t>Worker disagrees with return</w:t>
            </w:r>
          </w:p>
        </w:tc>
        <w:tc>
          <w:tcPr>
            <w:tcW w:type="dxa" w:w="3850"/>
          </w:tcPr>
          <w:p>
            <w:pPr>
              <w:spacing w:after="40"/>
            </w:pPr>
            <w:r/>
            <w:r>
              <w:rPr>
                <w:rFonts w:ascii="Calibri" w:hAnsi="Calibri"/>
                <w:b w:val="0"/>
                <w:color w:val="192535"/>
                <w:sz w:val="19"/>
              </w:rPr>
              <w:t>Use Dispute Return with a concise explanation.</w:t>
            </w:r>
          </w:p>
        </w:tc>
        <w:tc>
          <w:tcPr>
            <w:tcW w:type="dxa" w:w="3010"/>
          </w:tcPr>
          <w:p>
            <w:pPr>
              <w:spacing w:after="40"/>
            </w:pPr>
            <w:r/>
            <w:r>
              <w:rPr>
                <w:rFonts w:ascii="Calibri" w:hAnsi="Calibri"/>
                <w:b w:val="0"/>
                <w:color w:val="192535"/>
                <w:sz w:val="19"/>
              </w:rPr>
              <w:t>Case Manager</w:t>
            </w:r>
          </w:p>
        </w:tc>
      </w:tr>
      <w:tr>
        <w:tc>
          <w:tcPr>
            <w:tcW w:type="dxa" w:w="2500"/>
          </w:tcPr>
          <w:p>
            <w:pPr>
              <w:spacing w:after="40"/>
            </w:pPr>
            <w:r/>
            <w:r>
              <w:rPr>
                <w:rFonts w:ascii="Calibri" w:hAnsi="Calibri"/>
                <w:b/>
                <w:color w:val="192535"/>
                <w:sz w:val="19"/>
              </w:rPr>
              <w:t>Replacement is available</w:t>
            </w:r>
          </w:p>
        </w:tc>
        <w:tc>
          <w:tcPr>
            <w:tcW w:type="dxa" w:w="3850"/>
          </w:tcPr>
          <w:p>
            <w:pPr>
              <w:spacing w:after="40"/>
            </w:pPr>
            <w:r/>
            <w:r>
              <w:rPr>
                <w:rFonts w:ascii="Calibri" w:hAnsi="Calibri"/>
                <w:b w:val="0"/>
                <w:color w:val="192535"/>
                <w:sz w:val="19"/>
              </w:rPr>
              <w:t>Upload replacement document and wait for review.</w:t>
            </w:r>
          </w:p>
        </w:tc>
        <w:tc>
          <w:tcPr>
            <w:tcW w:type="dxa" w:w="3010"/>
          </w:tcPr>
          <w:p>
            <w:pPr>
              <w:spacing w:after="40"/>
            </w:pPr>
            <w:r/>
            <w:r>
              <w:rPr>
                <w:rFonts w:ascii="Calibri" w:hAnsi="Calibri"/>
                <w:b w:val="0"/>
                <w:color w:val="192535"/>
                <w:sz w:val="19"/>
              </w:rPr>
              <w:t>Case Manager</w:t>
            </w:r>
          </w:p>
        </w:tc>
      </w:tr>
      <w:tr>
        <w:tc>
          <w:tcPr>
            <w:tcW w:type="dxa" w:w="2500"/>
          </w:tcPr>
          <w:p>
            <w:pPr>
              <w:spacing w:after="40"/>
            </w:pPr>
            <w:r/>
            <w:r>
              <w:rPr>
                <w:rFonts w:ascii="Calibri" w:hAnsi="Calibri"/>
                <w:b/>
                <w:color w:val="192535"/>
                <w:sz w:val="19"/>
              </w:rPr>
              <w:t>Case moves forward</w:t>
            </w:r>
          </w:p>
        </w:tc>
        <w:tc>
          <w:tcPr>
            <w:tcW w:type="dxa" w:w="3850"/>
          </w:tcPr>
          <w:p>
            <w:pPr>
              <w:spacing w:after="40"/>
            </w:pPr>
            <w:r/>
            <w:r>
              <w:rPr>
                <w:rFonts w:ascii="Calibri" w:hAnsi="Calibri"/>
                <w:b w:val="0"/>
                <w:color w:val="192535"/>
                <w:sz w:val="19"/>
              </w:rPr>
              <w:t>Update case stage and add a brief internal note.</w:t>
            </w:r>
          </w:p>
        </w:tc>
        <w:tc>
          <w:tcPr>
            <w:tcW w:type="dxa" w:w="3010"/>
          </w:tcPr>
          <w:p>
            <w:pPr>
              <w:spacing w:after="40"/>
            </w:pPr>
            <w:r/>
            <w:r>
              <w:rPr>
                <w:rFonts w:ascii="Calibri" w:hAnsi="Calibri"/>
                <w:b w:val="0"/>
                <w:color w:val="192535"/>
                <w:sz w:val="19"/>
              </w:rPr>
              <w:t>Assigned worker</w:t>
            </w:r>
          </w:p>
        </w:tc>
      </w:tr>
      <w:tr>
        <w:tc>
          <w:tcPr>
            <w:tcW w:type="dxa" w:w="2500"/>
          </w:tcPr>
          <w:p>
            <w:pPr>
              <w:spacing w:after="40"/>
            </w:pPr>
            <w:r/>
            <w:r>
              <w:rPr>
                <w:rFonts w:ascii="Calibri" w:hAnsi="Calibri"/>
                <w:b/>
                <w:color w:val="192535"/>
                <w:sz w:val="19"/>
              </w:rPr>
              <w:t>Contract/invoice needed</w:t>
            </w:r>
          </w:p>
        </w:tc>
        <w:tc>
          <w:tcPr>
            <w:tcW w:type="dxa" w:w="3850"/>
          </w:tcPr>
          <w:p>
            <w:pPr>
              <w:spacing w:after="40"/>
            </w:pPr>
            <w:r/>
            <w:r>
              <w:rPr>
                <w:rFonts w:ascii="Calibri" w:hAnsi="Calibri"/>
                <w:b w:val="0"/>
                <w:color w:val="192535"/>
                <w:sz w:val="19"/>
              </w:rPr>
              <w:t>Generate draft/preview from student Financials tab and review before sending.</w:t>
            </w:r>
          </w:p>
        </w:tc>
        <w:tc>
          <w:tcPr>
            <w:tcW w:type="dxa" w:w="3010"/>
          </w:tcPr>
          <w:p>
            <w:pPr>
              <w:spacing w:after="40"/>
            </w:pPr>
            <w:r/>
            <w:r>
              <w:rPr>
                <w:rFonts w:ascii="Calibri" w:hAnsi="Calibri"/>
                <w:b w:val="0"/>
                <w:color w:val="192535"/>
                <w:sz w:val="19"/>
              </w:rPr>
              <w:t>Admin, Agent, or authorized Case Manager</w:t>
            </w:r>
          </w:p>
        </w:tc>
      </w:tr>
      <w:tr>
        <w:tc>
          <w:tcPr>
            <w:tcW w:type="dxa" w:w="2500"/>
          </w:tcPr>
          <w:p>
            <w:pPr>
              <w:spacing w:after="40"/>
            </w:pPr>
            <w:r/>
            <w:r>
              <w:rPr>
                <w:rFonts w:ascii="Calibri" w:hAnsi="Calibri"/>
                <w:b/>
                <w:color w:val="192535"/>
                <w:sz w:val="19"/>
              </w:rPr>
              <w:t>Client asks for report</w:t>
            </w:r>
          </w:p>
        </w:tc>
        <w:tc>
          <w:tcPr>
            <w:tcW w:type="dxa" w:w="3850"/>
          </w:tcPr>
          <w:p>
            <w:pPr>
              <w:spacing w:after="40"/>
            </w:pPr>
            <w:r/>
            <w:r>
              <w:rPr>
                <w:rFonts w:ascii="Calibri" w:hAnsi="Calibri"/>
                <w:b w:val="0"/>
                <w:color w:val="192535"/>
                <w:sz w:val="19"/>
              </w:rPr>
              <w:t>Apply filters first, then download the relevant CSV report/export.</w:t>
            </w:r>
          </w:p>
        </w:tc>
        <w:tc>
          <w:tcPr>
            <w:tcW w:type="dxa" w:w="3010"/>
          </w:tcPr>
          <w:p>
            <w:pPr>
              <w:spacing w:after="40"/>
            </w:pPr>
            <w:r/>
            <w:r>
              <w:rPr>
                <w:rFonts w:ascii="Calibri" w:hAnsi="Calibri"/>
                <w:b w:val="0"/>
                <w:color w:val="192535"/>
                <w:sz w:val="19"/>
              </w:rPr>
              <w:t>Admin, Agent, or Case Manager</w:t>
            </w:r>
          </w:p>
        </w:tc>
      </w:tr>
    </w:tbl>
    <w:p>
      <w:pPr>
        <w:pStyle w:val="Heading1"/>
      </w:pPr>
      <w:r>
        <w:t>Handover Notes To Fill Before Client Delivery</w:t>
      </w:r>
    </w:p>
    <w:p>
      <w:pPr>
        <w:pStyle w:val="ListBullet"/>
        <w:spacing w:after="80" w:line="300" w:lineRule="auto"/>
      </w:pPr>
      <w:r>
        <w:t>Confirm production website URL and login URL.</w:t>
      </w:r>
    </w:p>
    <w:p>
      <w:pPr>
        <w:pStyle w:val="ListBullet"/>
        <w:spacing w:after="80" w:line="300" w:lineRule="auto"/>
      </w:pPr>
      <w:r>
        <w:t>List initial Admin accounts and who owns password resets.</w:t>
      </w:r>
    </w:p>
    <w:p>
      <w:pPr>
        <w:pStyle w:val="ListBullet"/>
        <w:spacing w:after="80" w:line="300" w:lineRule="auto"/>
      </w:pPr>
      <w:r>
        <w:t>Confirm real email provider settings and whether development email simulation is disabled.</w:t>
      </w:r>
    </w:p>
    <w:p>
      <w:pPr>
        <w:pStyle w:val="ListBullet"/>
        <w:spacing w:after="80" w:line="300" w:lineRule="auto"/>
      </w:pPr>
      <w:r>
        <w:t>Confirm file storage provider and private document access settings.</w:t>
      </w:r>
    </w:p>
    <w:p>
      <w:pPr>
        <w:pStyle w:val="ListBullet"/>
        <w:spacing w:after="80" w:line="300" w:lineRule="auto"/>
      </w:pPr>
      <w:r>
        <w:t>Confirm staff roles, team memberships, and any naming conventions for tasks, documents, and notes.</w:t>
      </w:r>
    </w:p>
    <w:p>
      <w:pPr>
        <w:pStyle w:val="ListBullet"/>
        <w:spacing w:after="80" w:line="300" w:lineRule="auto"/>
      </w:pPr>
      <w:r>
        <w:t>Confirm business rules for who may send contracts/invoices and who may mark invoices as paid.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36E"/>
        <w:sz w:val="17"/>
      </w:rPr>
      <w:t>L&amp;B Global worker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925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