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mbex1omdg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Versiones - Nodo Roomba ROS2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tas4il2r9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Versión 0.0.0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inicial del nodo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RoombaNode</w:t>
      </w:r>
      <w:r w:rsidDel="00000000" w:rsidR="00000000" w:rsidRPr="00000000">
        <w:rPr>
          <w:rtl w:val="0"/>
        </w:rPr>
        <w:t xml:space="preserve"> para controlar un robot Roomba utilizando ROS2.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Características principales: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Publicadores para sensores como batería, detección de acantilados, colisiones, pared, voltaje, corriente y temperatura.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Publicador para odometría básica.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Comandos de velocidad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cmd_vel</w:t>
      </w:r>
      <w:r w:rsidDel="00000000" w:rsidR="00000000" w:rsidRPr="00000000">
        <w:rPr>
          <w:rtl w:val="0"/>
        </w:rPr>
        <w:t xml:space="preserve">) para control de movimiento.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parámetros básicos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, tasas de actualización, velocidades máximas, etc.).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Soporte para lectura de sensores desde la interfaz del Roomba.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 de registro (logging) dinámicos basados en parámetros.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qxleqcps1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Versión 0.0.1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importante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añadió la publicación de un mensaje inicial de odometría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(0,0,0)</w:t>
      </w:r>
      <w:r w:rsidDel="00000000" w:rsidR="00000000" w:rsidRPr="00000000">
        <w:rPr>
          <w:rtl w:val="0"/>
        </w:rPr>
        <w:t xml:space="preserve"> al iniciar el nodo.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Publicación de transformaciones estáticas iniciales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 -&gt; base_footprint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base_footprint -&gt; base_link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Mejoras en el manejo de parámetros dinámicos para ajustar tasas de actualización y velocidades máximas en tiempo de ejecución.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Corrección de errores en el control del tiempo límite de comandos de velocidad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cmd_vel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lgf6nymfy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Versión 0.0.2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de transformaciones de ruedas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Añadidas transformaciones adicionales para las ruedas izquierda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left_wheel</w:t>
      </w:r>
      <w:r w:rsidDel="00000000" w:rsidR="00000000" w:rsidRPr="00000000">
        <w:rPr>
          <w:rtl w:val="0"/>
        </w:rPr>
        <w:t xml:space="preserve">) y derecha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right_wheel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en la inicialización y publicación de transformaciones TF2.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 mejorado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Validaciones más robustas para las lecturas de sensores.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Manejo de errores mejorado al calcular la odometría y las velocidades.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 optimizado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 logs redundantes en la consola.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 en los cálculos de odometría utilizando acumuladores de posición y orientación.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1f10ouf67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Versión 0.0.3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extendido para RQT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Añadido soporte para integrar el nodo con RQT desde un launcher.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Mejoras en la publicación inicial de odometría: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Covarianzas iniciales definidas en el mensaje de odometría.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Publicación más detallada de transformaciones para la relación entre las ruedas y el robot base.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Refinamiento en el manejo de temporizadores para comandos de velocidad y publicación de sensores.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corrigió un error en la publicación inicial de transformaciones que causaba problemas con las ruedas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left_wheel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right_wheel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