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3"/>
        <w:gridCol w:w="2101"/>
        <w:gridCol w:w="1958"/>
        <w:gridCol w:w="296"/>
        <w:gridCol w:w="2042"/>
        <w:tblGridChange w:id="0">
          <w:tblGrid>
            <w:gridCol w:w="2323"/>
            <w:gridCol w:w="2101"/>
            <w:gridCol w:w="1958"/>
            <w:gridCol w:w="296"/>
            <w:gridCol w:w="2042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16/03/2023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 horas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Acttus Cosméticos - Empresa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Oswaldo Arante Baião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tabs>
                <w:tab w:val="left" w:leader="none" w:pos="2525"/>
              </w:tabs>
              <w:rPr/>
            </w:pPr>
            <w:r w:rsidDel="00000000" w:rsidR="00000000" w:rsidRPr="00000000">
              <w:rPr>
                <w:rtl w:val="0"/>
              </w:rPr>
              <w:t xml:space="preserve">baiao@acttus.com.br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Amanda Moura de Souza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amanda.souza.1381861@sga.pucminas.br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Guilherme Drumond Santos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guilherme.silva.1378485@sga.pucminas.br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Luiz Gustavo Mendes Santos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luizgustavomendessantos03@gmail.com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Pedro Ramos Vidigal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hyperlink r:id="rId6">
              <w:r w:rsidDel="00000000" w:rsidR="00000000" w:rsidRPr="00000000">
                <w:rPr>
                  <w:rtl w:val="0"/>
                </w:rPr>
                <w:t xml:space="preserve">pedro12vidigal@gmail.com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Vítor de Figueiredo Pereira 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vitorfigueiredopereira@gmail.com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Vitor Nunes Calhau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vnunescalhau@gmail.com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detalhada do processo atual na empresa e discussão sobre implementação.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As embalagens dos produtos deverão ser cadastradas com diferentes tipos: tampa e frasco e tipos de frascos diferentes.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Durante a reunião percebemos que existia a necessidade de adicionar passos da produção às fórmulas, porque a fabricação é dividida em fases e cada produto é usado em uma diferente.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 simulação deve ser impressa para o funcionário da fábrica.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Os fornecedores podem ter um pedido mínimo para determinado insumo.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Necessidade de clonar produto para facilitar cadastro de similares.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Template das telas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28/03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Todos os integrantes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Alteração do documento de visão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28/03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Todos os integrantes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pedro12vidigal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