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6B70E" w14:textId="77777777" w:rsidR="000F5D9D" w:rsidRPr="00DD2EB9" w:rsidRDefault="000F5D9D" w:rsidP="001756D0">
      <w:pPr>
        <w:spacing w:line="360" w:lineRule="auto"/>
        <w:ind w:left="851"/>
        <w:jc w:val="center"/>
        <w:rPr>
          <w:b/>
          <w:sz w:val="28"/>
          <w:szCs w:val="28"/>
        </w:rPr>
      </w:pPr>
      <w:r>
        <w:rPr>
          <w:b/>
          <w:noProof/>
          <w:sz w:val="28"/>
          <w:szCs w:val="28"/>
        </w:rPr>
        <w:drawing>
          <wp:inline distT="0" distB="0" distL="0" distR="0" wp14:anchorId="707E7B0B" wp14:editId="3F435B31">
            <wp:extent cx="2176145" cy="92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6145" cy="920750"/>
                    </a:xfrm>
                    <a:prstGeom prst="rect">
                      <a:avLst/>
                    </a:prstGeom>
                    <a:noFill/>
                  </pic:spPr>
                </pic:pic>
              </a:graphicData>
            </a:graphic>
          </wp:inline>
        </w:drawing>
      </w:r>
    </w:p>
    <w:p w14:paraId="000B44B4" w14:textId="77777777" w:rsidR="000F5D9D" w:rsidRDefault="000F5D9D" w:rsidP="001756D0">
      <w:pPr>
        <w:spacing w:line="360" w:lineRule="auto"/>
        <w:jc w:val="both"/>
        <w:rPr>
          <w:b/>
          <w:sz w:val="28"/>
          <w:szCs w:val="28"/>
        </w:rPr>
      </w:pPr>
    </w:p>
    <w:p w14:paraId="4B576C1B" w14:textId="77777777" w:rsidR="000F5D9D" w:rsidRPr="00DD2EB9" w:rsidRDefault="000F5D9D" w:rsidP="001756D0">
      <w:pPr>
        <w:spacing w:line="360" w:lineRule="auto"/>
        <w:ind w:left="851"/>
        <w:jc w:val="center"/>
        <w:rPr>
          <w:b/>
          <w:sz w:val="28"/>
          <w:szCs w:val="28"/>
        </w:rPr>
      </w:pPr>
      <w:r w:rsidRPr="00DD2EB9">
        <w:rPr>
          <w:b/>
          <w:sz w:val="28"/>
          <w:szCs w:val="28"/>
        </w:rPr>
        <w:t>RESEARCH PROPOSAL</w:t>
      </w:r>
    </w:p>
    <w:p w14:paraId="73DB22EC" w14:textId="77777777" w:rsidR="000F5D9D" w:rsidRPr="00DD2EB9" w:rsidRDefault="000F5D9D" w:rsidP="00E22C20">
      <w:pPr>
        <w:spacing w:line="360" w:lineRule="auto"/>
        <w:ind w:left="851"/>
        <w:jc w:val="both"/>
        <w:rPr>
          <w:b/>
          <w:sz w:val="28"/>
          <w:szCs w:val="28"/>
        </w:rPr>
      </w:pPr>
    </w:p>
    <w:p w14:paraId="38D79A6A" w14:textId="77777777" w:rsidR="000F5D9D" w:rsidRPr="00DD2EB9" w:rsidRDefault="000F5D9D" w:rsidP="001756D0">
      <w:pPr>
        <w:spacing w:line="360" w:lineRule="auto"/>
        <w:ind w:left="851"/>
        <w:jc w:val="center"/>
        <w:rPr>
          <w:b/>
          <w:sz w:val="28"/>
          <w:szCs w:val="28"/>
        </w:rPr>
      </w:pPr>
      <w:r w:rsidRPr="00DD2EB9">
        <w:rPr>
          <w:b/>
          <w:sz w:val="28"/>
          <w:szCs w:val="28"/>
        </w:rPr>
        <w:t>TITLE:</w:t>
      </w:r>
    </w:p>
    <w:p w14:paraId="424BB6E4" w14:textId="77777777" w:rsidR="000F5D9D" w:rsidRPr="00DD2EB9" w:rsidRDefault="000F5D9D" w:rsidP="001756D0">
      <w:pPr>
        <w:spacing w:line="360" w:lineRule="auto"/>
        <w:ind w:left="851"/>
        <w:jc w:val="center"/>
        <w:rPr>
          <w:b/>
          <w:sz w:val="28"/>
          <w:szCs w:val="28"/>
        </w:rPr>
      </w:pPr>
      <w:r w:rsidRPr="00DD2EB9">
        <w:rPr>
          <w:b/>
          <w:sz w:val="28"/>
          <w:szCs w:val="28"/>
        </w:rPr>
        <w:t>FACTORS ASSOCIATED WITH VACCINE HESITANCY AMONG PARENTS OF CHILDREN WITH AUTISM SPECTRUM DISORDER (ASD) IN MALAYSIA</w:t>
      </w:r>
    </w:p>
    <w:p w14:paraId="6DB40F42" w14:textId="77777777" w:rsidR="000F5D9D" w:rsidRPr="00DD2EB9" w:rsidRDefault="000F5D9D" w:rsidP="00E22C20">
      <w:pPr>
        <w:spacing w:line="360" w:lineRule="auto"/>
        <w:ind w:left="851"/>
        <w:jc w:val="both"/>
        <w:rPr>
          <w:b/>
          <w:bCs/>
          <w:sz w:val="28"/>
          <w:szCs w:val="28"/>
        </w:rPr>
      </w:pPr>
    </w:p>
    <w:p w14:paraId="2FBA4D4A" w14:textId="77777777" w:rsidR="000F5D9D" w:rsidRPr="00DD2EB9" w:rsidRDefault="000F5D9D" w:rsidP="001756D0">
      <w:pPr>
        <w:spacing w:line="360" w:lineRule="auto"/>
        <w:ind w:left="851"/>
        <w:jc w:val="center"/>
        <w:rPr>
          <w:b/>
          <w:sz w:val="28"/>
          <w:szCs w:val="28"/>
        </w:rPr>
      </w:pPr>
      <w:r w:rsidRPr="00DD2EB9">
        <w:rPr>
          <w:b/>
          <w:sz w:val="28"/>
          <w:szCs w:val="28"/>
        </w:rPr>
        <w:t>Prepared by:</w:t>
      </w:r>
    </w:p>
    <w:p w14:paraId="1933E288" w14:textId="77777777" w:rsidR="000F5D9D" w:rsidRPr="00DD2EB9" w:rsidRDefault="000F5D9D" w:rsidP="001756D0">
      <w:pPr>
        <w:spacing w:line="360" w:lineRule="auto"/>
        <w:ind w:left="851"/>
        <w:jc w:val="center"/>
        <w:rPr>
          <w:b/>
          <w:sz w:val="28"/>
          <w:szCs w:val="28"/>
        </w:rPr>
      </w:pPr>
      <w:r w:rsidRPr="00DD2EB9">
        <w:rPr>
          <w:b/>
          <w:sz w:val="28"/>
          <w:szCs w:val="28"/>
        </w:rPr>
        <w:t>SITI NURADLIAH BT JAMIL</w:t>
      </w:r>
    </w:p>
    <w:p w14:paraId="76863C4B" w14:textId="77777777" w:rsidR="000F5D9D" w:rsidRPr="00DD2EB9" w:rsidRDefault="000F5D9D" w:rsidP="001756D0">
      <w:pPr>
        <w:spacing w:line="360" w:lineRule="auto"/>
        <w:ind w:left="851"/>
        <w:jc w:val="center"/>
        <w:rPr>
          <w:b/>
          <w:sz w:val="28"/>
          <w:szCs w:val="28"/>
        </w:rPr>
      </w:pPr>
      <w:r w:rsidRPr="00DD2EB9">
        <w:rPr>
          <w:b/>
          <w:sz w:val="28"/>
          <w:szCs w:val="28"/>
        </w:rPr>
        <w:t>2015176375</w:t>
      </w:r>
    </w:p>
    <w:p w14:paraId="16C3EEA0" w14:textId="77777777" w:rsidR="000F5D9D" w:rsidRPr="00DD2EB9" w:rsidRDefault="000F5D9D" w:rsidP="001756D0">
      <w:pPr>
        <w:spacing w:line="360" w:lineRule="auto"/>
        <w:ind w:left="851"/>
        <w:jc w:val="center"/>
        <w:rPr>
          <w:b/>
          <w:sz w:val="28"/>
          <w:szCs w:val="28"/>
        </w:rPr>
      </w:pPr>
    </w:p>
    <w:p w14:paraId="75A640D2" w14:textId="77777777" w:rsidR="000F5D9D" w:rsidRPr="00DD2EB9" w:rsidRDefault="000F5D9D" w:rsidP="001756D0">
      <w:pPr>
        <w:spacing w:line="360" w:lineRule="auto"/>
        <w:ind w:left="851"/>
        <w:jc w:val="center"/>
        <w:rPr>
          <w:b/>
          <w:sz w:val="28"/>
          <w:szCs w:val="28"/>
        </w:rPr>
      </w:pPr>
      <w:r w:rsidRPr="00DD2EB9">
        <w:rPr>
          <w:b/>
          <w:sz w:val="28"/>
          <w:szCs w:val="28"/>
        </w:rPr>
        <w:t>Supervisors:</w:t>
      </w:r>
    </w:p>
    <w:p w14:paraId="0611AA2F" w14:textId="77777777" w:rsidR="000F5D9D" w:rsidRPr="00DE2892" w:rsidRDefault="000F5D9D" w:rsidP="001756D0">
      <w:pPr>
        <w:spacing w:line="360" w:lineRule="auto"/>
        <w:ind w:left="851"/>
        <w:jc w:val="center"/>
        <w:rPr>
          <w:b/>
          <w:sz w:val="28"/>
          <w:szCs w:val="28"/>
        </w:rPr>
      </w:pPr>
      <w:r w:rsidRPr="00DD2EB9">
        <w:rPr>
          <w:b/>
          <w:sz w:val="28"/>
          <w:szCs w:val="28"/>
        </w:rPr>
        <w:t xml:space="preserve">DR ILHAM AMEERA </w:t>
      </w:r>
      <w:r w:rsidRPr="00DE2892">
        <w:rPr>
          <w:b/>
          <w:sz w:val="28"/>
          <w:szCs w:val="28"/>
        </w:rPr>
        <w:t>BINTI ISMAIL</w:t>
      </w:r>
    </w:p>
    <w:p w14:paraId="6EBA8425" w14:textId="77777777" w:rsidR="000F5D9D" w:rsidRPr="00DE2892" w:rsidRDefault="000F5D9D" w:rsidP="001756D0">
      <w:pPr>
        <w:spacing w:line="360" w:lineRule="auto"/>
        <w:ind w:left="851"/>
        <w:jc w:val="center"/>
        <w:rPr>
          <w:b/>
          <w:sz w:val="28"/>
          <w:szCs w:val="28"/>
        </w:rPr>
      </w:pPr>
      <w:r w:rsidRPr="00DE2892">
        <w:rPr>
          <w:b/>
          <w:sz w:val="28"/>
          <w:szCs w:val="28"/>
        </w:rPr>
        <w:t xml:space="preserve">DR SITI FATIMAH BINTI </w:t>
      </w:r>
      <w:r w:rsidRPr="00DE2892">
        <w:rPr>
          <w:rStyle w:val="Emphasis"/>
          <w:b/>
          <w:i w:val="0"/>
          <w:iCs w:val="0"/>
          <w:sz w:val="28"/>
          <w:szCs w:val="28"/>
          <w:shd w:val="clear" w:color="auto" w:fill="FFFFFF"/>
        </w:rPr>
        <w:t>BADLISHAH SHAM</w:t>
      </w:r>
    </w:p>
    <w:p w14:paraId="39662BB5" w14:textId="1AEB6D61" w:rsidR="000F5D9D" w:rsidRDefault="000F5D9D" w:rsidP="00E22C20">
      <w:pPr>
        <w:spacing w:line="360" w:lineRule="auto"/>
        <w:jc w:val="both"/>
        <w:rPr>
          <w:szCs w:val="24"/>
        </w:rPr>
      </w:pPr>
    </w:p>
    <w:p w14:paraId="54CFF52F" w14:textId="77777777" w:rsidR="001756D0" w:rsidRPr="005A79C9" w:rsidRDefault="001756D0" w:rsidP="00E22C20">
      <w:pPr>
        <w:spacing w:line="360" w:lineRule="auto"/>
        <w:jc w:val="both"/>
        <w:rPr>
          <w:szCs w:val="24"/>
        </w:rPr>
      </w:pPr>
    </w:p>
    <w:sdt>
      <w:sdtPr>
        <w:rPr>
          <w:rFonts w:ascii="Times New Roman" w:eastAsiaTheme="minorHAnsi" w:hAnsi="Times New Roman" w:cs="Times New Roman"/>
          <w:color w:val="auto"/>
          <w:sz w:val="24"/>
          <w:szCs w:val="24"/>
        </w:rPr>
        <w:id w:val="1414505892"/>
        <w:docPartObj>
          <w:docPartGallery w:val="Table of Contents"/>
          <w:docPartUnique/>
        </w:docPartObj>
      </w:sdtPr>
      <w:sdtEndPr>
        <w:rPr>
          <w:b/>
          <w:bCs/>
          <w:noProof/>
        </w:rPr>
      </w:sdtEndPr>
      <w:sdtContent>
        <w:p w14:paraId="1FA78244" w14:textId="77777777" w:rsidR="000F5D9D" w:rsidRPr="005A79C9" w:rsidRDefault="000F5D9D" w:rsidP="00E22C20">
          <w:pPr>
            <w:pStyle w:val="TOCHeading"/>
            <w:spacing w:line="240" w:lineRule="auto"/>
            <w:ind w:left="284"/>
            <w:jc w:val="both"/>
            <w:rPr>
              <w:rFonts w:ascii="Times New Roman" w:hAnsi="Times New Roman" w:cs="Times New Roman"/>
              <w:b/>
              <w:bCs/>
              <w:color w:val="auto"/>
              <w:sz w:val="24"/>
              <w:szCs w:val="24"/>
            </w:rPr>
          </w:pPr>
          <w:r w:rsidRPr="005A79C9">
            <w:rPr>
              <w:rFonts w:ascii="Times New Roman" w:hAnsi="Times New Roman" w:cs="Times New Roman"/>
              <w:b/>
              <w:bCs/>
              <w:color w:val="auto"/>
              <w:sz w:val="24"/>
              <w:szCs w:val="24"/>
            </w:rPr>
            <w:t>Contents</w:t>
          </w:r>
        </w:p>
        <w:p w14:paraId="5ADF2FA6" w14:textId="679076A6" w:rsidR="001756D0" w:rsidRDefault="000F5D9D">
          <w:pPr>
            <w:pStyle w:val="TOC1"/>
            <w:rPr>
              <w:rFonts w:asciiTheme="minorHAnsi" w:eastAsiaTheme="minorEastAsia" w:hAnsiTheme="minorHAnsi" w:cstheme="minorBidi"/>
              <w:b w:val="0"/>
              <w:caps w:val="0"/>
              <w:noProof/>
              <w:sz w:val="22"/>
              <w:lang w:eastAsia="en-MY"/>
            </w:rPr>
          </w:pPr>
          <w:r w:rsidRPr="005A79C9">
            <w:rPr>
              <w:szCs w:val="24"/>
            </w:rPr>
            <w:fldChar w:fldCharType="begin"/>
          </w:r>
          <w:r w:rsidRPr="00E22C20">
            <w:rPr>
              <w:szCs w:val="24"/>
            </w:rPr>
            <w:instrText xml:space="preserve"> TOC \o "1-3" \h \z \u </w:instrText>
          </w:r>
          <w:r w:rsidRPr="005A79C9">
            <w:rPr>
              <w:szCs w:val="24"/>
            </w:rPr>
            <w:fldChar w:fldCharType="separate"/>
          </w:r>
          <w:hyperlink w:anchor="_Toc31400942" w:history="1">
            <w:r w:rsidR="001756D0" w:rsidRPr="003B173F">
              <w:rPr>
                <w:rStyle w:val="Hyperlink"/>
                <w:bCs/>
                <w:noProof/>
              </w:rPr>
              <w:t>INTRODUCTION</w:t>
            </w:r>
            <w:r w:rsidR="001756D0">
              <w:rPr>
                <w:noProof/>
                <w:webHidden/>
              </w:rPr>
              <w:tab/>
            </w:r>
            <w:r w:rsidR="001756D0">
              <w:rPr>
                <w:noProof/>
                <w:webHidden/>
              </w:rPr>
              <w:fldChar w:fldCharType="begin"/>
            </w:r>
            <w:r w:rsidR="001756D0">
              <w:rPr>
                <w:noProof/>
                <w:webHidden/>
              </w:rPr>
              <w:instrText xml:space="preserve"> PAGEREF _Toc31400942 \h </w:instrText>
            </w:r>
            <w:r w:rsidR="001756D0">
              <w:rPr>
                <w:noProof/>
                <w:webHidden/>
              </w:rPr>
            </w:r>
            <w:r w:rsidR="001756D0">
              <w:rPr>
                <w:noProof/>
                <w:webHidden/>
              </w:rPr>
              <w:fldChar w:fldCharType="separate"/>
            </w:r>
            <w:r w:rsidR="001756D0">
              <w:rPr>
                <w:noProof/>
                <w:webHidden/>
              </w:rPr>
              <w:t>4</w:t>
            </w:r>
            <w:r w:rsidR="001756D0">
              <w:rPr>
                <w:noProof/>
                <w:webHidden/>
              </w:rPr>
              <w:fldChar w:fldCharType="end"/>
            </w:r>
          </w:hyperlink>
        </w:p>
        <w:p w14:paraId="3F33D65C" w14:textId="7E9EA974" w:rsidR="001756D0" w:rsidRDefault="001756D0">
          <w:pPr>
            <w:pStyle w:val="TOC2"/>
            <w:rPr>
              <w:rFonts w:asciiTheme="minorHAnsi" w:eastAsiaTheme="minorEastAsia" w:hAnsiTheme="minorHAnsi" w:cstheme="minorBidi"/>
              <w:noProof/>
              <w:sz w:val="22"/>
              <w:lang w:eastAsia="en-MY"/>
            </w:rPr>
          </w:pPr>
          <w:hyperlink w:anchor="_Toc31400943" w:history="1">
            <w:r w:rsidRPr="003B173F">
              <w:rPr>
                <w:rStyle w:val="Hyperlink"/>
                <w:b/>
                <w:bCs/>
                <w:noProof/>
              </w:rPr>
              <w:t>1.1</w:t>
            </w:r>
            <w:r>
              <w:rPr>
                <w:rFonts w:asciiTheme="minorHAnsi" w:eastAsiaTheme="minorEastAsia" w:hAnsiTheme="minorHAnsi" w:cstheme="minorBidi"/>
                <w:noProof/>
                <w:sz w:val="22"/>
                <w:lang w:eastAsia="en-MY"/>
              </w:rPr>
              <w:tab/>
            </w:r>
            <w:r w:rsidRPr="003B173F">
              <w:rPr>
                <w:rStyle w:val="Hyperlink"/>
                <w:b/>
                <w:bCs/>
                <w:noProof/>
              </w:rPr>
              <w:t>Background of the Study</w:t>
            </w:r>
            <w:r>
              <w:rPr>
                <w:noProof/>
                <w:webHidden/>
              </w:rPr>
              <w:tab/>
            </w:r>
            <w:r>
              <w:rPr>
                <w:noProof/>
                <w:webHidden/>
              </w:rPr>
              <w:fldChar w:fldCharType="begin"/>
            </w:r>
            <w:r>
              <w:rPr>
                <w:noProof/>
                <w:webHidden/>
              </w:rPr>
              <w:instrText xml:space="preserve"> PAGEREF _Toc31400943 \h </w:instrText>
            </w:r>
            <w:r>
              <w:rPr>
                <w:noProof/>
                <w:webHidden/>
              </w:rPr>
            </w:r>
            <w:r>
              <w:rPr>
                <w:noProof/>
                <w:webHidden/>
              </w:rPr>
              <w:fldChar w:fldCharType="separate"/>
            </w:r>
            <w:r>
              <w:rPr>
                <w:noProof/>
                <w:webHidden/>
              </w:rPr>
              <w:t>4</w:t>
            </w:r>
            <w:r>
              <w:rPr>
                <w:noProof/>
                <w:webHidden/>
              </w:rPr>
              <w:fldChar w:fldCharType="end"/>
            </w:r>
          </w:hyperlink>
        </w:p>
        <w:p w14:paraId="42B36635" w14:textId="0C965428" w:rsidR="001756D0" w:rsidRDefault="001756D0">
          <w:pPr>
            <w:pStyle w:val="TOC2"/>
            <w:rPr>
              <w:rFonts w:asciiTheme="minorHAnsi" w:eastAsiaTheme="minorEastAsia" w:hAnsiTheme="minorHAnsi" w:cstheme="minorBidi"/>
              <w:noProof/>
              <w:sz w:val="22"/>
              <w:lang w:eastAsia="en-MY"/>
            </w:rPr>
          </w:pPr>
          <w:hyperlink w:anchor="_Toc31400944" w:history="1">
            <w:r w:rsidRPr="003B173F">
              <w:rPr>
                <w:rStyle w:val="Hyperlink"/>
                <w:b/>
                <w:bCs/>
                <w:noProof/>
              </w:rPr>
              <w:t>1.2</w:t>
            </w:r>
            <w:r>
              <w:rPr>
                <w:rFonts w:asciiTheme="minorHAnsi" w:eastAsiaTheme="minorEastAsia" w:hAnsiTheme="minorHAnsi" w:cstheme="minorBidi"/>
                <w:noProof/>
                <w:sz w:val="22"/>
                <w:lang w:eastAsia="en-MY"/>
              </w:rPr>
              <w:tab/>
            </w:r>
            <w:r w:rsidRPr="003B173F">
              <w:rPr>
                <w:rStyle w:val="Hyperlink"/>
                <w:b/>
                <w:bCs/>
                <w:noProof/>
              </w:rPr>
              <w:t>Research tool and instrument</w:t>
            </w:r>
            <w:r>
              <w:rPr>
                <w:noProof/>
                <w:webHidden/>
              </w:rPr>
              <w:tab/>
            </w:r>
            <w:r>
              <w:rPr>
                <w:noProof/>
                <w:webHidden/>
              </w:rPr>
              <w:fldChar w:fldCharType="begin"/>
            </w:r>
            <w:r>
              <w:rPr>
                <w:noProof/>
                <w:webHidden/>
              </w:rPr>
              <w:instrText xml:space="preserve"> PAGEREF _Toc31400944 \h </w:instrText>
            </w:r>
            <w:r>
              <w:rPr>
                <w:noProof/>
                <w:webHidden/>
              </w:rPr>
            </w:r>
            <w:r>
              <w:rPr>
                <w:noProof/>
                <w:webHidden/>
              </w:rPr>
              <w:fldChar w:fldCharType="separate"/>
            </w:r>
            <w:r>
              <w:rPr>
                <w:noProof/>
                <w:webHidden/>
              </w:rPr>
              <w:t>6</w:t>
            </w:r>
            <w:r>
              <w:rPr>
                <w:noProof/>
                <w:webHidden/>
              </w:rPr>
              <w:fldChar w:fldCharType="end"/>
            </w:r>
          </w:hyperlink>
        </w:p>
        <w:p w14:paraId="7764D079" w14:textId="26B2DA8E" w:rsidR="001756D0" w:rsidRDefault="001756D0">
          <w:pPr>
            <w:pStyle w:val="TOC2"/>
            <w:rPr>
              <w:rFonts w:asciiTheme="minorHAnsi" w:eastAsiaTheme="minorEastAsia" w:hAnsiTheme="minorHAnsi" w:cstheme="minorBidi"/>
              <w:noProof/>
              <w:sz w:val="22"/>
              <w:lang w:eastAsia="en-MY"/>
            </w:rPr>
          </w:pPr>
          <w:hyperlink w:anchor="_Toc31400945" w:history="1">
            <w:r w:rsidRPr="003B173F">
              <w:rPr>
                <w:rStyle w:val="Hyperlink"/>
                <w:b/>
                <w:bCs/>
                <w:noProof/>
              </w:rPr>
              <w:t>1.3</w:t>
            </w:r>
            <w:r>
              <w:rPr>
                <w:rFonts w:asciiTheme="minorHAnsi" w:eastAsiaTheme="minorEastAsia" w:hAnsiTheme="minorHAnsi" w:cstheme="minorBidi"/>
                <w:noProof/>
                <w:sz w:val="22"/>
                <w:lang w:eastAsia="en-MY"/>
              </w:rPr>
              <w:tab/>
            </w:r>
            <w:r w:rsidRPr="003B173F">
              <w:rPr>
                <w:rStyle w:val="Hyperlink"/>
                <w:b/>
                <w:bCs/>
                <w:noProof/>
              </w:rPr>
              <w:t>Problem Statement</w:t>
            </w:r>
            <w:r>
              <w:rPr>
                <w:noProof/>
                <w:webHidden/>
              </w:rPr>
              <w:tab/>
            </w:r>
            <w:r>
              <w:rPr>
                <w:noProof/>
                <w:webHidden/>
              </w:rPr>
              <w:fldChar w:fldCharType="begin"/>
            </w:r>
            <w:r>
              <w:rPr>
                <w:noProof/>
                <w:webHidden/>
              </w:rPr>
              <w:instrText xml:space="preserve"> PAGEREF _Toc31400945 \h </w:instrText>
            </w:r>
            <w:r>
              <w:rPr>
                <w:noProof/>
                <w:webHidden/>
              </w:rPr>
            </w:r>
            <w:r>
              <w:rPr>
                <w:noProof/>
                <w:webHidden/>
              </w:rPr>
              <w:fldChar w:fldCharType="separate"/>
            </w:r>
            <w:r>
              <w:rPr>
                <w:noProof/>
                <w:webHidden/>
              </w:rPr>
              <w:t>7</w:t>
            </w:r>
            <w:r>
              <w:rPr>
                <w:noProof/>
                <w:webHidden/>
              </w:rPr>
              <w:fldChar w:fldCharType="end"/>
            </w:r>
          </w:hyperlink>
        </w:p>
        <w:p w14:paraId="719EAE43" w14:textId="6117685A" w:rsidR="001756D0" w:rsidRDefault="001756D0">
          <w:pPr>
            <w:pStyle w:val="TOC2"/>
            <w:rPr>
              <w:rFonts w:asciiTheme="minorHAnsi" w:eastAsiaTheme="minorEastAsia" w:hAnsiTheme="minorHAnsi" w:cstheme="minorBidi"/>
              <w:noProof/>
              <w:sz w:val="22"/>
              <w:lang w:eastAsia="en-MY"/>
            </w:rPr>
          </w:pPr>
          <w:hyperlink w:anchor="_Toc31400946" w:history="1">
            <w:r w:rsidRPr="003B173F">
              <w:rPr>
                <w:rStyle w:val="Hyperlink"/>
                <w:b/>
                <w:bCs/>
                <w:noProof/>
              </w:rPr>
              <w:t>1.4</w:t>
            </w:r>
            <w:r>
              <w:rPr>
                <w:rFonts w:asciiTheme="minorHAnsi" w:eastAsiaTheme="minorEastAsia" w:hAnsiTheme="minorHAnsi" w:cstheme="minorBidi"/>
                <w:noProof/>
                <w:sz w:val="22"/>
                <w:lang w:eastAsia="en-MY"/>
              </w:rPr>
              <w:tab/>
            </w:r>
            <w:r w:rsidRPr="003B173F">
              <w:rPr>
                <w:rStyle w:val="Hyperlink"/>
                <w:b/>
                <w:bCs/>
                <w:noProof/>
              </w:rPr>
              <w:t>Research Questions</w:t>
            </w:r>
            <w:r>
              <w:rPr>
                <w:noProof/>
                <w:webHidden/>
              </w:rPr>
              <w:tab/>
            </w:r>
            <w:r>
              <w:rPr>
                <w:noProof/>
                <w:webHidden/>
              </w:rPr>
              <w:fldChar w:fldCharType="begin"/>
            </w:r>
            <w:r>
              <w:rPr>
                <w:noProof/>
                <w:webHidden/>
              </w:rPr>
              <w:instrText xml:space="preserve"> PAGEREF _Toc31400946 \h </w:instrText>
            </w:r>
            <w:r>
              <w:rPr>
                <w:noProof/>
                <w:webHidden/>
              </w:rPr>
            </w:r>
            <w:r>
              <w:rPr>
                <w:noProof/>
                <w:webHidden/>
              </w:rPr>
              <w:fldChar w:fldCharType="separate"/>
            </w:r>
            <w:r>
              <w:rPr>
                <w:noProof/>
                <w:webHidden/>
              </w:rPr>
              <w:t>7</w:t>
            </w:r>
            <w:r>
              <w:rPr>
                <w:noProof/>
                <w:webHidden/>
              </w:rPr>
              <w:fldChar w:fldCharType="end"/>
            </w:r>
          </w:hyperlink>
        </w:p>
        <w:p w14:paraId="6F90275D" w14:textId="79195996" w:rsidR="001756D0" w:rsidRDefault="001756D0">
          <w:pPr>
            <w:pStyle w:val="TOC2"/>
            <w:rPr>
              <w:rFonts w:asciiTheme="minorHAnsi" w:eastAsiaTheme="minorEastAsia" w:hAnsiTheme="minorHAnsi" w:cstheme="minorBidi"/>
              <w:noProof/>
              <w:sz w:val="22"/>
              <w:lang w:eastAsia="en-MY"/>
            </w:rPr>
          </w:pPr>
          <w:hyperlink w:anchor="_Toc31400947" w:history="1">
            <w:r w:rsidRPr="003B173F">
              <w:rPr>
                <w:rStyle w:val="Hyperlink"/>
                <w:b/>
                <w:bCs/>
                <w:noProof/>
              </w:rPr>
              <w:t>1.5</w:t>
            </w:r>
            <w:r>
              <w:rPr>
                <w:rFonts w:asciiTheme="minorHAnsi" w:eastAsiaTheme="minorEastAsia" w:hAnsiTheme="minorHAnsi" w:cstheme="minorBidi"/>
                <w:noProof/>
                <w:sz w:val="22"/>
                <w:lang w:eastAsia="en-MY"/>
              </w:rPr>
              <w:tab/>
            </w:r>
            <w:r w:rsidRPr="003B173F">
              <w:rPr>
                <w:rStyle w:val="Hyperlink"/>
                <w:b/>
                <w:bCs/>
                <w:noProof/>
              </w:rPr>
              <w:t>Objectives</w:t>
            </w:r>
            <w:r>
              <w:rPr>
                <w:noProof/>
                <w:webHidden/>
              </w:rPr>
              <w:tab/>
            </w:r>
            <w:r>
              <w:rPr>
                <w:noProof/>
                <w:webHidden/>
              </w:rPr>
              <w:fldChar w:fldCharType="begin"/>
            </w:r>
            <w:r>
              <w:rPr>
                <w:noProof/>
                <w:webHidden/>
              </w:rPr>
              <w:instrText xml:space="preserve"> PAGEREF _Toc31400947 \h </w:instrText>
            </w:r>
            <w:r>
              <w:rPr>
                <w:noProof/>
                <w:webHidden/>
              </w:rPr>
            </w:r>
            <w:r>
              <w:rPr>
                <w:noProof/>
                <w:webHidden/>
              </w:rPr>
              <w:fldChar w:fldCharType="separate"/>
            </w:r>
            <w:r>
              <w:rPr>
                <w:noProof/>
                <w:webHidden/>
              </w:rPr>
              <w:t>8</w:t>
            </w:r>
            <w:r>
              <w:rPr>
                <w:noProof/>
                <w:webHidden/>
              </w:rPr>
              <w:fldChar w:fldCharType="end"/>
            </w:r>
          </w:hyperlink>
        </w:p>
        <w:p w14:paraId="084311B3" w14:textId="43FCF619" w:rsidR="001756D0" w:rsidRDefault="001756D0">
          <w:pPr>
            <w:pStyle w:val="TOC2"/>
            <w:rPr>
              <w:rFonts w:asciiTheme="minorHAnsi" w:eastAsiaTheme="minorEastAsia" w:hAnsiTheme="minorHAnsi" w:cstheme="minorBidi"/>
              <w:noProof/>
              <w:sz w:val="22"/>
              <w:lang w:eastAsia="en-MY"/>
            </w:rPr>
          </w:pPr>
          <w:hyperlink w:anchor="_Toc31400948" w:history="1">
            <w:r w:rsidRPr="003B173F">
              <w:rPr>
                <w:rStyle w:val="Hyperlink"/>
                <w:b/>
                <w:bCs/>
                <w:noProof/>
              </w:rPr>
              <w:t>1.6</w:t>
            </w:r>
            <w:r>
              <w:rPr>
                <w:rFonts w:asciiTheme="minorHAnsi" w:eastAsiaTheme="minorEastAsia" w:hAnsiTheme="minorHAnsi" w:cstheme="minorBidi"/>
                <w:noProof/>
                <w:sz w:val="22"/>
                <w:lang w:eastAsia="en-MY"/>
              </w:rPr>
              <w:tab/>
            </w:r>
            <w:r w:rsidRPr="003B173F">
              <w:rPr>
                <w:rStyle w:val="Hyperlink"/>
                <w:b/>
                <w:bCs/>
                <w:noProof/>
              </w:rPr>
              <w:t>Research Hypothesis</w:t>
            </w:r>
            <w:r>
              <w:rPr>
                <w:noProof/>
                <w:webHidden/>
              </w:rPr>
              <w:tab/>
            </w:r>
            <w:r>
              <w:rPr>
                <w:noProof/>
                <w:webHidden/>
              </w:rPr>
              <w:fldChar w:fldCharType="begin"/>
            </w:r>
            <w:r>
              <w:rPr>
                <w:noProof/>
                <w:webHidden/>
              </w:rPr>
              <w:instrText xml:space="preserve"> PAGEREF _Toc31400948 \h </w:instrText>
            </w:r>
            <w:r>
              <w:rPr>
                <w:noProof/>
                <w:webHidden/>
              </w:rPr>
            </w:r>
            <w:r>
              <w:rPr>
                <w:noProof/>
                <w:webHidden/>
              </w:rPr>
              <w:fldChar w:fldCharType="separate"/>
            </w:r>
            <w:r>
              <w:rPr>
                <w:noProof/>
                <w:webHidden/>
              </w:rPr>
              <w:t>8</w:t>
            </w:r>
            <w:r>
              <w:rPr>
                <w:noProof/>
                <w:webHidden/>
              </w:rPr>
              <w:fldChar w:fldCharType="end"/>
            </w:r>
          </w:hyperlink>
        </w:p>
        <w:p w14:paraId="100ABDB2" w14:textId="542B889A" w:rsidR="001756D0" w:rsidRDefault="001756D0">
          <w:pPr>
            <w:pStyle w:val="TOC2"/>
            <w:rPr>
              <w:rFonts w:asciiTheme="minorHAnsi" w:eastAsiaTheme="minorEastAsia" w:hAnsiTheme="minorHAnsi" w:cstheme="minorBidi"/>
              <w:noProof/>
              <w:sz w:val="22"/>
              <w:lang w:eastAsia="en-MY"/>
            </w:rPr>
          </w:pPr>
          <w:hyperlink w:anchor="_Toc31400949" w:history="1">
            <w:r w:rsidRPr="003B173F">
              <w:rPr>
                <w:rStyle w:val="Hyperlink"/>
                <w:b/>
                <w:bCs/>
                <w:noProof/>
              </w:rPr>
              <w:t>1.7</w:t>
            </w:r>
            <w:r>
              <w:rPr>
                <w:rFonts w:asciiTheme="minorHAnsi" w:eastAsiaTheme="minorEastAsia" w:hAnsiTheme="minorHAnsi" w:cstheme="minorBidi"/>
                <w:noProof/>
                <w:sz w:val="22"/>
                <w:lang w:eastAsia="en-MY"/>
              </w:rPr>
              <w:tab/>
            </w:r>
            <w:r w:rsidRPr="003B173F">
              <w:rPr>
                <w:rStyle w:val="Hyperlink"/>
                <w:b/>
                <w:bCs/>
                <w:noProof/>
              </w:rPr>
              <w:t>Significance and Novelty of the Study</w:t>
            </w:r>
            <w:r>
              <w:rPr>
                <w:noProof/>
                <w:webHidden/>
              </w:rPr>
              <w:tab/>
            </w:r>
            <w:r>
              <w:rPr>
                <w:noProof/>
                <w:webHidden/>
              </w:rPr>
              <w:fldChar w:fldCharType="begin"/>
            </w:r>
            <w:r>
              <w:rPr>
                <w:noProof/>
                <w:webHidden/>
              </w:rPr>
              <w:instrText xml:space="preserve"> PAGEREF _Toc31400949 \h </w:instrText>
            </w:r>
            <w:r>
              <w:rPr>
                <w:noProof/>
                <w:webHidden/>
              </w:rPr>
            </w:r>
            <w:r>
              <w:rPr>
                <w:noProof/>
                <w:webHidden/>
              </w:rPr>
              <w:fldChar w:fldCharType="separate"/>
            </w:r>
            <w:r>
              <w:rPr>
                <w:noProof/>
                <w:webHidden/>
              </w:rPr>
              <w:t>8</w:t>
            </w:r>
            <w:r>
              <w:rPr>
                <w:noProof/>
                <w:webHidden/>
              </w:rPr>
              <w:fldChar w:fldCharType="end"/>
            </w:r>
          </w:hyperlink>
        </w:p>
        <w:p w14:paraId="071C1BF3" w14:textId="0D5242C4" w:rsidR="001756D0" w:rsidRDefault="001756D0">
          <w:pPr>
            <w:pStyle w:val="TOC1"/>
            <w:rPr>
              <w:rFonts w:asciiTheme="minorHAnsi" w:eastAsiaTheme="minorEastAsia" w:hAnsiTheme="minorHAnsi" w:cstheme="minorBidi"/>
              <w:b w:val="0"/>
              <w:caps w:val="0"/>
              <w:noProof/>
              <w:sz w:val="22"/>
              <w:lang w:eastAsia="en-MY"/>
            </w:rPr>
          </w:pPr>
          <w:hyperlink w:anchor="_Toc31400950" w:history="1">
            <w:r w:rsidRPr="003B173F">
              <w:rPr>
                <w:rStyle w:val="Hyperlink"/>
                <w:bCs/>
                <w:noProof/>
              </w:rPr>
              <w:t>CHAPTER TWO</w:t>
            </w:r>
            <w:r>
              <w:rPr>
                <w:noProof/>
                <w:webHidden/>
              </w:rPr>
              <w:tab/>
            </w:r>
            <w:r>
              <w:rPr>
                <w:noProof/>
                <w:webHidden/>
              </w:rPr>
              <w:fldChar w:fldCharType="begin"/>
            </w:r>
            <w:r>
              <w:rPr>
                <w:noProof/>
                <w:webHidden/>
              </w:rPr>
              <w:instrText xml:space="preserve"> PAGEREF _Toc31400950 \h </w:instrText>
            </w:r>
            <w:r>
              <w:rPr>
                <w:noProof/>
                <w:webHidden/>
              </w:rPr>
            </w:r>
            <w:r>
              <w:rPr>
                <w:noProof/>
                <w:webHidden/>
              </w:rPr>
              <w:fldChar w:fldCharType="separate"/>
            </w:r>
            <w:r>
              <w:rPr>
                <w:noProof/>
                <w:webHidden/>
              </w:rPr>
              <w:t>10</w:t>
            </w:r>
            <w:r>
              <w:rPr>
                <w:noProof/>
                <w:webHidden/>
              </w:rPr>
              <w:fldChar w:fldCharType="end"/>
            </w:r>
          </w:hyperlink>
        </w:p>
        <w:p w14:paraId="5C68FB4A" w14:textId="2F3E08E0" w:rsidR="001756D0" w:rsidRDefault="001756D0">
          <w:pPr>
            <w:pStyle w:val="TOC1"/>
            <w:rPr>
              <w:rFonts w:asciiTheme="minorHAnsi" w:eastAsiaTheme="minorEastAsia" w:hAnsiTheme="minorHAnsi" w:cstheme="minorBidi"/>
              <w:b w:val="0"/>
              <w:caps w:val="0"/>
              <w:noProof/>
              <w:sz w:val="22"/>
              <w:lang w:eastAsia="en-MY"/>
            </w:rPr>
          </w:pPr>
          <w:hyperlink w:anchor="_Toc31400951" w:history="1">
            <w:r w:rsidRPr="003B173F">
              <w:rPr>
                <w:rStyle w:val="Hyperlink"/>
                <w:bCs/>
                <w:noProof/>
              </w:rPr>
              <w:t>LITERATURE REVIEW</w:t>
            </w:r>
            <w:r>
              <w:rPr>
                <w:noProof/>
                <w:webHidden/>
              </w:rPr>
              <w:tab/>
            </w:r>
            <w:r>
              <w:rPr>
                <w:noProof/>
                <w:webHidden/>
              </w:rPr>
              <w:fldChar w:fldCharType="begin"/>
            </w:r>
            <w:r>
              <w:rPr>
                <w:noProof/>
                <w:webHidden/>
              </w:rPr>
              <w:instrText xml:space="preserve"> PAGEREF _Toc31400951 \h </w:instrText>
            </w:r>
            <w:r>
              <w:rPr>
                <w:noProof/>
                <w:webHidden/>
              </w:rPr>
            </w:r>
            <w:r>
              <w:rPr>
                <w:noProof/>
                <w:webHidden/>
              </w:rPr>
              <w:fldChar w:fldCharType="separate"/>
            </w:r>
            <w:r>
              <w:rPr>
                <w:noProof/>
                <w:webHidden/>
              </w:rPr>
              <w:t>10</w:t>
            </w:r>
            <w:r>
              <w:rPr>
                <w:noProof/>
                <w:webHidden/>
              </w:rPr>
              <w:fldChar w:fldCharType="end"/>
            </w:r>
          </w:hyperlink>
        </w:p>
        <w:p w14:paraId="427D20B2" w14:textId="06B71FF8" w:rsidR="001756D0" w:rsidRDefault="001756D0">
          <w:pPr>
            <w:pStyle w:val="TOC2"/>
            <w:rPr>
              <w:rFonts w:asciiTheme="minorHAnsi" w:eastAsiaTheme="minorEastAsia" w:hAnsiTheme="minorHAnsi" w:cstheme="minorBidi"/>
              <w:noProof/>
              <w:sz w:val="22"/>
              <w:lang w:eastAsia="en-MY"/>
            </w:rPr>
          </w:pPr>
          <w:hyperlink w:anchor="_Toc31400952" w:history="1">
            <w:r w:rsidRPr="003B173F">
              <w:rPr>
                <w:rStyle w:val="Hyperlink"/>
                <w:b/>
                <w:bCs/>
                <w:noProof/>
              </w:rPr>
              <w:t xml:space="preserve">2.1 </w:t>
            </w:r>
            <w:r>
              <w:rPr>
                <w:rStyle w:val="Hyperlink"/>
                <w:b/>
                <w:bCs/>
                <w:noProof/>
              </w:rPr>
              <w:tab/>
            </w:r>
            <w:r w:rsidRPr="003B173F">
              <w:rPr>
                <w:rStyle w:val="Hyperlink"/>
                <w:b/>
                <w:bCs/>
                <w:noProof/>
              </w:rPr>
              <w:t>Definition of terms</w:t>
            </w:r>
            <w:r>
              <w:rPr>
                <w:noProof/>
                <w:webHidden/>
              </w:rPr>
              <w:tab/>
            </w:r>
            <w:r>
              <w:rPr>
                <w:noProof/>
                <w:webHidden/>
              </w:rPr>
              <w:fldChar w:fldCharType="begin"/>
            </w:r>
            <w:r>
              <w:rPr>
                <w:noProof/>
                <w:webHidden/>
              </w:rPr>
              <w:instrText xml:space="preserve"> PAGEREF _Toc31400952 \h </w:instrText>
            </w:r>
            <w:r>
              <w:rPr>
                <w:noProof/>
                <w:webHidden/>
              </w:rPr>
            </w:r>
            <w:r>
              <w:rPr>
                <w:noProof/>
                <w:webHidden/>
              </w:rPr>
              <w:fldChar w:fldCharType="separate"/>
            </w:r>
            <w:r>
              <w:rPr>
                <w:noProof/>
                <w:webHidden/>
              </w:rPr>
              <w:t>10</w:t>
            </w:r>
            <w:r>
              <w:rPr>
                <w:noProof/>
                <w:webHidden/>
              </w:rPr>
              <w:fldChar w:fldCharType="end"/>
            </w:r>
          </w:hyperlink>
        </w:p>
        <w:p w14:paraId="555C2C32" w14:textId="3A521B2D" w:rsidR="001756D0" w:rsidRDefault="001756D0">
          <w:pPr>
            <w:pStyle w:val="TOC2"/>
            <w:rPr>
              <w:rFonts w:asciiTheme="minorHAnsi" w:eastAsiaTheme="minorEastAsia" w:hAnsiTheme="minorHAnsi" w:cstheme="minorBidi"/>
              <w:noProof/>
              <w:sz w:val="22"/>
              <w:lang w:eastAsia="en-MY"/>
            </w:rPr>
          </w:pPr>
          <w:hyperlink w:anchor="_Toc31400953" w:history="1">
            <w:r w:rsidRPr="003B173F">
              <w:rPr>
                <w:rStyle w:val="Hyperlink"/>
                <w:b/>
                <w:bCs/>
                <w:noProof/>
              </w:rPr>
              <w:t xml:space="preserve">2.2 </w:t>
            </w:r>
            <w:r>
              <w:rPr>
                <w:rStyle w:val="Hyperlink"/>
                <w:b/>
                <w:bCs/>
                <w:noProof/>
              </w:rPr>
              <w:tab/>
            </w:r>
            <w:r w:rsidRPr="003B173F">
              <w:rPr>
                <w:rStyle w:val="Hyperlink"/>
                <w:b/>
                <w:bCs/>
                <w:noProof/>
              </w:rPr>
              <w:t>Vaccine hesitancy globally</w:t>
            </w:r>
            <w:r>
              <w:rPr>
                <w:noProof/>
                <w:webHidden/>
              </w:rPr>
              <w:tab/>
            </w:r>
            <w:r>
              <w:rPr>
                <w:noProof/>
                <w:webHidden/>
              </w:rPr>
              <w:fldChar w:fldCharType="begin"/>
            </w:r>
            <w:r>
              <w:rPr>
                <w:noProof/>
                <w:webHidden/>
              </w:rPr>
              <w:instrText xml:space="preserve"> PAGEREF _Toc31400953 \h </w:instrText>
            </w:r>
            <w:r>
              <w:rPr>
                <w:noProof/>
                <w:webHidden/>
              </w:rPr>
            </w:r>
            <w:r>
              <w:rPr>
                <w:noProof/>
                <w:webHidden/>
              </w:rPr>
              <w:fldChar w:fldCharType="separate"/>
            </w:r>
            <w:r>
              <w:rPr>
                <w:noProof/>
                <w:webHidden/>
              </w:rPr>
              <w:t>11</w:t>
            </w:r>
            <w:r>
              <w:rPr>
                <w:noProof/>
                <w:webHidden/>
              </w:rPr>
              <w:fldChar w:fldCharType="end"/>
            </w:r>
          </w:hyperlink>
        </w:p>
        <w:p w14:paraId="4C186AB5" w14:textId="7AE95C05" w:rsidR="001756D0" w:rsidRDefault="001756D0">
          <w:pPr>
            <w:pStyle w:val="TOC2"/>
            <w:rPr>
              <w:rFonts w:asciiTheme="minorHAnsi" w:eastAsiaTheme="minorEastAsia" w:hAnsiTheme="minorHAnsi" w:cstheme="minorBidi"/>
              <w:noProof/>
              <w:sz w:val="22"/>
              <w:lang w:eastAsia="en-MY"/>
            </w:rPr>
          </w:pPr>
          <w:hyperlink w:anchor="_Toc31400954" w:history="1">
            <w:r w:rsidRPr="003B173F">
              <w:rPr>
                <w:rStyle w:val="Hyperlink"/>
                <w:rFonts w:eastAsiaTheme="majorEastAsia"/>
                <w:b/>
                <w:bCs/>
                <w:noProof/>
              </w:rPr>
              <w:t xml:space="preserve">2.5 </w:t>
            </w:r>
            <w:r>
              <w:rPr>
                <w:rStyle w:val="Hyperlink"/>
                <w:rFonts w:eastAsiaTheme="majorEastAsia"/>
                <w:b/>
                <w:bCs/>
                <w:noProof/>
              </w:rPr>
              <w:tab/>
            </w:r>
            <w:r w:rsidRPr="003B173F">
              <w:rPr>
                <w:rStyle w:val="Hyperlink"/>
                <w:rFonts w:eastAsiaTheme="majorEastAsia"/>
                <w:b/>
                <w:bCs/>
                <w:noProof/>
              </w:rPr>
              <w:t>VH in Malaysia</w:t>
            </w:r>
            <w:r>
              <w:rPr>
                <w:noProof/>
                <w:webHidden/>
              </w:rPr>
              <w:tab/>
            </w:r>
            <w:r>
              <w:rPr>
                <w:noProof/>
                <w:webHidden/>
              </w:rPr>
              <w:fldChar w:fldCharType="begin"/>
            </w:r>
            <w:r>
              <w:rPr>
                <w:noProof/>
                <w:webHidden/>
              </w:rPr>
              <w:instrText xml:space="preserve"> PAGEREF _Toc31400954 \h </w:instrText>
            </w:r>
            <w:r>
              <w:rPr>
                <w:noProof/>
                <w:webHidden/>
              </w:rPr>
            </w:r>
            <w:r>
              <w:rPr>
                <w:noProof/>
                <w:webHidden/>
              </w:rPr>
              <w:fldChar w:fldCharType="separate"/>
            </w:r>
            <w:r>
              <w:rPr>
                <w:noProof/>
                <w:webHidden/>
              </w:rPr>
              <w:t>13</w:t>
            </w:r>
            <w:r>
              <w:rPr>
                <w:noProof/>
                <w:webHidden/>
              </w:rPr>
              <w:fldChar w:fldCharType="end"/>
            </w:r>
          </w:hyperlink>
        </w:p>
        <w:p w14:paraId="5FC274D9" w14:textId="13D562C8" w:rsidR="001756D0" w:rsidRDefault="001756D0">
          <w:pPr>
            <w:pStyle w:val="TOC2"/>
            <w:rPr>
              <w:rFonts w:asciiTheme="minorHAnsi" w:eastAsiaTheme="minorEastAsia" w:hAnsiTheme="minorHAnsi" w:cstheme="minorBidi"/>
              <w:noProof/>
              <w:sz w:val="22"/>
              <w:lang w:eastAsia="en-MY"/>
            </w:rPr>
          </w:pPr>
          <w:hyperlink w:anchor="_Toc31400955" w:history="1">
            <w:r w:rsidRPr="003B173F">
              <w:rPr>
                <w:rStyle w:val="Hyperlink"/>
                <w:rFonts w:eastAsiaTheme="majorEastAsia"/>
                <w:b/>
                <w:bCs/>
                <w:noProof/>
              </w:rPr>
              <w:t>2.6</w:t>
            </w:r>
            <w:r>
              <w:rPr>
                <w:rFonts w:asciiTheme="minorHAnsi" w:eastAsiaTheme="minorEastAsia" w:hAnsiTheme="minorHAnsi" w:cstheme="minorBidi"/>
                <w:noProof/>
                <w:sz w:val="22"/>
                <w:lang w:eastAsia="en-MY"/>
              </w:rPr>
              <w:tab/>
            </w:r>
            <w:r w:rsidRPr="003B173F">
              <w:rPr>
                <w:rStyle w:val="Hyperlink"/>
                <w:rFonts w:eastAsiaTheme="majorEastAsia"/>
                <w:b/>
                <w:bCs/>
                <w:noProof/>
              </w:rPr>
              <w:t>Factors associated with VH in Malaysia</w:t>
            </w:r>
            <w:r>
              <w:rPr>
                <w:noProof/>
                <w:webHidden/>
              </w:rPr>
              <w:tab/>
            </w:r>
            <w:r>
              <w:rPr>
                <w:noProof/>
                <w:webHidden/>
              </w:rPr>
              <w:fldChar w:fldCharType="begin"/>
            </w:r>
            <w:r>
              <w:rPr>
                <w:noProof/>
                <w:webHidden/>
              </w:rPr>
              <w:instrText xml:space="preserve"> PAGEREF _Toc31400955 \h </w:instrText>
            </w:r>
            <w:r>
              <w:rPr>
                <w:noProof/>
                <w:webHidden/>
              </w:rPr>
            </w:r>
            <w:r>
              <w:rPr>
                <w:noProof/>
                <w:webHidden/>
              </w:rPr>
              <w:fldChar w:fldCharType="separate"/>
            </w:r>
            <w:r>
              <w:rPr>
                <w:noProof/>
                <w:webHidden/>
              </w:rPr>
              <w:t>16</w:t>
            </w:r>
            <w:r>
              <w:rPr>
                <w:noProof/>
                <w:webHidden/>
              </w:rPr>
              <w:fldChar w:fldCharType="end"/>
            </w:r>
          </w:hyperlink>
        </w:p>
        <w:p w14:paraId="42099388" w14:textId="657C2160" w:rsidR="001756D0" w:rsidRDefault="001756D0">
          <w:pPr>
            <w:pStyle w:val="TOC2"/>
            <w:rPr>
              <w:rFonts w:asciiTheme="minorHAnsi" w:eastAsiaTheme="minorEastAsia" w:hAnsiTheme="minorHAnsi" w:cstheme="minorBidi"/>
              <w:noProof/>
              <w:sz w:val="22"/>
              <w:lang w:eastAsia="en-MY"/>
            </w:rPr>
          </w:pPr>
          <w:hyperlink w:anchor="_Toc31400956" w:history="1">
            <w:r w:rsidRPr="003B173F">
              <w:rPr>
                <w:rStyle w:val="Hyperlink"/>
                <w:rFonts w:eastAsiaTheme="majorEastAsia"/>
                <w:b/>
                <w:bCs/>
                <w:noProof/>
              </w:rPr>
              <w:t xml:space="preserve">2.6 </w:t>
            </w:r>
            <w:r>
              <w:rPr>
                <w:rStyle w:val="Hyperlink"/>
                <w:rFonts w:eastAsiaTheme="majorEastAsia"/>
                <w:b/>
                <w:bCs/>
                <w:noProof/>
              </w:rPr>
              <w:tab/>
            </w:r>
            <w:r w:rsidRPr="003B173F">
              <w:rPr>
                <w:rStyle w:val="Hyperlink"/>
                <w:rFonts w:eastAsiaTheme="majorEastAsia"/>
                <w:b/>
                <w:bCs/>
                <w:noProof/>
              </w:rPr>
              <w:t>Vaccine uptake and Autism Spectrum Disorder (ASD)</w:t>
            </w:r>
            <w:r>
              <w:rPr>
                <w:noProof/>
                <w:webHidden/>
              </w:rPr>
              <w:tab/>
            </w:r>
            <w:r>
              <w:rPr>
                <w:noProof/>
                <w:webHidden/>
              </w:rPr>
              <w:fldChar w:fldCharType="begin"/>
            </w:r>
            <w:r>
              <w:rPr>
                <w:noProof/>
                <w:webHidden/>
              </w:rPr>
              <w:instrText xml:space="preserve"> PAGEREF _Toc31400956 \h </w:instrText>
            </w:r>
            <w:r>
              <w:rPr>
                <w:noProof/>
                <w:webHidden/>
              </w:rPr>
            </w:r>
            <w:r>
              <w:rPr>
                <w:noProof/>
                <w:webHidden/>
              </w:rPr>
              <w:fldChar w:fldCharType="separate"/>
            </w:r>
            <w:r>
              <w:rPr>
                <w:noProof/>
                <w:webHidden/>
              </w:rPr>
              <w:t>21</w:t>
            </w:r>
            <w:r>
              <w:rPr>
                <w:noProof/>
                <w:webHidden/>
              </w:rPr>
              <w:fldChar w:fldCharType="end"/>
            </w:r>
          </w:hyperlink>
        </w:p>
        <w:p w14:paraId="046D9510" w14:textId="70BF3248" w:rsidR="001756D0" w:rsidRDefault="001756D0">
          <w:pPr>
            <w:pStyle w:val="TOC2"/>
            <w:rPr>
              <w:rFonts w:asciiTheme="minorHAnsi" w:eastAsiaTheme="minorEastAsia" w:hAnsiTheme="minorHAnsi" w:cstheme="minorBidi"/>
              <w:noProof/>
              <w:sz w:val="22"/>
              <w:lang w:eastAsia="en-MY"/>
            </w:rPr>
          </w:pPr>
          <w:hyperlink w:anchor="_Toc31400957" w:history="1">
            <w:r w:rsidRPr="003B173F">
              <w:rPr>
                <w:rStyle w:val="Hyperlink"/>
                <w:rFonts w:eastAsiaTheme="majorEastAsia"/>
                <w:b/>
                <w:bCs/>
                <w:noProof/>
              </w:rPr>
              <w:t xml:space="preserve">2.7 </w:t>
            </w:r>
            <w:r>
              <w:rPr>
                <w:rFonts w:asciiTheme="minorHAnsi" w:eastAsiaTheme="minorEastAsia" w:hAnsiTheme="minorHAnsi" w:cstheme="minorBidi"/>
                <w:noProof/>
                <w:sz w:val="22"/>
                <w:lang w:eastAsia="en-MY"/>
              </w:rPr>
              <w:tab/>
            </w:r>
            <w:r w:rsidRPr="003B173F">
              <w:rPr>
                <w:rStyle w:val="Hyperlink"/>
                <w:rFonts w:eastAsiaTheme="majorEastAsia"/>
                <w:b/>
                <w:bCs/>
                <w:noProof/>
              </w:rPr>
              <w:t>Theoretical Frameworks of Vaccine Hesitancy</w:t>
            </w:r>
            <w:r>
              <w:rPr>
                <w:noProof/>
                <w:webHidden/>
              </w:rPr>
              <w:tab/>
            </w:r>
            <w:r>
              <w:rPr>
                <w:noProof/>
                <w:webHidden/>
              </w:rPr>
              <w:fldChar w:fldCharType="begin"/>
            </w:r>
            <w:r>
              <w:rPr>
                <w:noProof/>
                <w:webHidden/>
              </w:rPr>
              <w:instrText xml:space="preserve"> PAGEREF _Toc31400957 \h </w:instrText>
            </w:r>
            <w:r>
              <w:rPr>
                <w:noProof/>
                <w:webHidden/>
              </w:rPr>
            </w:r>
            <w:r>
              <w:rPr>
                <w:noProof/>
                <w:webHidden/>
              </w:rPr>
              <w:fldChar w:fldCharType="separate"/>
            </w:r>
            <w:r>
              <w:rPr>
                <w:noProof/>
                <w:webHidden/>
              </w:rPr>
              <w:t>1</w:t>
            </w:r>
            <w:r>
              <w:rPr>
                <w:noProof/>
                <w:webHidden/>
              </w:rPr>
              <w:fldChar w:fldCharType="end"/>
            </w:r>
          </w:hyperlink>
        </w:p>
        <w:p w14:paraId="7AFC3351" w14:textId="0788B28D" w:rsidR="001756D0" w:rsidRDefault="001756D0" w:rsidP="001756D0">
          <w:pPr>
            <w:pStyle w:val="TOC2"/>
            <w:ind w:left="720" w:hanging="500"/>
            <w:rPr>
              <w:rFonts w:asciiTheme="minorHAnsi" w:eastAsiaTheme="minorEastAsia" w:hAnsiTheme="minorHAnsi" w:cstheme="minorBidi"/>
              <w:noProof/>
              <w:sz w:val="22"/>
              <w:lang w:eastAsia="en-MY"/>
            </w:rPr>
          </w:pPr>
          <w:hyperlink w:anchor="_Toc31400958" w:history="1">
            <w:r w:rsidRPr="003B173F">
              <w:rPr>
                <w:rStyle w:val="Hyperlink"/>
                <w:rFonts w:eastAsiaTheme="majorEastAsia"/>
                <w:b/>
                <w:bCs/>
                <w:noProof/>
              </w:rPr>
              <w:t xml:space="preserve">2.8 </w:t>
            </w:r>
            <w:r>
              <w:rPr>
                <w:rStyle w:val="Hyperlink"/>
                <w:rFonts w:eastAsiaTheme="majorEastAsia"/>
                <w:b/>
                <w:bCs/>
                <w:noProof/>
              </w:rPr>
              <w:tab/>
              <w:t xml:space="preserve">  </w:t>
            </w:r>
            <w:r w:rsidRPr="003B173F">
              <w:rPr>
                <w:rStyle w:val="Hyperlink"/>
                <w:rFonts w:eastAsiaTheme="majorEastAsia"/>
                <w:b/>
                <w:bCs/>
                <w:noProof/>
              </w:rPr>
              <w:t>The Conceptual Frameworks of factors associated with vaccine hesitancy</w:t>
            </w:r>
            <w:r>
              <w:rPr>
                <w:rStyle w:val="Hyperlink"/>
                <w:rFonts w:eastAsiaTheme="majorEastAsia"/>
                <w:b/>
                <w:bCs/>
                <w:noProof/>
              </w:rPr>
              <w:t xml:space="preserve">     </w:t>
            </w:r>
            <w:r w:rsidRPr="003B173F">
              <w:rPr>
                <w:rStyle w:val="Hyperlink"/>
                <w:rFonts w:eastAsiaTheme="majorEastAsia"/>
                <w:b/>
                <w:bCs/>
                <w:noProof/>
              </w:rPr>
              <w:t>among parents of children with autism.</w:t>
            </w:r>
            <w:r>
              <w:rPr>
                <w:noProof/>
                <w:webHidden/>
              </w:rPr>
              <w:tab/>
            </w:r>
            <w:r>
              <w:rPr>
                <w:noProof/>
                <w:webHidden/>
              </w:rPr>
              <w:fldChar w:fldCharType="begin"/>
            </w:r>
            <w:r>
              <w:rPr>
                <w:noProof/>
                <w:webHidden/>
              </w:rPr>
              <w:instrText xml:space="preserve"> PAGEREF _Toc31400958 \h </w:instrText>
            </w:r>
            <w:r>
              <w:rPr>
                <w:noProof/>
                <w:webHidden/>
              </w:rPr>
            </w:r>
            <w:r>
              <w:rPr>
                <w:noProof/>
                <w:webHidden/>
              </w:rPr>
              <w:fldChar w:fldCharType="separate"/>
            </w:r>
            <w:r>
              <w:rPr>
                <w:noProof/>
                <w:webHidden/>
              </w:rPr>
              <w:t>3</w:t>
            </w:r>
            <w:r>
              <w:rPr>
                <w:noProof/>
                <w:webHidden/>
              </w:rPr>
              <w:fldChar w:fldCharType="end"/>
            </w:r>
          </w:hyperlink>
        </w:p>
        <w:p w14:paraId="3849A695" w14:textId="1062C581" w:rsidR="001756D0" w:rsidRDefault="001756D0">
          <w:pPr>
            <w:pStyle w:val="TOC1"/>
            <w:rPr>
              <w:rFonts w:asciiTheme="minorHAnsi" w:eastAsiaTheme="minorEastAsia" w:hAnsiTheme="minorHAnsi" w:cstheme="minorBidi"/>
              <w:b w:val="0"/>
              <w:caps w:val="0"/>
              <w:noProof/>
              <w:sz w:val="22"/>
              <w:lang w:eastAsia="en-MY"/>
            </w:rPr>
          </w:pPr>
          <w:hyperlink w:anchor="_Toc31400959" w:history="1">
            <w:r w:rsidRPr="003B173F">
              <w:rPr>
                <w:rStyle w:val="Hyperlink"/>
                <w:bCs/>
                <w:noProof/>
              </w:rPr>
              <w:t>CHAPTER THREE</w:t>
            </w:r>
            <w:r>
              <w:rPr>
                <w:noProof/>
                <w:webHidden/>
              </w:rPr>
              <w:tab/>
            </w:r>
            <w:r>
              <w:rPr>
                <w:noProof/>
                <w:webHidden/>
              </w:rPr>
              <w:fldChar w:fldCharType="begin"/>
            </w:r>
            <w:r>
              <w:rPr>
                <w:noProof/>
                <w:webHidden/>
              </w:rPr>
              <w:instrText xml:space="preserve"> PAGEREF _Toc31400959 \h </w:instrText>
            </w:r>
            <w:r>
              <w:rPr>
                <w:noProof/>
                <w:webHidden/>
              </w:rPr>
            </w:r>
            <w:r>
              <w:rPr>
                <w:noProof/>
                <w:webHidden/>
              </w:rPr>
              <w:fldChar w:fldCharType="separate"/>
            </w:r>
            <w:r>
              <w:rPr>
                <w:noProof/>
                <w:webHidden/>
              </w:rPr>
              <w:t>7</w:t>
            </w:r>
            <w:r>
              <w:rPr>
                <w:noProof/>
                <w:webHidden/>
              </w:rPr>
              <w:fldChar w:fldCharType="end"/>
            </w:r>
          </w:hyperlink>
        </w:p>
        <w:p w14:paraId="7C887B37" w14:textId="5BCE84BB" w:rsidR="001756D0" w:rsidRDefault="001756D0">
          <w:pPr>
            <w:pStyle w:val="TOC1"/>
            <w:rPr>
              <w:rFonts w:asciiTheme="minorHAnsi" w:eastAsiaTheme="minorEastAsia" w:hAnsiTheme="minorHAnsi" w:cstheme="minorBidi"/>
              <w:b w:val="0"/>
              <w:caps w:val="0"/>
              <w:noProof/>
              <w:sz w:val="22"/>
              <w:lang w:eastAsia="en-MY"/>
            </w:rPr>
          </w:pPr>
          <w:hyperlink w:anchor="_Toc31400960" w:history="1">
            <w:r w:rsidRPr="003B173F">
              <w:rPr>
                <w:rStyle w:val="Hyperlink"/>
                <w:bCs/>
                <w:noProof/>
              </w:rPr>
              <w:t>RESEARCH METHODOLOGY</w:t>
            </w:r>
            <w:r>
              <w:rPr>
                <w:noProof/>
                <w:webHidden/>
              </w:rPr>
              <w:tab/>
            </w:r>
            <w:r>
              <w:rPr>
                <w:noProof/>
                <w:webHidden/>
              </w:rPr>
              <w:fldChar w:fldCharType="begin"/>
            </w:r>
            <w:r>
              <w:rPr>
                <w:noProof/>
                <w:webHidden/>
              </w:rPr>
              <w:instrText xml:space="preserve"> PAGEREF _Toc31400960 \h </w:instrText>
            </w:r>
            <w:r>
              <w:rPr>
                <w:noProof/>
                <w:webHidden/>
              </w:rPr>
            </w:r>
            <w:r>
              <w:rPr>
                <w:noProof/>
                <w:webHidden/>
              </w:rPr>
              <w:fldChar w:fldCharType="separate"/>
            </w:r>
            <w:r>
              <w:rPr>
                <w:noProof/>
                <w:webHidden/>
              </w:rPr>
              <w:t>7</w:t>
            </w:r>
            <w:r>
              <w:rPr>
                <w:noProof/>
                <w:webHidden/>
              </w:rPr>
              <w:fldChar w:fldCharType="end"/>
            </w:r>
          </w:hyperlink>
        </w:p>
        <w:p w14:paraId="1AEBEC10" w14:textId="22DC6A42" w:rsidR="001756D0" w:rsidRDefault="001756D0">
          <w:pPr>
            <w:pStyle w:val="TOC2"/>
            <w:rPr>
              <w:rFonts w:asciiTheme="minorHAnsi" w:eastAsiaTheme="minorEastAsia" w:hAnsiTheme="minorHAnsi" w:cstheme="minorBidi"/>
              <w:noProof/>
              <w:sz w:val="22"/>
              <w:lang w:eastAsia="en-MY"/>
            </w:rPr>
          </w:pPr>
          <w:hyperlink w:anchor="_Toc31400961" w:history="1">
            <w:r w:rsidRPr="003B173F">
              <w:rPr>
                <w:rStyle w:val="Hyperlink"/>
                <w:b/>
                <w:bCs/>
                <w:noProof/>
              </w:rPr>
              <w:t xml:space="preserve">3.1 </w:t>
            </w:r>
            <w:r>
              <w:rPr>
                <w:rStyle w:val="Hyperlink"/>
                <w:b/>
                <w:bCs/>
                <w:noProof/>
              </w:rPr>
              <w:tab/>
            </w:r>
            <w:r w:rsidRPr="003B173F">
              <w:rPr>
                <w:rStyle w:val="Hyperlink"/>
                <w:b/>
                <w:bCs/>
                <w:noProof/>
              </w:rPr>
              <w:t>Study Design</w:t>
            </w:r>
            <w:r>
              <w:rPr>
                <w:noProof/>
                <w:webHidden/>
              </w:rPr>
              <w:tab/>
            </w:r>
            <w:r>
              <w:rPr>
                <w:noProof/>
                <w:webHidden/>
              </w:rPr>
              <w:fldChar w:fldCharType="begin"/>
            </w:r>
            <w:r>
              <w:rPr>
                <w:noProof/>
                <w:webHidden/>
              </w:rPr>
              <w:instrText xml:space="preserve"> PAGEREF _Toc31400961 \h </w:instrText>
            </w:r>
            <w:r>
              <w:rPr>
                <w:noProof/>
                <w:webHidden/>
              </w:rPr>
            </w:r>
            <w:r>
              <w:rPr>
                <w:noProof/>
                <w:webHidden/>
              </w:rPr>
              <w:fldChar w:fldCharType="separate"/>
            </w:r>
            <w:r>
              <w:rPr>
                <w:noProof/>
                <w:webHidden/>
              </w:rPr>
              <w:t>7</w:t>
            </w:r>
            <w:r>
              <w:rPr>
                <w:noProof/>
                <w:webHidden/>
              </w:rPr>
              <w:fldChar w:fldCharType="end"/>
            </w:r>
          </w:hyperlink>
        </w:p>
        <w:p w14:paraId="67CBD7AF" w14:textId="7CE52211" w:rsidR="001756D0" w:rsidRDefault="001756D0">
          <w:pPr>
            <w:pStyle w:val="TOC2"/>
            <w:rPr>
              <w:rFonts w:asciiTheme="minorHAnsi" w:eastAsiaTheme="minorEastAsia" w:hAnsiTheme="minorHAnsi" w:cstheme="minorBidi"/>
              <w:noProof/>
              <w:sz w:val="22"/>
              <w:lang w:eastAsia="en-MY"/>
            </w:rPr>
          </w:pPr>
          <w:hyperlink w:anchor="_Toc31400962" w:history="1">
            <w:r w:rsidRPr="003B173F">
              <w:rPr>
                <w:rStyle w:val="Hyperlink"/>
                <w:b/>
                <w:bCs/>
                <w:noProof/>
              </w:rPr>
              <w:t xml:space="preserve">3.2 </w:t>
            </w:r>
            <w:r>
              <w:rPr>
                <w:rStyle w:val="Hyperlink"/>
                <w:b/>
                <w:bCs/>
                <w:noProof/>
              </w:rPr>
              <w:tab/>
            </w:r>
            <w:r w:rsidRPr="003B173F">
              <w:rPr>
                <w:rStyle w:val="Hyperlink"/>
                <w:b/>
                <w:bCs/>
                <w:noProof/>
              </w:rPr>
              <w:t>Study Population</w:t>
            </w:r>
            <w:r>
              <w:rPr>
                <w:noProof/>
                <w:webHidden/>
              </w:rPr>
              <w:tab/>
            </w:r>
            <w:r>
              <w:rPr>
                <w:noProof/>
                <w:webHidden/>
              </w:rPr>
              <w:fldChar w:fldCharType="begin"/>
            </w:r>
            <w:r>
              <w:rPr>
                <w:noProof/>
                <w:webHidden/>
              </w:rPr>
              <w:instrText xml:space="preserve"> PAGEREF _Toc31400962 \h </w:instrText>
            </w:r>
            <w:r>
              <w:rPr>
                <w:noProof/>
                <w:webHidden/>
              </w:rPr>
            </w:r>
            <w:r>
              <w:rPr>
                <w:noProof/>
                <w:webHidden/>
              </w:rPr>
              <w:fldChar w:fldCharType="separate"/>
            </w:r>
            <w:r>
              <w:rPr>
                <w:noProof/>
                <w:webHidden/>
              </w:rPr>
              <w:t>7</w:t>
            </w:r>
            <w:r>
              <w:rPr>
                <w:noProof/>
                <w:webHidden/>
              </w:rPr>
              <w:fldChar w:fldCharType="end"/>
            </w:r>
          </w:hyperlink>
        </w:p>
        <w:p w14:paraId="121E456B" w14:textId="392D888D" w:rsidR="001756D0" w:rsidRDefault="001756D0">
          <w:pPr>
            <w:pStyle w:val="TOC2"/>
            <w:rPr>
              <w:rFonts w:asciiTheme="minorHAnsi" w:eastAsiaTheme="minorEastAsia" w:hAnsiTheme="minorHAnsi" w:cstheme="minorBidi"/>
              <w:noProof/>
              <w:sz w:val="22"/>
              <w:lang w:eastAsia="en-MY"/>
            </w:rPr>
          </w:pPr>
          <w:hyperlink w:anchor="_Toc31400963" w:history="1">
            <w:r w:rsidRPr="003B173F">
              <w:rPr>
                <w:rStyle w:val="Hyperlink"/>
                <w:b/>
                <w:noProof/>
              </w:rPr>
              <w:t xml:space="preserve">3.3 </w:t>
            </w:r>
            <w:r>
              <w:rPr>
                <w:rStyle w:val="Hyperlink"/>
                <w:b/>
                <w:noProof/>
              </w:rPr>
              <w:tab/>
            </w:r>
            <w:r w:rsidRPr="003B173F">
              <w:rPr>
                <w:rStyle w:val="Hyperlink"/>
                <w:b/>
                <w:noProof/>
              </w:rPr>
              <w:t>Sampling Frame</w:t>
            </w:r>
            <w:r>
              <w:rPr>
                <w:noProof/>
                <w:webHidden/>
              </w:rPr>
              <w:tab/>
            </w:r>
            <w:r>
              <w:rPr>
                <w:noProof/>
                <w:webHidden/>
              </w:rPr>
              <w:fldChar w:fldCharType="begin"/>
            </w:r>
            <w:r>
              <w:rPr>
                <w:noProof/>
                <w:webHidden/>
              </w:rPr>
              <w:instrText xml:space="preserve"> PAGEREF _Toc31400963 \h </w:instrText>
            </w:r>
            <w:r>
              <w:rPr>
                <w:noProof/>
                <w:webHidden/>
              </w:rPr>
            </w:r>
            <w:r>
              <w:rPr>
                <w:noProof/>
                <w:webHidden/>
              </w:rPr>
              <w:fldChar w:fldCharType="separate"/>
            </w:r>
            <w:r>
              <w:rPr>
                <w:noProof/>
                <w:webHidden/>
              </w:rPr>
              <w:t>7</w:t>
            </w:r>
            <w:r>
              <w:rPr>
                <w:noProof/>
                <w:webHidden/>
              </w:rPr>
              <w:fldChar w:fldCharType="end"/>
            </w:r>
          </w:hyperlink>
        </w:p>
        <w:p w14:paraId="2E59E27A" w14:textId="7E525FAE" w:rsidR="001756D0" w:rsidRDefault="001756D0">
          <w:pPr>
            <w:pStyle w:val="TOC2"/>
            <w:rPr>
              <w:rFonts w:asciiTheme="minorHAnsi" w:eastAsiaTheme="minorEastAsia" w:hAnsiTheme="minorHAnsi" w:cstheme="minorBidi"/>
              <w:noProof/>
              <w:sz w:val="22"/>
              <w:lang w:eastAsia="en-MY"/>
            </w:rPr>
          </w:pPr>
          <w:hyperlink w:anchor="_Toc31400964" w:history="1">
            <w:r w:rsidRPr="003B173F">
              <w:rPr>
                <w:rStyle w:val="Hyperlink"/>
                <w:b/>
                <w:bCs/>
                <w:noProof/>
              </w:rPr>
              <w:t xml:space="preserve">3.4 </w:t>
            </w:r>
            <w:r>
              <w:rPr>
                <w:rStyle w:val="Hyperlink"/>
                <w:b/>
                <w:bCs/>
                <w:noProof/>
              </w:rPr>
              <w:tab/>
            </w:r>
            <w:r w:rsidRPr="003B173F">
              <w:rPr>
                <w:rStyle w:val="Hyperlink"/>
                <w:b/>
                <w:bCs/>
                <w:noProof/>
              </w:rPr>
              <w:t>Inclusion Criteria and Exclusion Criteria</w:t>
            </w:r>
            <w:r>
              <w:rPr>
                <w:noProof/>
                <w:webHidden/>
              </w:rPr>
              <w:tab/>
            </w:r>
            <w:r>
              <w:rPr>
                <w:noProof/>
                <w:webHidden/>
              </w:rPr>
              <w:fldChar w:fldCharType="begin"/>
            </w:r>
            <w:r>
              <w:rPr>
                <w:noProof/>
                <w:webHidden/>
              </w:rPr>
              <w:instrText xml:space="preserve"> PAGEREF _Toc31400964 \h </w:instrText>
            </w:r>
            <w:r>
              <w:rPr>
                <w:noProof/>
                <w:webHidden/>
              </w:rPr>
            </w:r>
            <w:r>
              <w:rPr>
                <w:noProof/>
                <w:webHidden/>
              </w:rPr>
              <w:fldChar w:fldCharType="separate"/>
            </w:r>
            <w:r>
              <w:rPr>
                <w:noProof/>
                <w:webHidden/>
              </w:rPr>
              <w:t>7</w:t>
            </w:r>
            <w:r>
              <w:rPr>
                <w:noProof/>
                <w:webHidden/>
              </w:rPr>
              <w:fldChar w:fldCharType="end"/>
            </w:r>
          </w:hyperlink>
        </w:p>
        <w:p w14:paraId="49523C89" w14:textId="43FC0B8E" w:rsidR="001756D0" w:rsidRDefault="001756D0">
          <w:pPr>
            <w:pStyle w:val="TOC2"/>
            <w:rPr>
              <w:rFonts w:asciiTheme="minorHAnsi" w:eastAsiaTheme="minorEastAsia" w:hAnsiTheme="minorHAnsi" w:cstheme="minorBidi"/>
              <w:noProof/>
              <w:sz w:val="22"/>
              <w:lang w:eastAsia="en-MY"/>
            </w:rPr>
          </w:pPr>
          <w:hyperlink w:anchor="_Toc31400965" w:history="1">
            <w:r w:rsidRPr="003B173F">
              <w:rPr>
                <w:rStyle w:val="Hyperlink"/>
                <w:b/>
                <w:bCs/>
                <w:noProof/>
              </w:rPr>
              <w:t>3.5</w:t>
            </w:r>
            <w:r>
              <w:rPr>
                <w:rFonts w:asciiTheme="minorHAnsi" w:eastAsiaTheme="minorEastAsia" w:hAnsiTheme="minorHAnsi" w:cstheme="minorBidi"/>
                <w:noProof/>
                <w:sz w:val="22"/>
                <w:lang w:eastAsia="en-MY"/>
              </w:rPr>
              <w:tab/>
            </w:r>
            <w:r w:rsidRPr="003B173F">
              <w:rPr>
                <w:rStyle w:val="Hyperlink"/>
                <w:b/>
                <w:bCs/>
                <w:noProof/>
              </w:rPr>
              <w:t>Sample Size Determination:</w:t>
            </w:r>
            <w:r>
              <w:rPr>
                <w:noProof/>
                <w:webHidden/>
              </w:rPr>
              <w:tab/>
            </w:r>
            <w:r>
              <w:rPr>
                <w:noProof/>
                <w:webHidden/>
              </w:rPr>
              <w:fldChar w:fldCharType="begin"/>
            </w:r>
            <w:r>
              <w:rPr>
                <w:noProof/>
                <w:webHidden/>
              </w:rPr>
              <w:instrText xml:space="preserve"> PAGEREF _Toc31400965 \h </w:instrText>
            </w:r>
            <w:r>
              <w:rPr>
                <w:noProof/>
                <w:webHidden/>
              </w:rPr>
            </w:r>
            <w:r>
              <w:rPr>
                <w:noProof/>
                <w:webHidden/>
              </w:rPr>
              <w:fldChar w:fldCharType="separate"/>
            </w:r>
            <w:r>
              <w:rPr>
                <w:noProof/>
                <w:webHidden/>
              </w:rPr>
              <w:t>8</w:t>
            </w:r>
            <w:r>
              <w:rPr>
                <w:noProof/>
                <w:webHidden/>
              </w:rPr>
              <w:fldChar w:fldCharType="end"/>
            </w:r>
          </w:hyperlink>
        </w:p>
        <w:p w14:paraId="72E921EB" w14:textId="0D4C1C95" w:rsidR="001756D0" w:rsidRDefault="001756D0">
          <w:pPr>
            <w:pStyle w:val="TOC2"/>
            <w:rPr>
              <w:rFonts w:asciiTheme="minorHAnsi" w:eastAsiaTheme="minorEastAsia" w:hAnsiTheme="minorHAnsi" w:cstheme="minorBidi"/>
              <w:noProof/>
              <w:sz w:val="22"/>
              <w:lang w:eastAsia="en-MY"/>
            </w:rPr>
          </w:pPr>
          <w:hyperlink w:anchor="_Toc31400966" w:history="1">
            <w:r w:rsidRPr="003B173F">
              <w:rPr>
                <w:rStyle w:val="Hyperlink"/>
                <w:b/>
                <w:bCs/>
                <w:noProof/>
              </w:rPr>
              <w:t xml:space="preserve">3.6 </w:t>
            </w:r>
            <w:r>
              <w:rPr>
                <w:rFonts w:asciiTheme="minorHAnsi" w:eastAsiaTheme="minorEastAsia" w:hAnsiTheme="minorHAnsi" w:cstheme="minorBidi"/>
                <w:noProof/>
                <w:sz w:val="22"/>
                <w:lang w:eastAsia="en-MY"/>
              </w:rPr>
              <w:tab/>
            </w:r>
            <w:r w:rsidRPr="003B173F">
              <w:rPr>
                <w:rStyle w:val="Hyperlink"/>
                <w:b/>
                <w:bCs/>
                <w:noProof/>
              </w:rPr>
              <w:t>Sampling Method</w:t>
            </w:r>
            <w:r>
              <w:rPr>
                <w:noProof/>
                <w:webHidden/>
              </w:rPr>
              <w:tab/>
            </w:r>
            <w:r>
              <w:rPr>
                <w:noProof/>
                <w:webHidden/>
              </w:rPr>
              <w:fldChar w:fldCharType="begin"/>
            </w:r>
            <w:r>
              <w:rPr>
                <w:noProof/>
                <w:webHidden/>
              </w:rPr>
              <w:instrText xml:space="preserve"> PAGEREF _Toc31400966 \h </w:instrText>
            </w:r>
            <w:r>
              <w:rPr>
                <w:noProof/>
                <w:webHidden/>
              </w:rPr>
            </w:r>
            <w:r>
              <w:rPr>
                <w:noProof/>
                <w:webHidden/>
              </w:rPr>
              <w:fldChar w:fldCharType="separate"/>
            </w:r>
            <w:r>
              <w:rPr>
                <w:noProof/>
                <w:webHidden/>
              </w:rPr>
              <w:t>9</w:t>
            </w:r>
            <w:r>
              <w:rPr>
                <w:noProof/>
                <w:webHidden/>
              </w:rPr>
              <w:fldChar w:fldCharType="end"/>
            </w:r>
          </w:hyperlink>
        </w:p>
        <w:p w14:paraId="74C71F84" w14:textId="354E7C79" w:rsidR="001756D0" w:rsidRDefault="001756D0">
          <w:pPr>
            <w:pStyle w:val="TOC2"/>
            <w:rPr>
              <w:rFonts w:asciiTheme="minorHAnsi" w:eastAsiaTheme="minorEastAsia" w:hAnsiTheme="minorHAnsi" w:cstheme="minorBidi"/>
              <w:noProof/>
              <w:sz w:val="22"/>
              <w:lang w:eastAsia="en-MY"/>
            </w:rPr>
          </w:pPr>
          <w:hyperlink w:anchor="_Toc31400967" w:history="1">
            <w:r w:rsidRPr="003B173F">
              <w:rPr>
                <w:rStyle w:val="Hyperlink"/>
                <w:b/>
                <w:bCs/>
                <w:noProof/>
              </w:rPr>
              <w:t xml:space="preserve">3.7 </w:t>
            </w:r>
            <w:r>
              <w:rPr>
                <w:rFonts w:asciiTheme="minorHAnsi" w:eastAsiaTheme="minorEastAsia" w:hAnsiTheme="minorHAnsi" w:cstheme="minorBidi"/>
                <w:noProof/>
                <w:sz w:val="22"/>
                <w:lang w:eastAsia="en-MY"/>
              </w:rPr>
              <w:tab/>
            </w:r>
            <w:r w:rsidRPr="003B173F">
              <w:rPr>
                <w:rStyle w:val="Hyperlink"/>
                <w:b/>
                <w:bCs/>
                <w:noProof/>
              </w:rPr>
              <w:t>Study Tool</w:t>
            </w:r>
            <w:r>
              <w:rPr>
                <w:noProof/>
                <w:webHidden/>
              </w:rPr>
              <w:tab/>
            </w:r>
            <w:r>
              <w:rPr>
                <w:noProof/>
                <w:webHidden/>
              </w:rPr>
              <w:fldChar w:fldCharType="begin"/>
            </w:r>
            <w:r>
              <w:rPr>
                <w:noProof/>
                <w:webHidden/>
              </w:rPr>
              <w:instrText xml:space="preserve"> PAGEREF _Toc31400967 \h </w:instrText>
            </w:r>
            <w:r>
              <w:rPr>
                <w:noProof/>
                <w:webHidden/>
              </w:rPr>
            </w:r>
            <w:r>
              <w:rPr>
                <w:noProof/>
                <w:webHidden/>
              </w:rPr>
              <w:fldChar w:fldCharType="separate"/>
            </w:r>
            <w:r>
              <w:rPr>
                <w:noProof/>
                <w:webHidden/>
              </w:rPr>
              <w:t>11</w:t>
            </w:r>
            <w:r>
              <w:rPr>
                <w:noProof/>
                <w:webHidden/>
              </w:rPr>
              <w:fldChar w:fldCharType="end"/>
            </w:r>
          </w:hyperlink>
        </w:p>
        <w:p w14:paraId="16110191" w14:textId="0657CC37" w:rsidR="001756D0" w:rsidRDefault="001756D0">
          <w:pPr>
            <w:pStyle w:val="TOC2"/>
            <w:rPr>
              <w:rFonts w:asciiTheme="minorHAnsi" w:eastAsiaTheme="minorEastAsia" w:hAnsiTheme="minorHAnsi" w:cstheme="minorBidi"/>
              <w:noProof/>
              <w:sz w:val="22"/>
              <w:lang w:eastAsia="en-MY"/>
            </w:rPr>
          </w:pPr>
          <w:hyperlink w:anchor="_Toc31400968" w:history="1">
            <w:r w:rsidRPr="003B173F">
              <w:rPr>
                <w:rStyle w:val="Hyperlink"/>
                <w:b/>
                <w:bCs/>
                <w:noProof/>
              </w:rPr>
              <w:t>3.8</w:t>
            </w:r>
            <w:r>
              <w:rPr>
                <w:rFonts w:asciiTheme="minorHAnsi" w:eastAsiaTheme="minorEastAsia" w:hAnsiTheme="minorHAnsi" w:cstheme="minorBidi"/>
                <w:noProof/>
                <w:sz w:val="22"/>
                <w:lang w:eastAsia="en-MY"/>
              </w:rPr>
              <w:tab/>
            </w:r>
            <w:r w:rsidRPr="003B173F">
              <w:rPr>
                <w:rStyle w:val="Hyperlink"/>
                <w:b/>
                <w:bCs/>
                <w:noProof/>
              </w:rPr>
              <w:t>Conduct of the Study</w:t>
            </w:r>
            <w:r>
              <w:rPr>
                <w:noProof/>
                <w:webHidden/>
              </w:rPr>
              <w:tab/>
            </w:r>
            <w:r>
              <w:rPr>
                <w:noProof/>
                <w:webHidden/>
              </w:rPr>
              <w:fldChar w:fldCharType="begin"/>
            </w:r>
            <w:r>
              <w:rPr>
                <w:noProof/>
                <w:webHidden/>
              </w:rPr>
              <w:instrText xml:space="preserve"> PAGEREF _Toc31400968 \h </w:instrText>
            </w:r>
            <w:r>
              <w:rPr>
                <w:noProof/>
                <w:webHidden/>
              </w:rPr>
            </w:r>
            <w:r>
              <w:rPr>
                <w:noProof/>
                <w:webHidden/>
              </w:rPr>
              <w:fldChar w:fldCharType="separate"/>
            </w:r>
            <w:r>
              <w:rPr>
                <w:noProof/>
                <w:webHidden/>
              </w:rPr>
              <w:t>11</w:t>
            </w:r>
            <w:r>
              <w:rPr>
                <w:noProof/>
                <w:webHidden/>
              </w:rPr>
              <w:fldChar w:fldCharType="end"/>
            </w:r>
          </w:hyperlink>
        </w:p>
        <w:p w14:paraId="2575DFD5" w14:textId="6978BC2F" w:rsidR="001756D0" w:rsidRDefault="001756D0">
          <w:pPr>
            <w:pStyle w:val="TOC2"/>
            <w:rPr>
              <w:rFonts w:asciiTheme="minorHAnsi" w:eastAsiaTheme="minorEastAsia" w:hAnsiTheme="minorHAnsi" w:cstheme="minorBidi"/>
              <w:noProof/>
              <w:sz w:val="22"/>
              <w:lang w:eastAsia="en-MY"/>
            </w:rPr>
          </w:pPr>
          <w:hyperlink w:anchor="_Toc31400969" w:history="1">
            <w:r w:rsidRPr="003B173F">
              <w:rPr>
                <w:rStyle w:val="Hyperlink"/>
                <w:b/>
                <w:bCs/>
                <w:noProof/>
              </w:rPr>
              <w:t>3.8.2</w:t>
            </w:r>
            <w:r>
              <w:rPr>
                <w:rFonts w:asciiTheme="minorHAnsi" w:eastAsiaTheme="minorEastAsia" w:hAnsiTheme="minorHAnsi" w:cstheme="minorBidi"/>
                <w:noProof/>
                <w:sz w:val="22"/>
                <w:lang w:eastAsia="en-MY"/>
              </w:rPr>
              <w:tab/>
            </w:r>
            <w:r w:rsidRPr="003B173F">
              <w:rPr>
                <w:rStyle w:val="Hyperlink"/>
                <w:b/>
                <w:bCs/>
                <w:noProof/>
              </w:rPr>
              <w:t>Statistical Analysis</w:t>
            </w:r>
            <w:r>
              <w:rPr>
                <w:noProof/>
                <w:webHidden/>
              </w:rPr>
              <w:tab/>
            </w:r>
            <w:r>
              <w:rPr>
                <w:noProof/>
                <w:webHidden/>
              </w:rPr>
              <w:fldChar w:fldCharType="begin"/>
            </w:r>
            <w:r>
              <w:rPr>
                <w:noProof/>
                <w:webHidden/>
              </w:rPr>
              <w:instrText xml:space="preserve"> PAGEREF _Toc31400969 \h </w:instrText>
            </w:r>
            <w:r>
              <w:rPr>
                <w:noProof/>
                <w:webHidden/>
              </w:rPr>
            </w:r>
            <w:r>
              <w:rPr>
                <w:noProof/>
                <w:webHidden/>
              </w:rPr>
              <w:fldChar w:fldCharType="separate"/>
            </w:r>
            <w:r>
              <w:rPr>
                <w:noProof/>
                <w:webHidden/>
              </w:rPr>
              <w:t>13</w:t>
            </w:r>
            <w:r>
              <w:rPr>
                <w:noProof/>
                <w:webHidden/>
              </w:rPr>
              <w:fldChar w:fldCharType="end"/>
            </w:r>
          </w:hyperlink>
        </w:p>
        <w:p w14:paraId="3618C526" w14:textId="1E235C29" w:rsidR="001756D0" w:rsidRDefault="001756D0">
          <w:pPr>
            <w:pStyle w:val="TOC2"/>
            <w:tabs>
              <w:tab w:val="left" w:pos="1320"/>
            </w:tabs>
            <w:rPr>
              <w:rFonts w:asciiTheme="minorHAnsi" w:eastAsiaTheme="minorEastAsia" w:hAnsiTheme="minorHAnsi" w:cstheme="minorBidi"/>
              <w:noProof/>
              <w:sz w:val="22"/>
              <w:lang w:eastAsia="en-MY"/>
            </w:rPr>
          </w:pPr>
          <w:hyperlink w:anchor="_Toc31400970" w:history="1">
            <w:r w:rsidRPr="003B173F">
              <w:rPr>
                <w:rStyle w:val="Hyperlink"/>
                <w:b/>
                <w:bCs/>
                <w:noProof/>
              </w:rPr>
              <w:t>3.8.3</w:t>
            </w:r>
            <w:r>
              <w:rPr>
                <w:rFonts w:asciiTheme="minorHAnsi" w:eastAsiaTheme="minorEastAsia" w:hAnsiTheme="minorHAnsi" w:cstheme="minorBidi"/>
                <w:noProof/>
                <w:sz w:val="22"/>
                <w:lang w:eastAsia="en-MY"/>
              </w:rPr>
              <w:tab/>
            </w:r>
            <w:r w:rsidRPr="003B173F">
              <w:rPr>
                <w:rStyle w:val="Hyperlink"/>
                <w:b/>
                <w:bCs/>
                <w:noProof/>
              </w:rPr>
              <w:t>Operational variables definition</w:t>
            </w:r>
            <w:r>
              <w:rPr>
                <w:noProof/>
                <w:webHidden/>
              </w:rPr>
              <w:tab/>
            </w:r>
            <w:r>
              <w:rPr>
                <w:noProof/>
                <w:webHidden/>
              </w:rPr>
              <w:fldChar w:fldCharType="begin"/>
            </w:r>
            <w:r>
              <w:rPr>
                <w:noProof/>
                <w:webHidden/>
              </w:rPr>
              <w:instrText xml:space="preserve"> PAGEREF _Toc31400970 \h </w:instrText>
            </w:r>
            <w:r>
              <w:rPr>
                <w:noProof/>
                <w:webHidden/>
              </w:rPr>
            </w:r>
            <w:r>
              <w:rPr>
                <w:noProof/>
                <w:webHidden/>
              </w:rPr>
              <w:fldChar w:fldCharType="separate"/>
            </w:r>
            <w:r>
              <w:rPr>
                <w:noProof/>
                <w:webHidden/>
              </w:rPr>
              <w:t>13</w:t>
            </w:r>
            <w:r>
              <w:rPr>
                <w:noProof/>
                <w:webHidden/>
              </w:rPr>
              <w:fldChar w:fldCharType="end"/>
            </w:r>
          </w:hyperlink>
        </w:p>
        <w:p w14:paraId="6F500351" w14:textId="3C4F392E" w:rsidR="001756D0" w:rsidRDefault="001756D0">
          <w:pPr>
            <w:pStyle w:val="TOC2"/>
            <w:rPr>
              <w:rFonts w:asciiTheme="minorHAnsi" w:eastAsiaTheme="minorEastAsia" w:hAnsiTheme="minorHAnsi" w:cstheme="minorBidi"/>
              <w:noProof/>
              <w:sz w:val="22"/>
              <w:lang w:eastAsia="en-MY"/>
            </w:rPr>
          </w:pPr>
          <w:hyperlink w:anchor="_Toc31400971" w:history="1">
            <w:r w:rsidRPr="003B173F">
              <w:rPr>
                <w:rStyle w:val="Hyperlink"/>
                <w:b/>
                <w:bCs/>
                <w:noProof/>
              </w:rPr>
              <w:t>3.8.4</w:t>
            </w:r>
            <w:r>
              <w:rPr>
                <w:rFonts w:asciiTheme="minorHAnsi" w:eastAsiaTheme="minorEastAsia" w:hAnsiTheme="minorHAnsi" w:cstheme="minorBidi"/>
                <w:noProof/>
                <w:sz w:val="22"/>
                <w:lang w:eastAsia="en-MY"/>
              </w:rPr>
              <w:tab/>
            </w:r>
            <w:r w:rsidRPr="003B173F">
              <w:rPr>
                <w:rStyle w:val="Hyperlink"/>
                <w:b/>
                <w:bCs/>
                <w:noProof/>
              </w:rPr>
              <w:t>Study variables</w:t>
            </w:r>
            <w:r>
              <w:rPr>
                <w:noProof/>
                <w:webHidden/>
              </w:rPr>
              <w:tab/>
            </w:r>
            <w:r>
              <w:rPr>
                <w:noProof/>
                <w:webHidden/>
              </w:rPr>
              <w:fldChar w:fldCharType="begin"/>
            </w:r>
            <w:r>
              <w:rPr>
                <w:noProof/>
                <w:webHidden/>
              </w:rPr>
              <w:instrText xml:space="preserve"> PAGEREF _Toc31400971 \h </w:instrText>
            </w:r>
            <w:r>
              <w:rPr>
                <w:noProof/>
                <w:webHidden/>
              </w:rPr>
            </w:r>
            <w:r>
              <w:rPr>
                <w:noProof/>
                <w:webHidden/>
              </w:rPr>
              <w:fldChar w:fldCharType="separate"/>
            </w:r>
            <w:r>
              <w:rPr>
                <w:noProof/>
                <w:webHidden/>
              </w:rPr>
              <w:t>15</w:t>
            </w:r>
            <w:r>
              <w:rPr>
                <w:noProof/>
                <w:webHidden/>
              </w:rPr>
              <w:fldChar w:fldCharType="end"/>
            </w:r>
          </w:hyperlink>
        </w:p>
        <w:p w14:paraId="6B9C2353" w14:textId="075AA0E0" w:rsidR="001756D0" w:rsidRDefault="001756D0">
          <w:pPr>
            <w:pStyle w:val="TOC2"/>
            <w:rPr>
              <w:rFonts w:asciiTheme="minorHAnsi" w:eastAsiaTheme="minorEastAsia" w:hAnsiTheme="minorHAnsi" w:cstheme="minorBidi"/>
              <w:noProof/>
              <w:sz w:val="22"/>
              <w:lang w:eastAsia="en-MY"/>
            </w:rPr>
          </w:pPr>
          <w:hyperlink w:anchor="_Toc31400972" w:history="1">
            <w:r w:rsidRPr="003B173F">
              <w:rPr>
                <w:rStyle w:val="Hyperlink"/>
                <w:b/>
                <w:bCs/>
                <w:noProof/>
              </w:rPr>
              <w:t>3.9</w:t>
            </w:r>
            <w:r>
              <w:rPr>
                <w:rFonts w:asciiTheme="minorHAnsi" w:eastAsiaTheme="minorEastAsia" w:hAnsiTheme="minorHAnsi" w:cstheme="minorBidi"/>
                <w:noProof/>
                <w:sz w:val="22"/>
                <w:lang w:eastAsia="en-MY"/>
              </w:rPr>
              <w:tab/>
            </w:r>
            <w:r w:rsidRPr="003B173F">
              <w:rPr>
                <w:rStyle w:val="Hyperlink"/>
                <w:b/>
                <w:bCs/>
                <w:noProof/>
              </w:rPr>
              <w:t>Flow Chart of the Conduct of the Study</w:t>
            </w:r>
            <w:r>
              <w:rPr>
                <w:noProof/>
                <w:webHidden/>
              </w:rPr>
              <w:tab/>
            </w:r>
            <w:r>
              <w:rPr>
                <w:noProof/>
                <w:webHidden/>
              </w:rPr>
              <w:fldChar w:fldCharType="begin"/>
            </w:r>
            <w:r>
              <w:rPr>
                <w:noProof/>
                <w:webHidden/>
              </w:rPr>
              <w:instrText xml:space="preserve"> PAGEREF _Toc31400972 \h </w:instrText>
            </w:r>
            <w:r>
              <w:rPr>
                <w:noProof/>
                <w:webHidden/>
              </w:rPr>
            </w:r>
            <w:r>
              <w:rPr>
                <w:noProof/>
                <w:webHidden/>
              </w:rPr>
              <w:fldChar w:fldCharType="separate"/>
            </w:r>
            <w:r>
              <w:rPr>
                <w:noProof/>
                <w:webHidden/>
              </w:rPr>
              <w:t>20</w:t>
            </w:r>
            <w:r>
              <w:rPr>
                <w:noProof/>
                <w:webHidden/>
              </w:rPr>
              <w:fldChar w:fldCharType="end"/>
            </w:r>
          </w:hyperlink>
        </w:p>
        <w:p w14:paraId="60040C61" w14:textId="70C041C0" w:rsidR="001756D0" w:rsidRDefault="001756D0">
          <w:pPr>
            <w:pStyle w:val="TOC2"/>
            <w:rPr>
              <w:rFonts w:asciiTheme="minorHAnsi" w:eastAsiaTheme="minorEastAsia" w:hAnsiTheme="minorHAnsi" w:cstheme="minorBidi"/>
              <w:noProof/>
              <w:sz w:val="22"/>
              <w:lang w:eastAsia="en-MY"/>
            </w:rPr>
          </w:pPr>
          <w:hyperlink w:anchor="_Toc31400973" w:history="1">
            <w:r w:rsidRPr="003B173F">
              <w:rPr>
                <w:rStyle w:val="Hyperlink"/>
                <w:b/>
                <w:bCs/>
                <w:noProof/>
              </w:rPr>
              <w:t>3.10</w:t>
            </w:r>
            <w:r>
              <w:rPr>
                <w:rFonts w:asciiTheme="minorHAnsi" w:eastAsiaTheme="minorEastAsia" w:hAnsiTheme="minorHAnsi" w:cstheme="minorBidi"/>
                <w:noProof/>
                <w:sz w:val="22"/>
                <w:lang w:eastAsia="en-MY"/>
              </w:rPr>
              <w:tab/>
            </w:r>
            <w:r w:rsidRPr="003B173F">
              <w:rPr>
                <w:rStyle w:val="Hyperlink"/>
                <w:b/>
                <w:bCs/>
                <w:noProof/>
              </w:rPr>
              <w:t>Study Limitations</w:t>
            </w:r>
            <w:r>
              <w:rPr>
                <w:noProof/>
                <w:webHidden/>
              </w:rPr>
              <w:tab/>
            </w:r>
            <w:r>
              <w:rPr>
                <w:noProof/>
                <w:webHidden/>
              </w:rPr>
              <w:fldChar w:fldCharType="begin"/>
            </w:r>
            <w:r>
              <w:rPr>
                <w:noProof/>
                <w:webHidden/>
              </w:rPr>
              <w:instrText xml:space="preserve"> PAGEREF _Toc31400973 \h </w:instrText>
            </w:r>
            <w:r>
              <w:rPr>
                <w:noProof/>
                <w:webHidden/>
              </w:rPr>
            </w:r>
            <w:r>
              <w:rPr>
                <w:noProof/>
                <w:webHidden/>
              </w:rPr>
              <w:fldChar w:fldCharType="separate"/>
            </w:r>
            <w:r>
              <w:rPr>
                <w:noProof/>
                <w:webHidden/>
              </w:rPr>
              <w:t>21</w:t>
            </w:r>
            <w:r>
              <w:rPr>
                <w:noProof/>
                <w:webHidden/>
              </w:rPr>
              <w:fldChar w:fldCharType="end"/>
            </w:r>
          </w:hyperlink>
        </w:p>
        <w:p w14:paraId="165BCE5E" w14:textId="4504C997" w:rsidR="001756D0" w:rsidRDefault="001756D0">
          <w:pPr>
            <w:pStyle w:val="TOC2"/>
            <w:rPr>
              <w:rFonts w:asciiTheme="minorHAnsi" w:eastAsiaTheme="minorEastAsia" w:hAnsiTheme="minorHAnsi" w:cstheme="minorBidi"/>
              <w:noProof/>
              <w:sz w:val="22"/>
              <w:lang w:eastAsia="en-MY"/>
            </w:rPr>
          </w:pPr>
          <w:hyperlink w:anchor="_Toc31400974" w:history="1">
            <w:r w:rsidRPr="003B173F">
              <w:rPr>
                <w:rStyle w:val="Hyperlink"/>
                <w:b/>
                <w:bCs/>
                <w:noProof/>
              </w:rPr>
              <w:t>3.11</w:t>
            </w:r>
            <w:r>
              <w:rPr>
                <w:rFonts w:asciiTheme="minorHAnsi" w:eastAsiaTheme="minorEastAsia" w:hAnsiTheme="minorHAnsi" w:cstheme="minorBidi"/>
                <w:noProof/>
                <w:sz w:val="22"/>
                <w:lang w:eastAsia="en-MY"/>
              </w:rPr>
              <w:tab/>
            </w:r>
            <w:r w:rsidRPr="003B173F">
              <w:rPr>
                <w:rStyle w:val="Hyperlink"/>
                <w:b/>
                <w:bCs/>
                <w:noProof/>
              </w:rPr>
              <w:t>Expected Outcomes</w:t>
            </w:r>
            <w:r>
              <w:rPr>
                <w:noProof/>
                <w:webHidden/>
              </w:rPr>
              <w:tab/>
            </w:r>
            <w:r>
              <w:rPr>
                <w:noProof/>
                <w:webHidden/>
              </w:rPr>
              <w:fldChar w:fldCharType="begin"/>
            </w:r>
            <w:r>
              <w:rPr>
                <w:noProof/>
                <w:webHidden/>
              </w:rPr>
              <w:instrText xml:space="preserve"> PAGEREF _Toc31400974 \h </w:instrText>
            </w:r>
            <w:r>
              <w:rPr>
                <w:noProof/>
                <w:webHidden/>
              </w:rPr>
            </w:r>
            <w:r>
              <w:rPr>
                <w:noProof/>
                <w:webHidden/>
              </w:rPr>
              <w:fldChar w:fldCharType="separate"/>
            </w:r>
            <w:r>
              <w:rPr>
                <w:noProof/>
                <w:webHidden/>
              </w:rPr>
              <w:t>21</w:t>
            </w:r>
            <w:r>
              <w:rPr>
                <w:noProof/>
                <w:webHidden/>
              </w:rPr>
              <w:fldChar w:fldCharType="end"/>
            </w:r>
          </w:hyperlink>
        </w:p>
        <w:p w14:paraId="5B08998E" w14:textId="6DE18A3F" w:rsidR="001756D0" w:rsidRDefault="001756D0">
          <w:pPr>
            <w:pStyle w:val="TOC1"/>
            <w:rPr>
              <w:rFonts w:asciiTheme="minorHAnsi" w:eastAsiaTheme="minorEastAsia" w:hAnsiTheme="minorHAnsi" w:cstheme="minorBidi"/>
              <w:b w:val="0"/>
              <w:caps w:val="0"/>
              <w:noProof/>
              <w:sz w:val="22"/>
              <w:lang w:eastAsia="en-MY"/>
            </w:rPr>
          </w:pPr>
          <w:hyperlink w:anchor="_Toc31400975" w:history="1">
            <w:r w:rsidRPr="003B173F">
              <w:rPr>
                <w:rStyle w:val="Hyperlink"/>
                <w:noProof/>
              </w:rPr>
              <w:t>ETHICAL CONSIDERATION</w:t>
            </w:r>
            <w:r>
              <w:rPr>
                <w:noProof/>
                <w:webHidden/>
              </w:rPr>
              <w:tab/>
            </w:r>
            <w:r>
              <w:rPr>
                <w:noProof/>
                <w:webHidden/>
              </w:rPr>
              <w:fldChar w:fldCharType="begin"/>
            </w:r>
            <w:r>
              <w:rPr>
                <w:noProof/>
                <w:webHidden/>
              </w:rPr>
              <w:instrText xml:space="preserve"> PAGEREF _Toc31400975 \h </w:instrText>
            </w:r>
            <w:r>
              <w:rPr>
                <w:noProof/>
                <w:webHidden/>
              </w:rPr>
            </w:r>
            <w:r>
              <w:rPr>
                <w:noProof/>
                <w:webHidden/>
              </w:rPr>
              <w:fldChar w:fldCharType="separate"/>
            </w:r>
            <w:r>
              <w:rPr>
                <w:noProof/>
                <w:webHidden/>
              </w:rPr>
              <w:t>22</w:t>
            </w:r>
            <w:r>
              <w:rPr>
                <w:noProof/>
                <w:webHidden/>
              </w:rPr>
              <w:fldChar w:fldCharType="end"/>
            </w:r>
          </w:hyperlink>
        </w:p>
        <w:p w14:paraId="73F7B945" w14:textId="5F8FB3ED" w:rsidR="001756D0" w:rsidRDefault="001756D0">
          <w:pPr>
            <w:pStyle w:val="TOC1"/>
            <w:rPr>
              <w:rFonts w:asciiTheme="minorHAnsi" w:eastAsiaTheme="minorEastAsia" w:hAnsiTheme="minorHAnsi" w:cstheme="minorBidi"/>
              <w:b w:val="0"/>
              <w:caps w:val="0"/>
              <w:noProof/>
              <w:sz w:val="22"/>
              <w:lang w:eastAsia="en-MY"/>
            </w:rPr>
          </w:pPr>
          <w:hyperlink w:anchor="_Toc31400976" w:history="1">
            <w:r w:rsidRPr="003B173F">
              <w:rPr>
                <w:rStyle w:val="Hyperlink"/>
                <w:noProof/>
              </w:rPr>
              <w:t>FUNDING AND BUDGET</w:t>
            </w:r>
            <w:r>
              <w:rPr>
                <w:noProof/>
                <w:webHidden/>
              </w:rPr>
              <w:tab/>
            </w:r>
            <w:r>
              <w:rPr>
                <w:noProof/>
                <w:webHidden/>
              </w:rPr>
              <w:fldChar w:fldCharType="begin"/>
            </w:r>
            <w:r>
              <w:rPr>
                <w:noProof/>
                <w:webHidden/>
              </w:rPr>
              <w:instrText xml:space="preserve"> PAGEREF _Toc31400976 \h </w:instrText>
            </w:r>
            <w:r>
              <w:rPr>
                <w:noProof/>
                <w:webHidden/>
              </w:rPr>
            </w:r>
            <w:r>
              <w:rPr>
                <w:noProof/>
                <w:webHidden/>
              </w:rPr>
              <w:fldChar w:fldCharType="separate"/>
            </w:r>
            <w:r>
              <w:rPr>
                <w:noProof/>
                <w:webHidden/>
              </w:rPr>
              <w:t>23</w:t>
            </w:r>
            <w:r>
              <w:rPr>
                <w:noProof/>
                <w:webHidden/>
              </w:rPr>
              <w:fldChar w:fldCharType="end"/>
            </w:r>
          </w:hyperlink>
        </w:p>
        <w:p w14:paraId="018B805C" w14:textId="267A0E0D" w:rsidR="001756D0" w:rsidRDefault="001756D0">
          <w:pPr>
            <w:pStyle w:val="TOC1"/>
            <w:rPr>
              <w:rFonts w:asciiTheme="minorHAnsi" w:eastAsiaTheme="minorEastAsia" w:hAnsiTheme="minorHAnsi" w:cstheme="minorBidi"/>
              <w:b w:val="0"/>
              <w:caps w:val="0"/>
              <w:noProof/>
              <w:sz w:val="22"/>
              <w:lang w:eastAsia="en-MY"/>
            </w:rPr>
          </w:pPr>
          <w:hyperlink w:anchor="_Toc31400977" w:history="1">
            <w:r w:rsidRPr="003B173F">
              <w:rPr>
                <w:rStyle w:val="Hyperlink"/>
                <w:bCs/>
                <w:noProof/>
              </w:rPr>
              <w:t>GANTT CHART</w:t>
            </w:r>
            <w:r>
              <w:rPr>
                <w:noProof/>
                <w:webHidden/>
              </w:rPr>
              <w:tab/>
            </w:r>
            <w:r>
              <w:rPr>
                <w:noProof/>
                <w:webHidden/>
              </w:rPr>
              <w:fldChar w:fldCharType="begin"/>
            </w:r>
            <w:r>
              <w:rPr>
                <w:noProof/>
                <w:webHidden/>
              </w:rPr>
              <w:instrText xml:space="preserve"> PAGEREF _Toc31400977 \h </w:instrText>
            </w:r>
            <w:r>
              <w:rPr>
                <w:noProof/>
                <w:webHidden/>
              </w:rPr>
            </w:r>
            <w:r>
              <w:rPr>
                <w:noProof/>
                <w:webHidden/>
              </w:rPr>
              <w:fldChar w:fldCharType="separate"/>
            </w:r>
            <w:r>
              <w:rPr>
                <w:noProof/>
                <w:webHidden/>
              </w:rPr>
              <w:t>24</w:t>
            </w:r>
            <w:r>
              <w:rPr>
                <w:noProof/>
                <w:webHidden/>
              </w:rPr>
              <w:fldChar w:fldCharType="end"/>
            </w:r>
          </w:hyperlink>
        </w:p>
        <w:p w14:paraId="5FC7F94D" w14:textId="1AF6DD6C" w:rsidR="001756D0" w:rsidRDefault="001756D0">
          <w:pPr>
            <w:pStyle w:val="TOC1"/>
            <w:rPr>
              <w:rFonts w:asciiTheme="minorHAnsi" w:eastAsiaTheme="minorEastAsia" w:hAnsiTheme="minorHAnsi" w:cstheme="minorBidi"/>
              <w:b w:val="0"/>
              <w:caps w:val="0"/>
              <w:noProof/>
              <w:sz w:val="22"/>
              <w:lang w:eastAsia="en-MY"/>
            </w:rPr>
          </w:pPr>
          <w:hyperlink w:anchor="_Toc31400978" w:history="1">
            <w:r w:rsidRPr="003B173F">
              <w:rPr>
                <w:rStyle w:val="Hyperlink"/>
                <w:bCs/>
                <w:noProof/>
              </w:rPr>
              <w:t>REFERENCES</w:t>
            </w:r>
            <w:r>
              <w:rPr>
                <w:noProof/>
                <w:webHidden/>
              </w:rPr>
              <w:tab/>
            </w:r>
            <w:r>
              <w:rPr>
                <w:noProof/>
                <w:webHidden/>
              </w:rPr>
              <w:fldChar w:fldCharType="begin"/>
            </w:r>
            <w:r>
              <w:rPr>
                <w:noProof/>
                <w:webHidden/>
              </w:rPr>
              <w:instrText xml:space="preserve"> PAGEREF _Toc31400978 \h </w:instrText>
            </w:r>
            <w:r>
              <w:rPr>
                <w:noProof/>
                <w:webHidden/>
              </w:rPr>
            </w:r>
            <w:r>
              <w:rPr>
                <w:noProof/>
                <w:webHidden/>
              </w:rPr>
              <w:fldChar w:fldCharType="separate"/>
            </w:r>
            <w:r>
              <w:rPr>
                <w:noProof/>
                <w:webHidden/>
              </w:rPr>
              <w:t>25</w:t>
            </w:r>
            <w:r>
              <w:rPr>
                <w:noProof/>
                <w:webHidden/>
              </w:rPr>
              <w:fldChar w:fldCharType="end"/>
            </w:r>
          </w:hyperlink>
        </w:p>
        <w:p w14:paraId="15B3DB70" w14:textId="7C849E3A" w:rsidR="001756D0" w:rsidRDefault="001756D0">
          <w:pPr>
            <w:pStyle w:val="TOC1"/>
            <w:rPr>
              <w:rFonts w:asciiTheme="minorHAnsi" w:eastAsiaTheme="minorEastAsia" w:hAnsiTheme="minorHAnsi" w:cstheme="minorBidi"/>
              <w:b w:val="0"/>
              <w:caps w:val="0"/>
              <w:noProof/>
              <w:sz w:val="22"/>
              <w:lang w:eastAsia="en-MY"/>
            </w:rPr>
          </w:pPr>
          <w:hyperlink w:anchor="_Toc31400979" w:history="1">
            <w:r w:rsidRPr="003B173F">
              <w:rPr>
                <w:rStyle w:val="Hyperlink"/>
                <w:bCs/>
                <w:noProof/>
              </w:rPr>
              <w:t>APPENDICES</w:t>
            </w:r>
            <w:r>
              <w:rPr>
                <w:noProof/>
                <w:webHidden/>
              </w:rPr>
              <w:tab/>
            </w:r>
            <w:r>
              <w:rPr>
                <w:noProof/>
                <w:webHidden/>
              </w:rPr>
              <w:fldChar w:fldCharType="begin"/>
            </w:r>
            <w:r>
              <w:rPr>
                <w:noProof/>
                <w:webHidden/>
              </w:rPr>
              <w:instrText xml:space="preserve"> PAGEREF _Toc31400979 \h </w:instrText>
            </w:r>
            <w:r>
              <w:rPr>
                <w:noProof/>
                <w:webHidden/>
              </w:rPr>
            </w:r>
            <w:r>
              <w:rPr>
                <w:noProof/>
                <w:webHidden/>
              </w:rPr>
              <w:fldChar w:fldCharType="separate"/>
            </w:r>
            <w:r>
              <w:rPr>
                <w:noProof/>
                <w:webHidden/>
              </w:rPr>
              <w:t>30</w:t>
            </w:r>
            <w:r>
              <w:rPr>
                <w:noProof/>
                <w:webHidden/>
              </w:rPr>
              <w:fldChar w:fldCharType="end"/>
            </w:r>
          </w:hyperlink>
        </w:p>
        <w:p w14:paraId="10588FDA" w14:textId="2FF61C2C" w:rsidR="000F5D9D" w:rsidRPr="005A79C9" w:rsidRDefault="000F5D9D" w:rsidP="00E22C20">
          <w:pPr>
            <w:spacing w:line="240" w:lineRule="auto"/>
            <w:ind w:left="284"/>
            <w:jc w:val="both"/>
            <w:rPr>
              <w:szCs w:val="24"/>
            </w:rPr>
          </w:pPr>
          <w:r w:rsidRPr="005A79C9">
            <w:rPr>
              <w:b/>
              <w:bCs/>
              <w:noProof/>
              <w:szCs w:val="24"/>
            </w:rPr>
            <w:fldChar w:fldCharType="end"/>
          </w:r>
        </w:p>
      </w:sdtContent>
    </w:sdt>
    <w:p w14:paraId="30935C63" w14:textId="77777777" w:rsidR="000F5D9D" w:rsidRPr="005A79C9" w:rsidRDefault="000F5D9D" w:rsidP="00E22C20">
      <w:pPr>
        <w:spacing w:line="360" w:lineRule="auto"/>
        <w:ind w:left="851"/>
        <w:jc w:val="both"/>
        <w:rPr>
          <w:szCs w:val="24"/>
        </w:rPr>
        <w:sectPr w:rsidR="000F5D9D" w:rsidRPr="005A79C9" w:rsidSect="00E22C20">
          <w:footerReference w:type="default" r:id="rId7"/>
          <w:pgSz w:w="12240" w:h="15840" w:code="1"/>
          <w:pgMar w:top="1418" w:right="1418" w:bottom="1418" w:left="2155" w:header="720" w:footer="720" w:gutter="0"/>
          <w:pgNumType w:fmt="lowerRoman" w:start="1"/>
          <w:cols w:space="720"/>
          <w:docGrid w:linePitch="360"/>
        </w:sectPr>
      </w:pPr>
    </w:p>
    <w:p w14:paraId="204C12AA" w14:textId="77777777" w:rsidR="000F5D9D" w:rsidRPr="00BB6715" w:rsidRDefault="000F5D9D" w:rsidP="001756D0">
      <w:pPr>
        <w:spacing w:line="360" w:lineRule="auto"/>
        <w:ind w:left="851"/>
        <w:jc w:val="center"/>
        <w:rPr>
          <w:b/>
          <w:bCs/>
          <w:szCs w:val="24"/>
        </w:rPr>
      </w:pPr>
      <w:bookmarkStart w:id="0" w:name="_Toc29233908"/>
      <w:r w:rsidRPr="00BB6715">
        <w:rPr>
          <w:b/>
          <w:bCs/>
          <w:szCs w:val="24"/>
        </w:rPr>
        <w:lastRenderedPageBreak/>
        <w:t>CHAPTER ONE</w:t>
      </w:r>
      <w:bookmarkEnd w:id="0"/>
    </w:p>
    <w:p w14:paraId="2174CF4A" w14:textId="77777777" w:rsidR="000F5D9D" w:rsidRPr="00BB6715" w:rsidRDefault="000F5D9D" w:rsidP="00E22C20">
      <w:pPr>
        <w:pStyle w:val="Heading1"/>
        <w:spacing w:line="360" w:lineRule="auto"/>
        <w:ind w:left="851"/>
        <w:jc w:val="both"/>
        <w:rPr>
          <w:rFonts w:ascii="Times New Roman" w:hAnsi="Times New Roman" w:cs="Times New Roman"/>
          <w:b/>
          <w:bCs/>
          <w:color w:val="auto"/>
          <w:sz w:val="24"/>
          <w:szCs w:val="24"/>
        </w:rPr>
      </w:pPr>
      <w:bookmarkStart w:id="1" w:name="_Toc31400942"/>
      <w:r w:rsidRPr="00BB6715">
        <w:rPr>
          <w:rFonts w:ascii="Times New Roman" w:hAnsi="Times New Roman" w:cs="Times New Roman"/>
          <w:b/>
          <w:bCs/>
          <w:color w:val="auto"/>
          <w:sz w:val="24"/>
          <w:szCs w:val="24"/>
        </w:rPr>
        <w:t>INTRODUCTION</w:t>
      </w:r>
      <w:bookmarkEnd w:id="1"/>
    </w:p>
    <w:p w14:paraId="194100F5" w14:textId="77777777" w:rsidR="000F5D9D" w:rsidRPr="005A79C9" w:rsidRDefault="000F5D9D" w:rsidP="00E22C20">
      <w:pPr>
        <w:spacing w:line="360" w:lineRule="auto"/>
        <w:ind w:left="851"/>
        <w:jc w:val="both"/>
        <w:rPr>
          <w:szCs w:val="24"/>
        </w:rPr>
      </w:pPr>
    </w:p>
    <w:p w14:paraId="6DCE7DE2" w14:textId="77777777" w:rsidR="000F5D9D" w:rsidRPr="005A79C9" w:rsidRDefault="000F5D9D" w:rsidP="00E22C20">
      <w:pPr>
        <w:pStyle w:val="Heading2"/>
        <w:numPr>
          <w:ilvl w:val="1"/>
          <w:numId w:val="3"/>
        </w:numPr>
        <w:tabs>
          <w:tab w:val="left" w:pos="840"/>
        </w:tabs>
        <w:spacing w:line="360" w:lineRule="auto"/>
        <w:ind w:left="851"/>
        <w:jc w:val="both"/>
        <w:rPr>
          <w:rFonts w:ascii="Times New Roman" w:hAnsi="Times New Roman" w:cs="Times New Roman"/>
          <w:b/>
          <w:bCs/>
          <w:color w:val="auto"/>
          <w:sz w:val="24"/>
          <w:szCs w:val="24"/>
        </w:rPr>
      </w:pPr>
      <w:bookmarkStart w:id="2" w:name="_Toc31400943"/>
      <w:r w:rsidRPr="005A79C9">
        <w:rPr>
          <w:rFonts w:ascii="Times New Roman" w:hAnsi="Times New Roman" w:cs="Times New Roman"/>
          <w:b/>
          <w:bCs/>
          <w:color w:val="auto"/>
          <w:sz w:val="24"/>
          <w:szCs w:val="24"/>
        </w:rPr>
        <w:t>Background of the Study</w:t>
      </w:r>
      <w:bookmarkEnd w:id="2"/>
    </w:p>
    <w:p w14:paraId="25C040DD" w14:textId="77777777" w:rsidR="000F5D9D" w:rsidRDefault="000F5D9D" w:rsidP="00E22C20">
      <w:pPr>
        <w:spacing w:line="360" w:lineRule="auto"/>
        <w:ind w:left="851"/>
        <w:jc w:val="both"/>
      </w:pPr>
    </w:p>
    <w:p w14:paraId="5B851834" w14:textId="3BCD1301" w:rsidR="000F5D9D" w:rsidRPr="005A79C9" w:rsidRDefault="000F5D9D" w:rsidP="00E22C20">
      <w:pPr>
        <w:spacing w:line="360" w:lineRule="auto"/>
        <w:ind w:left="851" w:firstLine="567"/>
        <w:jc w:val="both"/>
        <w:rPr>
          <w:szCs w:val="24"/>
        </w:rPr>
      </w:pPr>
      <w:r w:rsidRPr="0007022B">
        <w:t>Autism Spectrum Disorder (ASD) is a complex neurodevelopmental disorder characterized by a spectrum of communication, behaviour and social impairments that begins in early childhood and persist throughout life</w:t>
      </w:r>
      <w:r>
        <w:t xml:space="preserve"> </w:t>
      </w:r>
      <w:r>
        <w:fldChar w:fldCharType="begin" w:fldLock="1"/>
      </w:r>
      <w:r>
        <w:instrText>ADDIN CSL_CITATION {"citationItems":[{"id":"ITEM-1","itemData":{"DOI":"10.4324/9781315169187-1","author":[{"dropping-particle":"","family":"Howe","given":"Christina","non-dropping-particle":"","parse-names":false,"suffix":""},{"dropping-particle":"","family":"Eggett","given":"Alyson","non-dropping-particle":"","parse-names":false,"suffix":""}],"container-title":"Groupwork for Children with Autism Spectrum Disorder","id":"ITEM-1","issued":{"date-parts":[["2018"]]},"page":"1-18","title":"What is Autism Spectrum Disorder?","type":"webpage"},"uris":["http://www.mendeley.com/documents/?uuid=4182a07d-2ee1-44b5-a754-08a644e56911"]}],"mendeley":{"formattedCitation":"(Howe &amp; Eggett, 2018)","plainTextFormattedCitation":"(Howe &amp; Eggett, 2018)","previouslyFormattedCitation":"(Howe &amp; Eggett, 2018)"},"properties":{"noteIndex":0},"schema":"https://github.com/citation-style-language/schema/raw/master/csl-citation.json"}</w:instrText>
      </w:r>
      <w:r>
        <w:fldChar w:fldCharType="separate"/>
      </w:r>
      <w:r w:rsidRPr="0007022B">
        <w:rPr>
          <w:noProof/>
        </w:rPr>
        <w:t>(Howe &amp; Eggett, 2018)</w:t>
      </w:r>
      <w:r>
        <w:fldChar w:fldCharType="end"/>
      </w:r>
      <w:r w:rsidRPr="0007022B">
        <w:t xml:space="preserve">. The global prevalence rate of autism has increased tremendously from prevalence rate of 1 in 2,500 children to 1-2 in 100 children by the early 2000 </w:t>
      </w:r>
      <w:r w:rsidRPr="0007022B">
        <w:fldChar w:fldCharType="begin" w:fldLock="1"/>
      </w:r>
      <w:r w:rsidRPr="0007022B">
        <w:instrText>ADDIN CSL_CITATION {"citationItems":[{"id":"ITEM-1","itemData":{"abstract":"About 1.7% of 8-year-old children in 11 communities in the US were identified with autism in 2014. See more autism data.","author":[{"dropping-particle":"","family":"CDC","given":"","non-dropping-particle":"","parse-names":false,"suffix":""}],"container-title":"Centers for Disease Control and Prevention","id":"ITEM-1","issued":{"date-parts":[["2018"]]},"title":"Data and Statistics | Autism Spectrum Disorder (ASD) | NCBDDD | CDC","type":"webpage"},"uris":["http://www.mendeley.com/documents/?uuid=62347f04-8c8d-4ec3-9720-27fdf3f088dc"]}],"mendeley":{"formattedCitation":"(CDC, 2018)","plainTextFormattedCitation":"(CDC, 2018)","previouslyFormattedCitation":"(CDC, 2018)"},"properties":{"noteIndex":0},"schema":"https://github.com/citation-style-language/schema/raw/master/csl-citation.json"}</w:instrText>
      </w:r>
      <w:r w:rsidRPr="0007022B">
        <w:fldChar w:fldCharType="separate"/>
      </w:r>
      <w:r w:rsidRPr="0007022B">
        <w:rPr>
          <w:noProof/>
        </w:rPr>
        <w:t>(CDC, 2018)</w:t>
      </w:r>
      <w:r w:rsidRPr="0007022B">
        <w:fldChar w:fldCharType="end"/>
      </w:r>
      <w:r w:rsidRPr="0007022B">
        <w:t xml:space="preserve">. </w:t>
      </w:r>
      <w:r>
        <w:t>In a</w:t>
      </w:r>
      <w:r w:rsidRPr="0007022B">
        <w:t xml:space="preserve"> recent study done by the Autism and Developmental Disabilities Monitoring (ADDM) Network funded by CDC estimates 168 per 10,000 children </w:t>
      </w:r>
      <w:r>
        <w:t>(</w:t>
      </w:r>
      <w:r w:rsidRPr="0007022B">
        <w:t xml:space="preserve">or </w:t>
      </w:r>
      <w:r>
        <w:t xml:space="preserve">one </w:t>
      </w:r>
      <w:r w:rsidRPr="0007022B">
        <w:t>in 59 children</w:t>
      </w:r>
      <w:r>
        <w:t>)</w:t>
      </w:r>
      <w:r w:rsidRPr="0007022B">
        <w:t xml:space="preserve"> is diagnosed with ASD </w:t>
      </w:r>
      <w:r w:rsidRPr="0007022B">
        <w:fldChar w:fldCharType="begin" w:fldLock="1"/>
      </w:r>
      <w:r>
        <w:instrText>ADDIN CSL_CITATION {"citationItems":[{"id":"ITEM-1","itemData":{"ISSN":"1546-0738","abstract":"Problem/Condition: Autism spectrum disorder (ASD). Period Covered: 2014. Description of System: The Autism and Developmental Disabilities Monitoring (ADDM) Network is an active surveillance system that provides estimates of the prevalence of autism spectrum disorder (ASD) among children aged 8 years whose parents or guardians reside within 11 ADDM sites in the United States (Arizona, Arkansas, Colorado, Georgia, Maryland, Minnesota, Missouri, New Jersey, North Carolina, Tennessee, and Wisconsin). ADDM surveillance is conducted in two phases. The first phase involves review and abstraction of comprehensive evaluations that were completed by professional service providers in the community. Staff completing record review and abstraction receive extensive training and supervision and are evaluated according to strict reliability standards to certify effective initial training, identify ongoing training needs, and ensure adherence to the prescribed methodology. Record review and abstraction occurs in a variety of data sources ranging from general pediatric health clinics to specialized programs serving children with developmental disabilities. In addition, most of the ADDM sites also review records for children who have received special education services in public schools. In the second phase of the study, all abstracted information is reviewed systematically by experienced clinicians to determine ASD case status. A child is considered to meet the surveillance case definition for ASD if he or she displays behaviors, as described on one or more comprehensive evaluations completed by community-based professional providers, consistent with the Diagnostic and Statistical Manual of Mental Disorders, Fourth Edition, Text Revision (DSM-IV-TR) diagnostic criteria for autistic disorder; pervasive developmental disorder–not otherwise specified (PDD-NOS, including atypical autism); or Asperger disorder. This report provides updated ASD prevalence estimates for children aged 8 years during the 2014 surveillance year, on the basis of DSM-IV-TR criteria, and describes characteristics of the population of children with ASD. In 2013, the American Psychiatric Association published the Diagnostic and Statistical Manual of Mental Disorders, Fifth Edition (DSM-5), which made considerable changes to ASD diagnostic criteria. The change in ASD diagnostic criteria might influence ADDM ASD prevalence estimates; therefore, most (85%) of the records used to determine prevalence estim…","author":[{"dropping-particle":"","family":"Redfield","given":"Robert R","non-dropping-particle":"","parse-names":false,"suffix":""},{"dropping-particle":"","family":"Kent","given":"Charlotte K","non-dropping-particle":"","parse-names":false,"suffix":""},{"dropping-particle":"","family":"Leahy","given":"Maureen A","non-dropping-particle":"","parse-names":false,"suffix":""},{"dropping-particle":"","family":"Martinroe","given":"Julia C","non-dropping-particle":"","parse-names":false,"suffix":""},{"dropping-particle":"","family":"Spriggs","given":"Stephen R","non-dropping-particle":"","parse-names":false,"suffix":""},{"dropping-particle":"","family":"Yang","given":"Tong","non-dropping-particle":"","parse-names":false,"suffix":""},{"dropping-particle":"","family":"Doan","given":"Quang M","non-dropping-particle":"","parse-names":false,"suffix":""},{"dropping-particle":"","family":"King","given":"Phyllis H","non-dropping-particle":"","parse-names":false,"suffix":""},{"dropping-particle":"","family":"Maitland","given":"Paul D","non-dropping-particle":"","parse-names":false,"suffix":""},{"dropping-particle":"","family":"Starr","given":"Terraye M","non-dropping-particle":"","parse-names":false,"suffix":""},{"dropping-particle":"","family":"Yang","given":"Moua","non-dropping-particle":"","parse-names":false,"suffix":""},{"dropping-particle":"","family":"Jones","given":"Timothy F","non-dropping-particle":"","parse-names":false,"suffix":""},{"dropping-particle":"","family":"Boulton","given":"Matthew L","non-dropping-particle":"","parse-names":false,"suffix":""},{"dropping-particle":"","family":"Caine","given":"Virginia A","non-dropping-particle":"","parse-names":false,"suffix":""},{"dropping-particle":"","family":"Daniel","given":"Katherine Lyon","non-dropping-particle":"","parse-names":false,"suffix":""},{"dropping-particle":"","family":"Fielding","given":"Jonathan E","non-dropping-particle":"","parse-names":false,"suffix":""},{"dropping-particle":"","family":"Fleming","given":"David W","non-dropping-particle":"","parse-names":false,"suffix":""},{"dropping-particle":"","family":"Halperin","given":"William E","non-dropping-particle":"","parse-names":false,"suffix":""},{"dropping-particle":"","family":"Holmes","given":"King K","non-dropping-particle":"","parse-names":false,"suffix":""},{"dropping-particle":"","family":"Ikeda","given":"Robin","non-dropping-particle":"","parse-names":false,"suffix":""},{"dropping-particle":"","family":"Khabbaz","given":"Rima F","non-dropping-particle":"","parse-names":false,"suffix":""},{"dropping-particle":"","family":"Meadows","given":"Phyllis","non-dropping-particle":"","parse-names":false,"suffix":""},{"dropping-particle":"","family":"Mullen","given":"Jewel","non-dropping-particle":"","parse-names":false,"suffix":""},{"dropping-particle":"","family":"Niederdeppe","given":"Jeff","non-dropping-particle":"","parse-names":false,"suffix":""},{"dropping-particle":"","family":"Quinlisk","given":"Patricia","non-dropping-particle":"","parse-names":false,"suffix":""},{"dropping-particle":"","family":"Remington","given":"Patrick L","non-dropping-particle":"","parse-names":false,"suffix":""},{"dropping-particle":"","family":"Roig","given":"Carlos","non-dropping-particle":"","parse-names":false,"suffix":""},{"dropping-particle":"","family":"Roper","given":"William L","non-dropping-particle":"","parse-names":false,"suffix":""},{"dropping-particle":"","family":"Schaffner","given":"William","non-dropping-particle":"","parse-names":false,"suffix":""}],"container-title":"MMWR Surveill Summ.","id":"ITEM-1","issue":"6","issued":{"date-parts":[["2014"]]},"number-of-pages":"2","title":"Morbidity and Mortality Weekly Report Prevalence of Autism Spectrum Disorder Among Children Aged 8 Years-Autism and Developmental Disabilities Monitoring Network, 11 Sites, United States, 2014 Centers for Disease Control and Prevention MMWR Editorial and","type":"report","volume":"67"},"uris":["http://www.mendeley.com/documents/?uuid=0078ccad-41ef-440b-ad3b-05d313bad194"]}],"mendeley":{"formattedCitation":"(Redfield et al., 2014)","plainTextFormattedCitation":"(Redfield et al., 2014)","previouslyFormattedCitation":"(Redfield et al., 2014)"},"properties":{"noteIndex":0},"schema":"https://github.com/citation-style-language/schema/raw/master/csl-citation.json"}</w:instrText>
      </w:r>
      <w:r w:rsidRPr="0007022B">
        <w:fldChar w:fldCharType="separate"/>
      </w:r>
      <w:r w:rsidRPr="002B4D34">
        <w:rPr>
          <w:noProof/>
        </w:rPr>
        <w:t>(Redfield et al., 2014)</w:t>
      </w:r>
      <w:r w:rsidRPr="0007022B">
        <w:fldChar w:fldCharType="end"/>
      </w:r>
      <w:r w:rsidRPr="0007022B">
        <w:t xml:space="preserve"> . In Asia, a systematic review in six Asian countries that excluded South Asian countries reported that ASD prevalence was 14.8 per 10,000 from 1980 to current </w:t>
      </w:r>
      <w:r w:rsidRPr="0007022B">
        <w:fldChar w:fldCharType="begin" w:fldLock="1"/>
      </w:r>
      <w:r w:rsidRPr="0007022B">
        <w:instrText>ADDIN CSL_CITATION {"citationItems":[{"id":"ITEM-1","itemData":{"DOI":"10.1016/j.rasd.2009.10.003","ISSN":"17509467","abstract":"Electronic databases and bibliographies were searched for English language articles on the prevalence of Autism Spectrum Disorder in Asia over time to estimate prevalence. The overall reported prevalence of ASD in recent studies was higher than the previously reported in Asia. The average prevalence of ASD before 1980 was around 1.9/10,000 while it was 14.8/10,000 from 1980 to present. The median prevalence of ASD among 2-6-year-old children who are reported in China from 2000 upwards was 10.3/10,000. ASD is probably more common in Asia than previously thought. © 2009 Elsevier Ltd.","author":[{"dropping-particle":"","family":"Sun","given":"Xiang","non-dropping-particle":"","parse-names":false,"suffix":""},{"dropping-particle":"","family":"Allison","given":"Carrie","non-dropping-particle":"","parse-names":false,"suffix":""}],"container-title":"Research in Autism Spectrum Disorders","id":"ITEM-1","issued":{"date-parts":[["2010"]]},"title":"A review of the prevalence of Autism Spectrum Disorder in Asia","type":"article"},"uris":["http://www.mendeley.com/documents/?uuid=3ace7943-47d9-4aa0-a3cb-c9d0a321296f"]}],"mendeley":{"formattedCitation":"(Sun &amp; Allison, 2010)","plainTextFormattedCitation":"(Sun &amp; Allison, 2010)","previouslyFormattedCitation":"(Sun &amp; Allison, 2010)"},"properties":{"noteIndex":0},"schema":"https://github.com/citation-style-language/schema/raw/master/csl-citation.json"}</w:instrText>
      </w:r>
      <w:r w:rsidRPr="0007022B">
        <w:fldChar w:fldCharType="separate"/>
      </w:r>
      <w:r w:rsidRPr="0007022B">
        <w:rPr>
          <w:noProof/>
        </w:rPr>
        <w:t>(Sun &amp; Allison, 2010)</w:t>
      </w:r>
      <w:r w:rsidRPr="0007022B">
        <w:fldChar w:fldCharType="end"/>
      </w:r>
      <w:r w:rsidRPr="0007022B">
        <w:t xml:space="preserve">. In China, a meta-analysis found that the pooled prevalence of ASD based on clinical diagnostic criteria was 39.23 per 10,000 children </w:t>
      </w:r>
      <w:r w:rsidRPr="0007022B">
        <w:fldChar w:fldCharType="begin" w:fldLock="1"/>
      </w:r>
      <w:r w:rsidRPr="0007022B">
        <w:instrText>ADDIN CSL_CITATION {"citationItems":[{"id":"ITEM-1","itemData":{"DOI":"10.7150/ijbs.24063","ISSN":"14492288","abstract":"There are conflicting prevalence estimates of autism spectrum disorders (ASDs) in mainland China (China thereafter). This study is a comprehensive meta-analysis of the pooled prevalence of ASDs in the general population in China. Study investigators independently conducted a systematic literature search of the following databases: PubMed, EMBASE, PsycINFO, China National Knowledge Infrastructure, Chinese biomedical literature service system, and Wan Fang. Studies reporting prevalence of ASDs and autism in Chinese population were identified and analysed using the Comprehensive Meta-Analysis program with the random effects model. Forty-four studies were included in the meta-analysis comprising 2,337,321 subjects of whom 46.66 % were females. The mean age of subjects ranged from 1.6 to 8 years. Based on diagnostic criteria the pooled prevalence of ASDs was 39.23 per 10,000 (95% CI: 28.44-50.03 per 10,000, I2=89.2%); specifically, the prevalence of autism was 10.18 per 10,000 (95% CI: 8.46-11.89 per 10,000, I2=92.5%). Subgroup analyses revealed significant difference in the prevalence of ASDs between genders (72.77 per 10,000 in males vs. 16.45 per 10,000 in females). In conclusion, the prevalence of ASDs and autism in China was found generally lower than those reported in other countries. Further studies are needed to clarify the variation in prevalence.","author":[{"dropping-particle":"","family":"Wang","given":"Fei","non-dropping-particle":"","parse-names":false,"suffix":""},{"dropping-particle":"","family":"Lu","given":"Li","non-dropping-particle":"","parse-names":false,"suffix":""},{"dropping-particle":"Bin","family":"Wang","given":"Shi","non-dropping-particle":"","parse-names":false,"suffix":""},{"dropping-particle":"","family":"Zhang","given":"Ling","non-dropping-particle":"","parse-names":false,"suffix":""},{"dropping-particle":"","family":"Ng","given":"Chee H.","non-dropping-particle":"","parse-names":false,"suffix":""},{"dropping-particle":"","family":"Ungvari","given":"Gabor S.","non-dropping-particle":"","parse-names":false,"suffix":""},{"dropping-particle":"","family":"Cao","given":"Xiao Lan","non-dropping-particle":"","parse-names":false,"suffix":""},{"dropping-particle":"","family":"Lu","given":"Jian Ping","non-dropping-particle":"","parse-names":false,"suffix":""},{"dropping-particle":"","family":"Hou","given":"Cai Lan","non-dropping-particle":"","parse-names":false,"suffix":""},{"dropping-particle":"","family":"Jia","given":"Fu Jun","non-dropping-particle":"","parse-names":false,"suffix":""},{"dropping-particle":"","family":"Xiang","given":"Yu Tao","non-dropping-particle":"","parse-names":false,"suffix":""}],"container-title":"International Journal of Biological Sciences","id":"ITEM-1","issue":"7","issued":{"date-parts":[["2018"]]},"page":"717-725","title":"The prevalence of autism spectrum disorders in China: A comprehensive meta-analysis","type":"article-journal","volume":"14"},"uris":["http://www.mendeley.com/documents/?uuid=da19452d-fff1-4496-bbdb-305db94f87c9"]}],"mendeley":{"formattedCitation":"(Wang et al., 2018)","plainTextFormattedCitation":"(Wang et al., 2018)","previouslyFormattedCitation":"(Wang et al., 2018)"},"properties":{"noteIndex":0},"schema":"https://github.com/citation-style-language/schema/raw/master/csl-citation.json"}</w:instrText>
      </w:r>
      <w:r w:rsidRPr="0007022B">
        <w:fldChar w:fldCharType="separate"/>
      </w:r>
      <w:r w:rsidRPr="0007022B">
        <w:rPr>
          <w:noProof/>
        </w:rPr>
        <w:t>(Wang et al., 2018)</w:t>
      </w:r>
      <w:r w:rsidRPr="0007022B">
        <w:fldChar w:fldCharType="end"/>
      </w:r>
      <w:r w:rsidRPr="0007022B">
        <w:t xml:space="preserve">. Only one available study in South East Asia, namely Indonesia estimates the ASD prevalence rate at 11.7 per 10,000 </w:t>
      </w:r>
      <w:r w:rsidRPr="0007022B">
        <w:fldChar w:fldCharType="begin" w:fldLock="1"/>
      </w:r>
      <w:r w:rsidR="00854604">
        <w:instrText>ADDIN CSL_CITATION {"citationItems":[{"id":"ITEM-1","itemData":{"DOI":"10.1002/aur.239","ISSN":"19393792","PMID":"22495912","abstract":"We provide a systematic review of epidemiological surveys of autistic disorder and pervasive developmental disorders (PDDs) worldwide. A secondary aim was to consider the possible impact of geographic, cultural/ethnic, and socioeconomic factors on prevalence estimates and on clinical presentation of PDD. Based on the evidence reviewed, the median of prevalence estimates of autism spectrum disorders was 62/10000. While existing estimates are variable, the evidence reviewed does not support differences in PDD prevalence by geographic region nor of a strong impact of ethnic/cultural or socioeconomic factors. However, power to detect such effects is seriously limited in existing data sets, particularly in low-income countries. While it is clear that prevalence estimates have increased over time and these vary in different neighboring and distant regions, these findings most likely represent broadening of the diagnostic concets, diagnostic switching from other developmental disabilities to PDD, service availability, and awareness of autistic spectrum disorders in both the lay and professional public. The lack of evidence from the majority of the world's population suggests a critical need for further research and capacity building in low- and middle-income countries. © 2012 International Society for Autism Research, Wiley Periodicals, Inc.","author":[{"dropping-particle":"","family":"Elsabbagh","given":"Mayada","non-dropping-particle":"","parse-names":false,"suffix":""},{"dropping-particle":"","family":"Divan","given":"Gauri","non-dropping-particle":"","parse-names":false,"suffix":""},{"dropping-particle":"","family":"Koh","given":"Yun Joo","non-dropping-particle":"","parse-names":false,"suffix":""},{"dropping-particle":"","family":"Kim","given":"Young Shin","non-dropping-particle":"","parse-names":false,"suffix":""},{"dropping-particle":"","family":"Kauchali","given":"Shuaib","non-dropping-particle":"","parse-names":false,"suffix":""},{"dropping-particle":"","family":"Marcín","given":"Carlos","non-dropping-particle":"","parse-names":false,"suffix":""},{"dropping-particle":"","family":"Montiel-Nava","given":"Cecilia","non-dropping-particle":"","parse-names":false,"suffix":""},{"dropping-particle":"","family":"Patel","given":"Vikram","non-dropping-particle":"","parse-names":false,"suffix":""},{"dropping-particle":"","family":"Paula","given":"Cristiane S.","non-dropping-particle":"","parse-names":false,"suffix":""},{"dropping-particle":"","family":"Wang","given":"Chongying","non-dropping-particle":"","parse-names":false,"suffix":""},{"dropping-particle":"","family":"Yasamy","given":"Mohammad Taghi","non-dropping-particle":"","parse-names":false,"suffix":""},{"dropping-particle":"","family":"Fombonne","given":"Eric","non-dropping-particle":"","parse-names":false,"suffix":""}],"container-title":"Autism Research","id":"ITEM-1","issue":"3","issued":{"date-parts":[["2012","6"]]},"page":"160-179","title":"Global Prevalence of Autism and Other Pervasive Developmental Disorders","type":"article-journal","volume":"5"},"uris":["http://www.mendeley.com/documents/?uuid=5d10eaa9-dcdb-4e20-bd37-3fcf555b2f28"]}],"mendeley":{"formattedCitation":"(Elsabbagh et al., 2012)","plainTextFormattedCitation":"(Elsabbagh et al., 2012)","previouslyFormattedCitation":"(Elsabbagh et al., 2012)"},"properties":{"noteIndex":0},"schema":"https://github.com/citation-style-language/schema/raw/master/csl-citation.json"}</w:instrText>
      </w:r>
      <w:r w:rsidRPr="0007022B">
        <w:fldChar w:fldCharType="separate"/>
      </w:r>
      <w:r w:rsidRPr="0007022B">
        <w:rPr>
          <w:noProof/>
        </w:rPr>
        <w:t>(Elsabbagh et al., 2012)</w:t>
      </w:r>
      <w:r w:rsidRPr="0007022B">
        <w:fldChar w:fldCharType="end"/>
      </w:r>
      <w:r w:rsidRPr="0007022B">
        <w:t xml:space="preserve">. At present, there is no local epidemiological data available on the prevalence of autism in Malaysia. However, a minor scale study on children aged 18 to 26 months conducted by the Ministry of Health of Malaysia demonstrated a prevalence rate of 16 in 10,000 children, or approximately 1 in 62512 </w:t>
      </w:r>
      <w:r w:rsidRPr="0007022B">
        <w:fldChar w:fldCharType="begin" w:fldLock="1"/>
      </w:r>
      <w:r w:rsidRPr="0007022B">
        <w:instrText>ADDIN CSL_CITATION {"citationItems":[{"id":"ITEM-1","itemData":{"author":[{"dropping-particle":"","family":"Keluarga","given":"Malaysia. Kementerian Kesihatan. Bahagian Pembangunan Kesihatan","non-dropping-particle":"","parse-names":false,"suffix":""}],"id":"ITEM-1","issued":{"date-parts":[["2006"]]},"publisher":"Bahagian Pembangunan Kesihatan Keluarga Kementerian Kesihatan Malaysia","title":"Prosiding mesyuarat membincangkan hasil kajian saringan dan pengendalian masalah autisme : 16-18 Mei 2006 Hotel Dynasty Kuala Lumpur","type":"book"},"label":"issue","prefix":"Family Health Division","suppress-author":1,"uris":["http://www.mendeley.com/documents/?uuid=948380a4-b409-37e9-b283-278f8ab7c781"]}],"mendeley":{"formattedCitation":"(Family Health Division 2006)","plainTextFormattedCitation":"(Family Health Division 2006)","previouslyFormattedCitation":"(Family Health Division 2006)"},"properties":{"noteIndex":0},"schema":"https://github.com/citation-style-language/schema/raw/master/csl-citation.json"}</w:instrText>
      </w:r>
      <w:r w:rsidRPr="0007022B">
        <w:fldChar w:fldCharType="separate"/>
      </w:r>
      <w:r w:rsidRPr="0007022B">
        <w:rPr>
          <w:noProof/>
        </w:rPr>
        <w:t>(Family Health Division 2006)</w:t>
      </w:r>
      <w:r w:rsidRPr="0007022B">
        <w:fldChar w:fldCharType="end"/>
      </w:r>
      <w:r w:rsidRPr="0007022B">
        <w:rPr>
          <w:szCs w:val="24"/>
        </w:rPr>
        <w:t>.</w:t>
      </w:r>
    </w:p>
    <w:p w14:paraId="1BFE6C64" w14:textId="77777777" w:rsidR="000F5D9D" w:rsidRPr="005A79C9" w:rsidRDefault="000F5D9D" w:rsidP="00E22C20">
      <w:pPr>
        <w:spacing w:before="100" w:beforeAutospacing="1" w:after="100" w:afterAutospacing="1" w:line="360" w:lineRule="auto"/>
        <w:ind w:left="851" w:firstLine="720"/>
        <w:jc w:val="both"/>
        <w:rPr>
          <w:rFonts w:eastAsia="Times New Roman"/>
          <w:szCs w:val="24"/>
          <w:lang w:eastAsia="en-MY"/>
        </w:rPr>
      </w:pPr>
      <w:r w:rsidRPr="005A79C9">
        <w:rPr>
          <w:szCs w:val="24"/>
        </w:rPr>
        <w:t xml:space="preserve">The aetiology of ASD is still uncertain but it is known that genetic and environmental factors may play a role. The diagnosis of ASD can be made clinically based on comprehensive history taking and behaviour evaluation. According to DSM V criteria, diagnosis of ASD can be establish if there are </w:t>
      </w:r>
      <w:r w:rsidRPr="005A79C9">
        <w:rPr>
          <w:rFonts w:eastAsia="Times New Roman"/>
          <w:szCs w:val="24"/>
          <w:lang w:eastAsia="en-MY"/>
        </w:rPr>
        <w:t xml:space="preserve">persistent deficits in social communication and social interaction, restricted, repetitive patterns of behaviour, interests, or activities and symptoms must be present in the early developmental period in which symptoms cause clinically significant impairment in social, occupational, or </w:t>
      </w:r>
      <w:r w:rsidRPr="005A79C9">
        <w:rPr>
          <w:rFonts w:eastAsia="Times New Roman"/>
          <w:szCs w:val="24"/>
          <w:lang w:eastAsia="en-MY"/>
        </w:rPr>
        <w:lastRenderedPageBreak/>
        <w:t xml:space="preserve">other important areas of current functioning. </w:t>
      </w:r>
      <w:r w:rsidRPr="005A79C9">
        <w:rPr>
          <w:szCs w:val="24"/>
        </w:rPr>
        <w:t xml:space="preserve">Diagnostic tools may be used to assist in the clinical diagnosis. </w:t>
      </w:r>
    </w:p>
    <w:p w14:paraId="0A910894" w14:textId="77777777" w:rsidR="000F5D9D" w:rsidRPr="005A79C9" w:rsidRDefault="000F5D9D" w:rsidP="00E22C20">
      <w:pPr>
        <w:spacing w:line="360" w:lineRule="auto"/>
        <w:ind w:left="851" w:firstLine="360"/>
        <w:jc w:val="both"/>
        <w:rPr>
          <w:szCs w:val="24"/>
        </w:rPr>
      </w:pPr>
      <w:r w:rsidRPr="005A79C9">
        <w:rPr>
          <w:szCs w:val="24"/>
        </w:rPr>
        <w:t xml:space="preserve">The epitome controversy regarding ASD </w:t>
      </w:r>
      <w:r>
        <w:rPr>
          <w:szCs w:val="24"/>
        </w:rPr>
        <w:t xml:space="preserve">and vaccine </w:t>
      </w:r>
      <w:r w:rsidRPr="005A79C9">
        <w:rPr>
          <w:szCs w:val="24"/>
        </w:rPr>
        <w:t xml:space="preserve">occurred in 1995. Dr Andrew </w:t>
      </w:r>
      <w:r w:rsidRPr="001756D0">
        <w:rPr>
          <w:szCs w:val="24"/>
        </w:rPr>
        <w:t xml:space="preserve">Wakefield, a British surgeon attracted professional attention when he published an article in The Lancet proposing a link between measles, mumps and rubella (MMR) vaccine with bowel disease and pervasive developmental disorder which term later as autism. Later, Wakefield was charged due committing scientific fraud by fabricating data and his article was formally withdrawn </w:t>
      </w:r>
      <w:r w:rsidRPr="001756D0">
        <w:rPr>
          <w:szCs w:val="24"/>
        </w:rPr>
        <w:fldChar w:fldCharType="begin" w:fldLock="1"/>
      </w:r>
      <w:r w:rsidRPr="001756D0">
        <w:rPr>
          <w:szCs w:val="24"/>
        </w:rPr>
        <w:instrText>ADDIN CSL_CITATION {"citationItems":[{"id":"ITEM-1","itemData":{"ISSN":"00191639","abstract":"Thanks to vaccinations the incidence of many seriously debilitating or life threatening diseases and the resulting infant mortality or disability have been drastically reduced. In populations, who are no more aware of the risk of these infections, the attitude of suspicion and fear towards the vaccinations is expanding and in some cases reaches a worldwide media coverage as was the case for the measles, mumps and rubella vaccine (MMR). In 1998, a British doctor, Andrew Wakefield, and co-authors, published in \"Lancet\" a study in which he suggested the existence of \"a new variant of autism\" associated with intestinal inflammation. He proposed the administration of the MMR vaccine as a possible. cause of the inflammatory process. The hypothesis suggested by Wakefield led to a drastic drop in vaccination coverage in the UK and to the failure to achieve adequate levels of immunization in many countries, with a consequent increase in the incidence of measles and its complications. Wakefield work stimulated a broad discussion in the scientific community and many studies conducted over the next few years contradicted the research results of the English physician. In 2004, journalist Brian Deer conducted an accurate investigation that revealed how the Wakefield research presented many not regular aspects and was performed with predominantly economic objectives. In 2010, Wakefield was expelled from the General Medical Council, while the \"Lancet\" retracted the paper. The scientific research conducted in recent years confirm the inconsistency of the relationship between MMR vaccine and autism. The possible association with other factors, such as autoimmune processes, hyperactivation of mast cells in the hypothalamus, use of paracetamol in genetically predisposed children are currently investigated.","author":[{"dropping-particle":"","family":"Battistella","given":"Melania","non-dropping-particle":"","parse-names":false,"suffix":""},{"dropping-particle":"","family":"Carlino","given":"Cristiana","non-dropping-particle":"","parse-names":false,"suffix":""},{"dropping-particle":"","family":"Dugo","given":"Valentina","non-dropping-particle":"","parse-names":false,"suffix":""},{"dropping-particle":"","family":"Ponzo","given":"Patrizia","non-dropping-particle":"","parse-names":false,"suffix":""},{"dropping-particle":"","family":"Franco","given":"Elisabetta","non-dropping-particle":"","parse-names":false,"suffix":""}],"container-title":"Igiene e sanità pubblica","id":"ITEM-1","issued":{"date-parts":[["2013"]]},"title":"[Vaccines and autism: a myth to debunk?].","type":"article-journal"},"uris":["http://www.mendeley.com/documents/?uuid=7ef03da4-b4be-41cf-b141-21db89c0f8f8"]}],"mendeley":{"formattedCitation":"(Battistella, Carlino, Dugo, Ponzo, &amp; Franco, 2013)","plainTextFormattedCitation":"(Battistella, Carlino, Dugo, Ponzo, &amp; Franco, 2013)","previouslyFormattedCitation":"(Battistella, Carlino, Dugo, Ponzo, &amp; Franco, 2013)"},"properties":{"noteIndex":0},"schema":"https://github.com/citation-style-language/schema/raw/master/csl-citation.json"}</w:instrText>
      </w:r>
      <w:r w:rsidRPr="001756D0">
        <w:rPr>
          <w:szCs w:val="24"/>
        </w:rPr>
        <w:fldChar w:fldCharType="separate"/>
      </w:r>
      <w:r w:rsidRPr="001756D0">
        <w:rPr>
          <w:noProof/>
          <w:szCs w:val="24"/>
        </w:rPr>
        <w:t>(Battistella, Carlino, Dugo, Ponzo, &amp; Franco, 2013)</w:t>
      </w:r>
      <w:r w:rsidRPr="001756D0">
        <w:rPr>
          <w:szCs w:val="24"/>
        </w:rPr>
        <w:fldChar w:fldCharType="end"/>
      </w:r>
      <w:r w:rsidRPr="001756D0">
        <w:rPr>
          <w:szCs w:val="24"/>
        </w:rPr>
        <w:t>.</w:t>
      </w:r>
      <w:r w:rsidRPr="005A79C9">
        <w:rPr>
          <w:szCs w:val="24"/>
        </w:rPr>
        <w:t xml:space="preserve"> </w:t>
      </w:r>
    </w:p>
    <w:p w14:paraId="7902DDD8" w14:textId="77777777" w:rsidR="000F5D9D" w:rsidRPr="005A79C9" w:rsidRDefault="000F5D9D" w:rsidP="00E22C20">
      <w:pPr>
        <w:spacing w:line="360" w:lineRule="auto"/>
        <w:ind w:left="851"/>
        <w:jc w:val="both"/>
        <w:rPr>
          <w:szCs w:val="24"/>
        </w:rPr>
      </w:pPr>
    </w:p>
    <w:p w14:paraId="7E059DA1" w14:textId="3531767C" w:rsidR="000F5D9D" w:rsidRPr="001E1BB0" w:rsidRDefault="000F5D9D" w:rsidP="00E22C20">
      <w:pPr>
        <w:spacing w:line="360" w:lineRule="auto"/>
        <w:ind w:left="851" w:firstLine="360"/>
        <w:jc w:val="both"/>
        <w:rPr>
          <w:szCs w:val="24"/>
        </w:rPr>
      </w:pPr>
      <w:r w:rsidRPr="005A79C9">
        <w:rPr>
          <w:szCs w:val="24"/>
        </w:rPr>
        <w:t xml:space="preserve">Despite a Cochrane </w:t>
      </w:r>
      <w:r w:rsidRPr="001E1BB0">
        <w:rPr>
          <w:szCs w:val="24"/>
        </w:rPr>
        <w:t xml:space="preserve">systematic review </w:t>
      </w:r>
      <w:r w:rsidRPr="001E1BB0">
        <w:rPr>
          <w:szCs w:val="24"/>
        </w:rPr>
        <w:fldChar w:fldCharType="begin" w:fldLock="1"/>
      </w:r>
      <w:r w:rsidR="00854604">
        <w:rPr>
          <w:szCs w:val="24"/>
        </w:rPr>
        <w:instrText>ADDIN CSL_CITATION {"citationItems":[{"id":"ITEM-1","itemData":{"DOI":"10.1002/ebch.1948","ISSN":"15576272","abstract":"Background: Mumps, measles and rubella (MMR) are serious diseases that can lead to potentially fatal illness, disability and death. However, public debate over the safety of the trivalent MMR vaccine and the resultant drop in vaccination coverage in several countries persists, despite its almost universal use and accepted effectiveness. Objectives: To assess the effectiveness and adverse effects associated with the MMR vaccine in children up to 15 years of age. Search methods: For this update we searched the Cochrane Central Register of Controlled Trials (CENTRAL) (The Cochrane Library 2011, Issue 2), which includes the Cochrane Acute Respiratory Infections Group's Specialised Register, PubMed (July 2004 to May week 2, 2011) and Embase.com (July 2004 to May 2011). Selection criteria: We used comparative prospective or retrospective trials assessing the effects of the MMR vaccine compared to placebo, do nothing or a combination of measles, mumps and rubella antigens on healthy individuals up to 15 years of age. Data collection and analysis: Two review authors independently extracted data and assessed methodological quality of the included studies. One review author arbitrated in case of disagreement. Main results: We included five randomised controlled trials (RCTs), one controlled clinical trial (CCT), 27 cohort studies, 17 case-control studies, five time-series trials, one case cross-over trial, two ecological studies, six self controlled case series studies involving in all about 14,700,000 children and assessing effectiveness and safety of MMR vaccine. Based on the available evidence, one MMR vaccine dose is at least 95% effective in preventing clinical measles and 92% effective in preventing secondary cases among household contacts. Effectiveness of at least one dose of MMR in preventing clinical mumps in children is estimated to be between 69% and 81% for the vaccine prepared with Jeryl Lynn mumps strain and between 70% and 75% for the vaccine containing the Urabe strain. Vaccination with MMR containing the Urabe strain has demonstrated to be 73% effective in preventing secondary mumps cases. Effectiveness of Jeryl Lynn containing MMR in preventing laboratory-confirmed mumps cases in children and adolescents was estimated to be between 64% to 66% for one dose and 83% to 88% for two vaccine doses. We did not identify any studies assessing the effectiveness of MMR in preventing rubella. The highest risk of association with aseptic meningitis was obse…","author":[{"dropping-particle":"","family":"Demicheli","given":"Vittorio","non-dropping-particle":"","parse-names":false,"suffix":""},{"dropping-particle":"","family":"Rivetti","given":"Alessandro","non-dropping-particle":"","parse-names":false,"suffix":""},{"dropping-particle":"","family":"Debalini","given":"Maria Grazia","non-dropping-particle":"","parse-names":false,"suffix":""},{"dropping-particle":"","family":"Pietrantonj","given":"Carlo","non-dropping-particle":"Di","parse-names":false,"suffix":""}],"container-title":"Evidence-Based Child Health","id":"ITEM-1","issued":{"date-parts":[["2013"]]},"title":"Vaccines for measles, mumps and rubella in children","type":"article-journal"},"uris":["http://www.mendeley.com/documents/?uuid=ce9361d1-cae8-49ea-a012-02f7465c245f"]}],"mendeley":{"formattedCitation":"(Demicheli, Rivetti, Debalini, &amp; Di Pietrantonj, 2013)","plainTextFormattedCitation":"(Demicheli, Rivetti, Debalini, &amp; Di Pietrantonj, 2013)","previouslyFormattedCitation":"(Demicheli, Rivetti, Debalini, &amp; Di Pietrantonj, 2013)"},"properties":{"noteIndex":0},"schema":"https://github.com/citation-style-language/schema/raw/master/csl-citation.json"}</w:instrText>
      </w:r>
      <w:r w:rsidRPr="001E1BB0">
        <w:rPr>
          <w:szCs w:val="24"/>
        </w:rPr>
        <w:fldChar w:fldCharType="separate"/>
      </w:r>
      <w:r w:rsidRPr="001E1BB0">
        <w:rPr>
          <w:noProof/>
          <w:szCs w:val="24"/>
        </w:rPr>
        <w:t>(Demicheli, Rivetti, Debalini, &amp; Di Pietrantonj, 2013)</w:t>
      </w:r>
      <w:r w:rsidRPr="001E1BB0">
        <w:rPr>
          <w:szCs w:val="24"/>
        </w:rPr>
        <w:fldChar w:fldCharType="end"/>
      </w:r>
      <w:r w:rsidRPr="001E1BB0">
        <w:rPr>
          <w:szCs w:val="24"/>
        </w:rPr>
        <w:t xml:space="preserve"> reporting no association between childhood vaccination and autism, there remain concerns about such a connection in certain groups of the population identified nowadays as the vaccine hesitancy (VH). </w:t>
      </w:r>
    </w:p>
    <w:p w14:paraId="387D1490" w14:textId="77777777" w:rsidR="000F5D9D" w:rsidRPr="001E1BB0" w:rsidRDefault="000F5D9D" w:rsidP="00E22C20">
      <w:pPr>
        <w:spacing w:line="360" w:lineRule="auto"/>
        <w:ind w:left="851" w:firstLine="360"/>
        <w:jc w:val="both"/>
        <w:rPr>
          <w:szCs w:val="24"/>
        </w:rPr>
      </w:pPr>
      <w:r w:rsidRPr="001E1BB0">
        <w:rPr>
          <w:szCs w:val="24"/>
        </w:rPr>
        <w:t xml:space="preserve">VH is defined by WHO as a “delay in acceptance or refusal of vaccines despite availability of vaccination services” </w:t>
      </w:r>
      <w:r w:rsidRPr="001E1BB0">
        <w:rPr>
          <w:szCs w:val="24"/>
        </w:rPr>
        <w:fldChar w:fldCharType="begin" w:fldLock="1"/>
      </w:r>
      <w:r w:rsidRPr="001E1BB0">
        <w:rPr>
          <w:szCs w:val="24"/>
        </w:rPr>
        <w:instrText>ADDIN CSL_CITATION {"citationItems":[{"id":"ITEM-1","itemData":{"DOI":"10.1016/j.vaccine.2015.04.036","author":[{"dropping-particle":"","family":"Macdonald","given":"Noni E","non-dropping-particle":"","parse-names":false,"suffix":""},{"dropping-particle":"","family":"Group","given":"Working","non-dropping-particle":"","parse-names":false,"suffix":""}],"id":"ITEM-1","issued":{"date-parts":[["2015"]]},"page":"4161-4164","title":"Vaccine hesitancy : Definition , scope and determinants","type":"article-journal","volume":"33"},"uris":["http://www.mendeley.com/documents/?uuid=f020b823-1ddd-4343-9c14-6502886a8781"]}],"mendeley":{"formattedCitation":"(Macdonald &amp; Group, 2015)","plainTextFormattedCitation":"(Macdonald &amp; Group, 2015)","previouslyFormattedCitation":"(Macdonald &amp; Group, 2015)"},"properties":{"noteIndex":0},"schema":"https://github.com/citation-style-language/schema/raw/master/csl-citation.json"}</w:instrText>
      </w:r>
      <w:r w:rsidRPr="001E1BB0">
        <w:rPr>
          <w:szCs w:val="24"/>
        </w:rPr>
        <w:fldChar w:fldCharType="separate"/>
      </w:r>
      <w:r w:rsidRPr="001E1BB0">
        <w:rPr>
          <w:noProof/>
          <w:szCs w:val="24"/>
        </w:rPr>
        <w:t>(Macdonald &amp; Group, 2015)</w:t>
      </w:r>
      <w:r w:rsidRPr="001E1BB0">
        <w:rPr>
          <w:szCs w:val="24"/>
        </w:rPr>
        <w:fldChar w:fldCharType="end"/>
      </w:r>
      <w:r w:rsidRPr="001E1BB0">
        <w:rPr>
          <w:szCs w:val="24"/>
        </w:rPr>
        <w:t xml:space="preserve">. It differentiates vaccine acceptance and vaccine refusal and change previous characterization of individuals and groups as either anti-vaccine or pro-vaccine. In recent years, countries that were near to eliminating the disease have seen a resurgence of the vaccine-preventable diseases (VPDs) due to the VH parents (VHP). </w:t>
      </w:r>
    </w:p>
    <w:p w14:paraId="318AA185" w14:textId="77777777" w:rsidR="000F5D9D" w:rsidRPr="001E1BB0" w:rsidRDefault="000F5D9D" w:rsidP="00E22C20">
      <w:pPr>
        <w:spacing w:line="360" w:lineRule="auto"/>
        <w:ind w:left="851" w:firstLine="360"/>
        <w:jc w:val="both"/>
        <w:rPr>
          <w:szCs w:val="24"/>
        </w:rPr>
      </w:pPr>
      <w:r w:rsidRPr="001E1BB0">
        <w:rPr>
          <w:szCs w:val="24"/>
        </w:rPr>
        <w:t>The MMR ‘vaccine scare’ led to a drop in MMR vaccine coverage from 91.8% prior to the scare to 79.9% in 2004 resulting in measle outbreaks in England</w:t>
      </w:r>
      <w:r w:rsidRPr="001E1BB0">
        <w:rPr>
          <w:szCs w:val="24"/>
        </w:rPr>
        <w:fldChar w:fldCharType="begin" w:fldLock="1"/>
      </w:r>
      <w:r w:rsidRPr="001E1BB0">
        <w:rPr>
          <w:szCs w:val="24"/>
        </w:rPr>
        <w:instrText>ADDIN CSL_CITATION {"citationItems":[{"id":"ITEM-1","itemData":{"DOI":"10.1111/risa.13120","ISSN":"15396924","abstract":"While it seems intuitive that highly visible vaccine-preventable disease outbreaks should impact perceptions of disease risk and facilitate vaccination, few empirical studies exist to confirm or dispel these beliefs. This study investigates the impact of the 2014–2015 Disneyland measles outbreak on parents’ vaccination attitudes and future vaccination intentions. The analysis relies on a pair of public opinion surveys of American parents with at least one child under the age of six (N = 1,000 across each survey). Controlling for basic demographics, we found higher levels of reported confidence in the safety and efficacy of childhood vaccinations in our follow-up data collection. However, this confidence was also accompanied by elevated levels of concern toward childhood vaccines among American parents. We then examined how different subgroups in the population scored on these measures before and after the outbreak. We found that parents with high levels of interest in the topic of vaccines and a child who is not fully upto date with the recommended vaccination schedule reported more supportive attitudes toward vaccines. However, future intentions to follow the recommended vaccination schedule were not positively impacted by the outbreak. Possible explanations for these results and implications for vaccination outreach are discussed.","author":[{"dropping-particle":"","family":"Cacciatore","given":"Michael A.","non-dropping-particle":"","parse-names":false,"suffix":""},{"dropping-particle":"","family":"Nowak","given":"Glen J.","non-dropping-particle":"","parse-names":false,"suffix":""},{"dropping-particle":"","family":"Evans","given":"Nathaniel J.","non-dropping-particle":"","parse-names":false,"suffix":""}],"container-title":"Risk Analysis","id":"ITEM-1","issue":"10","issued":{"date-parts":[["2018"]]},"page":"2178-2192","title":"It's Complicated: The 2014–2015 U.S. Measles Outbreak and Parents’ Vaccination Beliefs, Confidence, and Intentions","type":"article-journal","volume":"38"},"uris":["http://www.mendeley.com/documents/?uuid=308f70e9-7b47-4f58-b4a6-e88daff1c515"]}],"mendeley":{"formattedCitation":"(Cacciatore, Nowak, &amp; Evans, 2018)","plainTextFormattedCitation":"(Cacciatore, Nowak, &amp; Evans, 2018)","previouslyFormattedCitation":"(Cacciatore, Nowak, &amp; Evans, 2018)"},"properties":{"noteIndex":0},"schema":"https://github.com/citation-style-language/schema/raw/master/csl-citation.json"}</w:instrText>
      </w:r>
      <w:r w:rsidRPr="001E1BB0">
        <w:rPr>
          <w:szCs w:val="24"/>
        </w:rPr>
        <w:fldChar w:fldCharType="separate"/>
      </w:r>
      <w:r w:rsidRPr="001E1BB0">
        <w:rPr>
          <w:noProof/>
          <w:szCs w:val="24"/>
        </w:rPr>
        <w:t>(Cacciatore, Nowak, &amp; Evans, 2018)</w:t>
      </w:r>
      <w:r w:rsidRPr="001E1BB0">
        <w:rPr>
          <w:szCs w:val="24"/>
        </w:rPr>
        <w:fldChar w:fldCharType="end"/>
      </w:r>
      <w:r w:rsidRPr="001E1BB0">
        <w:rPr>
          <w:szCs w:val="24"/>
        </w:rPr>
        <w:t xml:space="preserve">. In the USA </w:t>
      </w:r>
      <w:r w:rsidRPr="001E1BB0">
        <w:rPr>
          <w:szCs w:val="24"/>
        </w:rPr>
        <w:fldChar w:fldCharType="begin" w:fldLock="1"/>
      </w:r>
      <w:r w:rsidRPr="001E1BB0">
        <w:rPr>
          <w:szCs w:val="24"/>
        </w:rPr>
        <w:instrText>ADDIN CSL_CITATION {"citationItems":[{"id":"ITEM-1","itemData":{"DOI":"10.15585/MMWR.MM6740A4","ISSN":"1545861X","author":[{"dropping-particle":"","family":"Hill","given":"Holly A.","non-dropping-particle":"","parse-names":false,"suffix":""},{"dropping-particle":"","family":"Elam-Evans","given":"Laurie D.","non-dropping-particle":"","parse-names":false,"suffix":""},{"dropping-particle":"","family":"Yankey","given":"David","non-dropping-particle":"","parse-names":false,"suffix":""},{"dropping-particle":"","family":"Singleton","given":"James A.","non-dropping-particle":"","parse-names":false,"suffix":""},{"dropping-particle":"","family":"Kang","given":"Yoonjae","non-dropping-particle":"","parse-names":false,"suffix":""}],"container-title":"Morbidity and Mortality Weekly Report","id":"ITEM-1","issued":{"date-parts":[["2018"]]},"title":"Vaccination coverage among children aged 19–35 months — United States, 2017","type":"article-journal"},"uris":["http://www.mendeley.com/documents/?uuid=3ed6d4cc-ff6e-40be-baf6-c8d916fa8f97"]}],"mendeley":{"formattedCitation":"(Hill, Elam-Evans, Yankey, Singleton, &amp; Kang, 2018)","plainTextFormattedCitation":"(Hill, Elam-Evans, Yankey, Singleton, &amp; Kang, 2018)","previouslyFormattedCitation":"(Hill, Elam-Evans, Yankey, Singleton, &amp; Kang, 2018)"},"properties":{"noteIndex":0},"schema":"https://github.com/citation-style-language/schema/raw/master/csl-citation.json"}</w:instrText>
      </w:r>
      <w:r w:rsidRPr="001E1BB0">
        <w:rPr>
          <w:szCs w:val="24"/>
        </w:rPr>
        <w:fldChar w:fldCharType="separate"/>
      </w:r>
      <w:r w:rsidRPr="001E1BB0">
        <w:rPr>
          <w:noProof/>
          <w:szCs w:val="24"/>
        </w:rPr>
        <w:t>(Hill, Elam-Evans, Yankey, Singleton, &amp; Kang, 2018)</w:t>
      </w:r>
      <w:r w:rsidRPr="001E1BB0">
        <w:rPr>
          <w:szCs w:val="24"/>
        </w:rPr>
        <w:fldChar w:fldCharType="end"/>
      </w:r>
      <w:r w:rsidRPr="001E1BB0">
        <w:rPr>
          <w:szCs w:val="24"/>
        </w:rPr>
        <w:t xml:space="preserve">, the percentage of children aged 19–35 months who received the MMR vaccine slightly decreased from 91·6% in 2011, to 91·5% in 2017. Similar trends elsewhere have resulted in a 30% rise in measles cases worldwide </w:t>
      </w:r>
      <w:r w:rsidRPr="001E1BB0">
        <w:rPr>
          <w:szCs w:val="24"/>
        </w:rPr>
        <w:fldChar w:fldCharType="begin" w:fldLock="1"/>
      </w:r>
      <w:r w:rsidRPr="001E1BB0">
        <w:rPr>
          <w:szCs w:val="24"/>
        </w:rPr>
        <w:instrText>ADDIN CSL_CITATION {"citationItems":[{"id":"ITEM-1","itemData":{"abstract":"Measles\\r\\n•\\r\\nBetween\\r\\n1 \\r\\nJanuary 2015 \\r\\nand\\r\\n31 \\r\\nDecember 2015, 3 969\\r\\ncases \\r\\nof measles \\r\\nwere reported by \\r\\na total of \\r\\n30\\r\\nEU/EEA countries. All thirty countries reported consistently throughout this 12\\r\\n-\\r\\nmonth period. \\r\\n•\\r\\nGermany accounted for 62.1% of \\r\\nall\\r\\ncases reported during this period.\\r\\n•\\r\\nMeasles is targeted for elimination in Eur\\r\\nope. The measles notification rate was below the elimination target \\r\\n(\\r\\none case per million population\\r\\n)\\r\\nin 13 of the 30 reporting countries\\r\\n. E\\r\\night \\r\\nof these 13 \\r\\ncountries report\\r\\ned\\r\\nzero cases. Sixteen reporting countries had a notification rate above this indic\\r\\nator, \\r\\nwith Croatia reporting \\r\\nthe highest rate (51.6 cases per million).\\r\\n•\\r\\nThe diagnosis of measles was confirmed by positive laboratory results (serology, virus detection or \\r\\nisolation) in 65.3% of all cases\\r\\n.\\r\\n•\\r\\nOf all cases, 88.9% had a known vaccination status\\r\\n,\\r\\nand of these\\r\\n,\\r\\n84.8% were reported as unvaccinated. \\r\\nIn the target group for routine childhood MMR vaccination (1\\r\\n–\\r\\n4\\r\\n-\\r\\nyear\\r\\n-\\r\\nold children), 77.0% of all cases were \\r\\nunvaccinated.\\r\\n•\\r\\nDuring\\r\\nthe period \\r\\n1 January 2015\\r\\n–\\r\\n31 December 2015\\r\\n, o\\r\\nne measles\\r\\n-\\r\\nrelated death was \\r\\nreported\\r\\nin a\\r\\n19\\r\\n-\\r\\nmonth\\r\\n-\\r\\nold child \\r\\nin Germany\\r\\n. S\\r\\nix cases were complicated by acute measles encephalitis.\\r\\n•\\r\\nNo new measles outbreaks have been detected in EU/EEA Member States by epidemic intelligence since the \\r\\nprevious\\r\\nreport\\r\\n,\\r\\ndated \\r\\n31 October 2015.\\r\\n•\\r\\nIn the res\\r\\nt of the world, measles outbreaks have occurred in Pakistan, Malaysia, Nepal, Egypt, Cameroon, \\r\\nNigeria, South\\r\\nSudan and Guinea.","author":[{"dropping-particle":"","family":"CDC","given":"","non-dropping-particle":"","parse-names":false,"suffix":""}],"container-title":"Centers for Disease Control and Prevention; U.S. Department of Health and Human Services","id":"ITEM-1","issued":{"date-parts":[["2016"]]},"title":"Measles Cases and Outbreaks","type":"webpage"},"uris":["http://www.mendeley.com/documents/?uuid=66e460c5-4fab-4464-b424-d0e91e3d148d"]}],"mendeley":{"formattedCitation":"(CDC, 2016)","plainTextFormattedCitation":"(CDC, 2016)","previouslyFormattedCitation":"(CDC, 2016)"},"properties":{"noteIndex":0},"schema":"https://github.com/citation-style-language/schema/raw/master/csl-citation.json"}</w:instrText>
      </w:r>
      <w:r w:rsidRPr="001E1BB0">
        <w:rPr>
          <w:szCs w:val="24"/>
        </w:rPr>
        <w:fldChar w:fldCharType="separate"/>
      </w:r>
      <w:r w:rsidRPr="001E1BB0">
        <w:rPr>
          <w:noProof/>
          <w:szCs w:val="24"/>
        </w:rPr>
        <w:t>(CDC, 2016)</w:t>
      </w:r>
      <w:r w:rsidRPr="001E1BB0">
        <w:rPr>
          <w:szCs w:val="24"/>
        </w:rPr>
        <w:fldChar w:fldCharType="end"/>
      </w:r>
      <w:r w:rsidRPr="001E1BB0">
        <w:rPr>
          <w:szCs w:val="24"/>
        </w:rPr>
        <w:t>—even in countries such as the USA, where measles had been eradicated in 2000. The Strategic Advisory Group of Experts (SAGE) on Immunization recognized the global importance of vaccine hesitancy as an emerging issue prompting WHO to declare vaccine hesitancy as one of the ten biggest threats to global health in 2019</w:t>
      </w:r>
      <w:r w:rsidRPr="001E1BB0">
        <w:rPr>
          <w:szCs w:val="24"/>
        </w:rPr>
        <w:fldChar w:fldCharType="begin" w:fldLock="1"/>
      </w:r>
      <w:r w:rsidRPr="001E1BB0">
        <w:rPr>
          <w:szCs w:val="24"/>
        </w:rPr>
        <w:instrText>ADDIN CSL_CITATION {"citationItems":[{"id":"ITEM-1","itemData":{"abstract":"Unlike other medicines, vaccines work at both the individual and community level. While no vaccine \\r\\nis 100% effective, when used broadly in communities, several vaccine preventable diseases could be \\r\\neliminated and some may be eradicated. High vaccine uptake rates, specific to each vaccine \\r\\npreventable disease, are needed for community-level immunity to be achieved and sustained in order \\r\\nthat disease risk can lowered beyond what would be predicted by vaccine coverage alone. Even in \\r\\ncountries with overall high national vaccine uptake rates, there may be clustered pockets or subgroups\\r\\nwhere the rates of uptake are lower than required for protection of the community. In the past decade,\\r\\nsuch pockets have been associated with outbreaks or resurgence of measles, mumps, Haemophilus \\r\\ninfluenzae b, pertussis and polio in countries where these diseases had previously been controlled. \\r\\nAt the November 2011 meeting of the Strategic Advisory Group of Experts (SAGE) on Immunization, \\r\\nSAGE noted with concern the impact of reluctance to accept immunization on the uptake of vaccines \\r\\nreported from both developed and developing countries. These reports led SAGE to request the \\r\\nestablishment of a working group on vaccine hesitancy1\\r\\n. \\r\\n","author":[{"dropping-particle":"","family":"The SAGE Working Group","given":"","non-dropping-particle":"","parse-names":false,"suffix":""}],"container-title":"Sage Report","id":"ITEM-1","issued":{"date-parts":[["2014"]]},"title":"REPORT OF THE SAGE WORKING GROUP ON VACCINE HESITANCY","type":"webpage"},"uris":["http://www.mendeley.com/documents/?uuid=836baf5d-60f0-4653-9efc-fafbe2d75acd"]}],"mendeley":{"formattedCitation":"(The SAGE Working Group, 2014)","plainTextFormattedCitation":"(The SAGE Working Group, 2014)","previouslyFormattedCitation":"(The SAGE Working Group, 2014)"},"properties":{"noteIndex":0},"schema":"https://github.com/citation-style-language/schema/raw/master/csl-citation.json"}</w:instrText>
      </w:r>
      <w:r w:rsidRPr="001E1BB0">
        <w:rPr>
          <w:szCs w:val="24"/>
        </w:rPr>
        <w:fldChar w:fldCharType="separate"/>
      </w:r>
      <w:r w:rsidRPr="001E1BB0">
        <w:rPr>
          <w:noProof/>
          <w:szCs w:val="24"/>
        </w:rPr>
        <w:t>(The SAGE Working Group, 2014)</w:t>
      </w:r>
      <w:r w:rsidRPr="001E1BB0">
        <w:rPr>
          <w:szCs w:val="24"/>
        </w:rPr>
        <w:fldChar w:fldCharType="end"/>
      </w:r>
      <w:r w:rsidRPr="001E1BB0">
        <w:rPr>
          <w:szCs w:val="24"/>
        </w:rPr>
        <w:t xml:space="preserve">. At the November 2011 meeting, SAGE </w:t>
      </w:r>
      <w:r w:rsidRPr="001E1BB0">
        <w:rPr>
          <w:szCs w:val="24"/>
        </w:rPr>
        <w:lastRenderedPageBreak/>
        <w:t>welcomed the decision to create a working group to address this issue. The SAGE Working Group on Vaccine Hesitancy was established in March 2012 with the mandate to prepare for a SAGE review and advice on how to address vaccine hesitancy and its determinants</w:t>
      </w:r>
      <w:r w:rsidRPr="001E1BB0">
        <w:rPr>
          <w:szCs w:val="24"/>
        </w:rPr>
        <w:fldChar w:fldCharType="begin" w:fldLock="1"/>
      </w:r>
      <w:r w:rsidRPr="001E1BB0">
        <w:rPr>
          <w:szCs w:val="24"/>
        </w:rPr>
        <w:instrText>ADDIN CSL_CITATION {"citationItems":[{"id":"ITEM-1","itemData":{"abstract":"Unlike other medicines, vaccines work at both the individual and community level. While no vaccine \\r\\nis 100% effective, when used broadly in communities, several vaccine preventable diseases could be \\r\\neliminated and some may be eradicated. High vaccine uptake rates, specific to each vaccine \\r\\npreventable disease, are needed for community-level immunity to be achieved and sustained in order \\r\\nthat disease risk can lowered beyond what would be predicted by vaccine coverage alone. Even in \\r\\ncountries with overall high national vaccine uptake rates, there may be clustered pockets or subgroups\\r\\nwhere the rates of uptake are lower than required for protection of the community. In the past decade,\\r\\nsuch pockets have been associated with outbreaks or resurgence of measles, mumps, Haemophilus \\r\\ninfluenzae b, pertussis and polio in countries where these diseases had previously been controlled. \\r\\nAt the November 2011 meeting of the Strategic Advisory Group of Experts (SAGE) on Immunization, \\r\\nSAGE noted with concern the impact of reluctance to accept immunization on the uptake of vaccines \\r\\nreported from both developed and developing countries. These reports led SAGE to request the \\r\\nestablishment of a working group on vaccine hesitancy1\\r\\n. \\r\\n","author":[{"dropping-particle":"","family":"The SAGE Working Group","given":"","non-dropping-particle":"","parse-names":false,"suffix":""}],"container-title":"Sage Report","id":"ITEM-1","issued":{"date-parts":[["2014"]]},"title":"REPORT OF THE SAGE WORKING GROUP ON VACCINE HESITANCY","type":"webpage"},"uris":["http://www.mendeley.com/documents/?uuid=836baf5d-60f0-4653-9efc-fafbe2d75acd"]}],"mendeley":{"formattedCitation":"(The SAGE Working Group, 2014)","plainTextFormattedCitation":"(The SAGE Working Group, 2014)","previouslyFormattedCitation":"(The SAGE Working Group, 2014)"},"properties":{"noteIndex":0},"schema":"https://github.com/citation-style-language/schema/raw/master/csl-citation.json"}</w:instrText>
      </w:r>
      <w:r w:rsidRPr="001E1BB0">
        <w:rPr>
          <w:szCs w:val="24"/>
        </w:rPr>
        <w:fldChar w:fldCharType="separate"/>
      </w:r>
      <w:r w:rsidRPr="001E1BB0">
        <w:rPr>
          <w:noProof/>
          <w:szCs w:val="24"/>
        </w:rPr>
        <w:t>(The SAGE Working Group, 2014)</w:t>
      </w:r>
      <w:r w:rsidRPr="001E1BB0">
        <w:rPr>
          <w:szCs w:val="24"/>
        </w:rPr>
        <w:fldChar w:fldCharType="end"/>
      </w:r>
      <w:r w:rsidRPr="001E1BB0">
        <w:rPr>
          <w:szCs w:val="24"/>
        </w:rPr>
        <w:t xml:space="preserve">. Few models for vaccine hesitancy and determinant matrix was developed by the SAGE Working Group. </w:t>
      </w:r>
    </w:p>
    <w:p w14:paraId="19655BA3" w14:textId="57E0AC07" w:rsidR="000F5D9D" w:rsidRDefault="000F5D9D" w:rsidP="00E22C20">
      <w:pPr>
        <w:spacing w:line="360" w:lineRule="auto"/>
        <w:ind w:left="851" w:firstLine="360"/>
        <w:jc w:val="both"/>
        <w:rPr>
          <w:szCs w:val="24"/>
        </w:rPr>
      </w:pPr>
      <w:r w:rsidRPr="001E1BB0">
        <w:rPr>
          <w:szCs w:val="24"/>
        </w:rPr>
        <w:t xml:space="preserve">From the current research, the prevalence of VH is ranging from 6% - 30% in USA </w:t>
      </w:r>
      <w:r w:rsidRPr="001E1BB0">
        <w:rPr>
          <w:szCs w:val="24"/>
        </w:rPr>
        <w:fldChar w:fldCharType="begin" w:fldLock="1"/>
      </w:r>
      <w:r w:rsidRPr="001E1BB0">
        <w:rPr>
          <w:szCs w:val="24"/>
        </w:rPr>
        <w:instrText>ADDIN CSL_CITATION {"citationItems":[{"id":"ITEM-1","itemData":{"DOI":"10.1016/j.vaccine.2014.09.007","ISSN":"18732518","abstract":"Purpose: The success of national immunization programs depends on the public's confidence in vaccines. We sought to develop a scale for measuring confidence about adolescent vaccination in diverse populations of parents. Methods: Data came from 9623 parents who completed the 2010 National Immunization Survey-Teen, an annual, population-based telephone survey. Parents reported on a 13- to 17-year-old child in their households. We used exploratory and confirmatory factor analysis to identify latent constructs underlying parents' responses to 8 vaccination belief survey items (response scale 0-10) conceptualized using the Health Belief Model. We assessed the scale's psychometric properties overall and across demographic subgroups. Results: Parents' confidence about adolescent vaccination was generally high. Analyses provided support for three factors assessing benefits of vaccination (mean. = 8.5), harms of vaccination (mean. = 3.3), and trust in healthcare providers (mean. = 9.0). The model showed good fit both overall (comparative fit index. = 0.97) and across demographic subgroups, although internal consistency was variable for the three factors. We found lower confidence among several potentially vulnerable subpopulations, including mothers with lower levels of education and parents whose children were of Hispanic ethnicity (both p&lt;. 0.05). Conclusions: Our brief, three-factor scale offers an efficient way to measure confidence in adolescent vaccination across demographic subgroups. Given evidence of lower confidence by educational attainment and race/ethnicity, program planners should consider factors such as health literacy and cultural competence when designing interventions to promote adolescent vaccination to ensure these programs are fully accessible.","author":[{"dropping-particle":"","family":"Gilkey","given":"Melissa B.","non-dropping-particle":"","parse-names":false,"suffix":""},{"dropping-particle":"","family":"Magnus","given":"Brooke E.","non-dropping-particle":"","parse-names":false,"suffix":""},{"dropping-particle":"","family":"Reiter","given":"Paul L.","non-dropping-particle":"","parse-names":false,"suffix":""},{"dropping-particle":"","family":"McRee","given":"Annie Laurie","non-dropping-particle":"","parse-names":false,"suffix":""},{"dropping-particle":"","family":"Dempsey","given":"Amanda F.","non-dropping-particle":"","parse-names":false,"suffix":""},{"dropping-particle":"","family":"Brewer","given":"Noel T.","non-dropping-particle":"","parse-names":false,"suffix":""}],"container-title":"Vaccine","id":"ITEM-1","issued":{"date-parts":[["2014"]]},"title":"The Vaccination Confidence Scale: A brief measure of parents' vaccination beliefs","type":"article-journal"},"uris":["http://www.mendeley.com/documents/?uuid=6517c73c-3709-445a-9193-5cb36b67dbf5"]}],"mendeley":{"formattedCitation":"(Gilkey et al., 2014)","plainTextFormattedCitation":"(Gilkey et al., 2014)","previouslyFormattedCitation":"(Gilkey et al., 2014)"},"properties":{"noteIndex":0},"schema":"https://github.com/citation-style-language/schema/raw/master/csl-citation.json"}</w:instrText>
      </w:r>
      <w:r w:rsidRPr="001E1BB0">
        <w:rPr>
          <w:szCs w:val="24"/>
        </w:rPr>
        <w:fldChar w:fldCharType="separate"/>
      </w:r>
      <w:r w:rsidRPr="001E1BB0">
        <w:rPr>
          <w:noProof/>
          <w:szCs w:val="24"/>
        </w:rPr>
        <w:t>(Gilkey et al., 2014)</w:t>
      </w:r>
      <w:r w:rsidRPr="001E1BB0">
        <w:rPr>
          <w:szCs w:val="24"/>
        </w:rPr>
        <w:fldChar w:fldCharType="end"/>
      </w:r>
      <w:r w:rsidRPr="001E1BB0">
        <w:rPr>
          <w:szCs w:val="24"/>
        </w:rPr>
        <w:t xml:space="preserve"> </w:t>
      </w:r>
      <w:r w:rsidRPr="001E1BB0">
        <w:rPr>
          <w:szCs w:val="24"/>
        </w:rPr>
        <w:fldChar w:fldCharType="begin" w:fldLock="1"/>
      </w:r>
      <w:r w:rsidRPr="001E1BB0">
        <w:rPr>
          <w:szCs w:val="24"/>
        </w:rPr>
        <w:instrText>ADDIN CSL_CITATION {"citationItems":[{"id":"ITEM-1","itemData":{"DOI":"10.4161/hv.7.4.14120","author":[{"dropping-particle":"","family":"Opel","given":"Douglas J","non-dropping-particle":"","parse-names":false,"suffix":""},{"dropping-particle":"","family":"Mangione-smith","given":"Rita","non-dropping-particle":"","parse-names":false,"suffix":""},{"dropping-particle":"","family":"Taylor","given":"James A","non-dropping-particle":"","parse-names":false,"suffix":""},{"dropping-particle":"","family":"Korfiatis","given":"Carolyn","non-dropping-particle":"","parse-names":false,"suffix":""},{"dropping-particle":"","family":"Wiese","given":"Cheryl","non-dropping-particle":"","parse-names":false,"suffix":""},{"dropping-particle":"","family":"Catz","given":"Sheryl","non-dropping-particle":"","parse-names":false,"suffix":""},{"dropping-particle":"","family":"Martin","given":"Diane P","non-dropping-particle":"","parse-names":false,"suffix":""},{"dropping-particle":"","family":"Opel","given":"Douglas J","non-dropping-particle":"","parse-names":false,"suffix":""},{"dropping-particle":"","family":"Mangione-smith","given":"Rita","non-dropping-particle":"","parse-names":false,"suffix":""},{"dropping-particle":"","family":"Taylor","given":"James A","non-dropping-particle":"","parse-names":false,"suffix":""},{"dropping-particle":"","family":"Korfiatis","given":"Carolyn","non-dropping-particle":"","parse-names":false,"suffix":""},{"dropping-particle":"","family":"Wiese","given":"Cheryl","non-dropping-particle":"","parse-names":false,"suffix":""},{"dropping-particle":"","family":"Catz","given":"Sheryl","non-dropping-particle":"","parse-names":false,"suffix":""},{"dropping-particle":"","family":"Martin","given":"Diane P","non-dropping-particle":"","parse-names":false,"suffix":""},{"dropping-particle":"","family":"Martin","given":"Diane P","non-dropping-particle":"","parse-names":false,"suffix":""}],"id":"ITEM-1","issued":{"date-parts":[["2011"]]},"title":"The Parent Attitudes about Childhood Vaccines survey a n d e s i o s c i e n c e o n o t d i s t r i b u t e","type":"article-journal","volume":"8600"},"uris":["http://www.mendeley.com/documents/?uuid=19489e18-d46e-4c68-9a91-44a398e43234"]}],"mendeley":{"formattedCitation":"(Opel, Mangione-smith, et al., 2011)","plainTextFormattedCitation":"(Opel, Mangione-smith, et al., 2011)","previouslyFormattedCitation":"(Opel, Mangione-smith, et al., 2011)"},"properties":{"noteIndex":0},"schema":"https://github.com/citation-style-language/schema/raw/master/csl-citation.json"}</w:instrText>
      </w:r>
      <w:r w:rsidRPr="001E1BB0">
        <w:rPr>
          <w:szCs w:val="24"/>
        </w:rPr>
        <w:fldChar w:fldCharType="separate"/>
      </w:r>
      <w:r w:rsidRPr="001E1BB0">
        <w:rPr>
          <w:noProof/>
          <w:szCs w:val="24"/>
        </w:rPr>
        <w:t>(Opel, Mangione-smith, et al., 2011)</w:t>
      </w:r>
      <w:r w:rsidRPr="001E1BB0">
        <w:rPr>
          <w:szCs w:val="24"/>
        </w:rPr>
        <w:fldChar w:fldCharType="end"/>
      </w:r>
      <w:r w:rsidRPr="001E1BB0">
        <w:rPr>
          <w:szCs w:val="24"/>
        </w:rPr>
        <w:t xml:space="preserve"> </w:t>
      </w:r>
      <w:r w:rsidRPr="001E1BB0">
        <w:rPr>
          <w:szCs w:val="24"/>
        </w:rPr>
        <w:fldChar w:fldCharType="begin" w:fldLock="1"/>
      </w:r>
      <w:r w:rsidR="00854604">
        <w:rPr>
          <w:szCs w:val="24"/>
        </w:rPr>
        <w:instrText>ADDIN CSL_CITATION {"citationItems":[{"id":"ITEM-1","itemData":{"DOI":"10.1016/j.vaccine.2011.06.115","ISSN":"0264410X","abstract":"Objective: To assess the construct validity and reliability of the Parent Attitudes about Childhood Vaccines survey. Study Design: Cross-sectional survey of parents of 19-35. month old children in a closed model HMO. We used factor analysis to confirm survey sub-domains and Cronbach's α to determine the internal consistency reliability of sub-domain scales. Construct validity was assessed by linking parental responses to their child's immunization record. Results: Our response rate was 46% (N=230). Factor analysis identified 3 factors that explained 70% of the total variance for the 18 survey items. We deleted 3 items that failed to load highly (&gt;4) on an identified factor, correlated poorly with other items, or had a hesitant response that was not associated with increased under-immunization. Cronbach's α coefficients for the 3 sub-domain scales created by grouping the remaining 15 items were .74, .84, and .74, respectively. Children of parents with survey scores of 50-79 had 14% more days under-immunized from birth to 19. months (95% CI: 8.0, 20.5) than those with parents who scored &lt;50. Scores of ≥80 were associated with 51% more days under-immunized (95% CI: 38.2, 63.4). Conclusion: The revised survey is a valid and reliable instrument to identify vaccine-hesitant parents. © 2011 Elsevier Ltd.","author":[{"dropping-particle":"","family":"Opel","given":"Douglas J.","non-dropping-particle":"","parse-names":false,"suffix":""},{"dropping-particle":"","family":"Taylor","given":"James A.","non-dropping-particle":"","parse-names":false,"suffix":""},{"dropping-particle":"","family":"Mangione-Smith","given":"Rita","non-dropping-particle":"","parse-names":false,"suffix":""},{"dropping-particle":"","family":"Solomon","given":"Cam","non-dropping-particle":"","parse-names":false,"suffix":""},{"dropping-particle":"","family":"Zhao","given":"Chuan","non-dropping-particle":"","parse-names":false,"suffix":""},{"dropping-particle":"","family":"Catz","given":"Sheryl","non-dropping-particle":"","parse-names":false,"suffix":""},{"dropping-particle":"","family":"Martin","given":"Diane","non-dropping-particle":"","parse-names":false,"suffix":""}],"container-title":"Vaccine","id":"ITEM-1","issue":"38","issued":{"date-parts":[["2011","9","2"]]},"page":"6598-6605","title":"Validity and reliability of a survey to identify vaccine-hesitant parents","type":"article-journal","volume":"29"},"uris":["http://www.mendeley.com/documents/?uuid=16243e85-7b06-4e73-9560-006a549d5ede"]}],"mendeley":{"formattedCitation":"(Opel, Taylor, et al., 2011)","plainTextFormattedCitation":"(Opel, Taylor, et al., 2011)","previouslyFormattedCitation":"(Opel, Taylor, et al., 2011)"},"properties":{"noteIndex":0},"schema":"https://github.com/citation-style-language/schema/raw/master/csl-citation.json"}</w:instrText>
      </w:r>
      <w:r w:rsidRPr="001E1BB0">
        <w:rPr>
          <w:szCs w:val="24"/>
        </w:rPr>
        <w:fldChar w:fldCharType="separate"/>
      </w:r>
      <w:r w:rsidRPr="001E1BB0">
        <w:rPr>
          <w:noProof/>
          <w:szCs w:val="24"/>
        </w:rPr>
        <w:t>(Opel, Taylor, et al., 2011)</w:t>
      </w:r>
      <w:r w:rsidRPr="001E1BB0">
        <w:rPr>
          <w:szCs w:val="24"/>
        </w:rPr>
        <w:fldChar w:fldCharType="end"/>
      </w:r>
      <w:r w:rsidRPr="001E1BB0">
        <w:rPr>
          <w:szCs w:val="24"/>
        </w:rPr>
        <w:t xml:space="preserve">. In Malaysia, the prevalence rate is 11.6% according to a study done in urban health clinic in Kuala Lumpur </w:t>
      </w:r>
      <w:r w:rsidRPr="001E1BB0">
        <w:rPr>
          <w:szCs w:val="24"/>
        </w:rPr>
        <w:fldChar w:fldCharType="begin" w:fldLock="1"/>
      </w:r>
      <w:r w:rsidR="00854604">
        <w:rPr>
          <w:szCs w:val="24"/>
        </w:rPr>
        <w:instrText>ADDIN CSL_CITATION {"citationItems":[{"id":"ITEM-1","itemData":{"DOI":"10.1016/j.vaccine.2017.04.010","ISSN":"18732518","abstract":"Background Vaccine hesitancy is a threat in combating vaccine-preventable diseases. It has been studied extensively in the Western countries but not so among Asian countries. Objectives To assess the test-retest reliability of the Parent Attitudes about Childhood Vaccines (PACV) questionnaire in Malay language; to determine the prevalence of vaccine hesitancy among parents and its associations with parents’ socio-demographic characteristics. Methods Forward and backward translation of PACV in Malay language was carried out. The reliability of the Malay-PACV questionnaire was tested among parents with children. The same questionnaire was used to study vaccine hesitancy among parents in a tertiary hospital in Kuala Lumpur. Information pertaining to socio-demographic characteristics, sources of information regarding vaccination and vaccine hesitancy were collected. Associations between vaccine hesitancy with socio-demographic factors were tested using Multivariable Logistic Regression. Results The Spearman correlation coefficient and Cronbach alpha for total PACV was 0.79 (p &lt; 0.001) and 0.79 respectively. The intra-class correlation coefficients of the subscales ranged from 0.54 to 0.90 demonstrating fair to excellent reliability. A total of 63 (11.6%) parents were noted to be vaccine hesitant. In the univariate analyses, vaccine hesitancy was associated with unemployed parents, parents who were younger, had fewer children and non-Muslim. In the multivariate model, pregnant mothers expecting their first child were four times more likely to be vaccine hesitant compared to those who already had one or more children (aOR: 3.91, 95% CI: 1.74–8.79) and unemployed parents were also more likely to be vaccine hesitant (aOR: 1.97, 95% CI: 1.08–3.59). The internet (65.6%) was the main source of information on vaccination followed by brochures (56.9%). Conclusion The Malay-PACV questionnaire is reliable to be used. The prevalence of vaccine hesitancy among the multi-ethnic Malaysians was comparable with other populations. Pregnant mothers expecting their first child and unemployed parents were found to be more vaccine hesitant.","author":[{"dropping-particle":"","family":"Mohd Azizi","given":"Fatin Shaheera","non-dropping-particle":"","parse-names":false,"suffix":""},{"dropping-particle":"","family":"Kew","given":"Yueting","non-dropping-particle":"","parse-names":false,"suffix":""},{"dropping-particle":"","family":"Moy","given":"Foong Ming","non-dropping-particle":"","parse-names":false,"suffix":""},{"dropping-particle":"","family":"Shaheera","given":"Fatin","non-dropping-particle":"","parse-names":false,"suffix":""},{"dropping-particle":"","family":"Azizi","given":"Mohd","non-dropping-particle":"","parse-names":false,"suffix":""},{"dropping-particle":"","family":"Kew","given":"Yueting","non-dropping-particle":"","parse-names":false,"suffix":""},{"dropping-particle":"","family":"Moy","given":"Foong Ming","non-dropping-particle":"","parse-names":false,"suffix":""}],"container-title":"Vaccine","id":"ITEM-1","issued":{"date-parts":[["2017"]]},"publisher":"Elsevier Ltd","title":"Vaccine hesitancy among parents in a multi-ethnic country, Malaysia","type":"article-journal"},"uris":["http://www.mendeley.com/documents/?uuid=37f58879-825a-4717-a2ab-2d83ffb296f4"]}],"mendeley":{"formattedCitation":"(Mohd Azizi et al., 2017)","plainTextFormattedCitation":"(Mohd Azizi et al., 2017)","previouslyFormattedCitation":"(Mohd Azizi et al., 2017)"},"properties":{"noteIndex":0},"schema":"https://github.com/citation-style-language/schema/raw/master/csl-citation.json"}</w:instrText>
      </w:r>
      <w:r w:rsidRPr="001E1BB0">
        <w:rPr>
          <w:szCs w:val="24"/>
        </w:rPr>
        <w:fldChar w:fldCharType="separate"/>
      </w:r>
      <w:r w:rsidR="00854604" w:rsidRPr="00854604">
        <w:rPr>
          <w:noProof/>
          <w:szCs w:val="24"/>
        </w:rPr>
        <w:t>(Mohd Azizi et al., 2017)</w:t>
      </w:r>
      <w:r w:rsidRPr="001E1BB0">
        <w:rPr>
          <w:szCs w:val="24"/>
        </w:rPr>
        <w:fldChar w:fldCharType="end"/>
      </w:r>
      <w:r w:rsidRPr="001E1BB0">
        <w:rPr>
          <w:szCs w:val="24"/>
        </w:rPr>
        <w:t xml:space="preserve">. However, rates of vaccine VHP among the subpopulation of children with ASD have not been fully investigated. According to a study </w:t>
      </w:r>
      <w:r w:rsidRPr="001E1BB0">
        <w:rPr>
          <w:szCs w:val="24"/>
        </w:rPr>
        <w:fldChar w:fldCharType="begin" w:fldLock="1"/>
      </w:r>
      <w:r w:rsidRPr="001E1BB0">
        <w:rPr>
          <w:szCs w:val="24"/>
        </w:rPr>
        <w:instrText>ADDIN CSL_CITATION {"citationItems":[{"id":"ITEM-1","itemData":{"DOI":"10.1001/jamapediatrics.2018.0082","ISSN":"21686203","abstract":"IMPORTANCE In recent years, rates of vaccination have been declining. Whether this phenomenon disproportionately affects children with autism spectrum disorder (ASD) or their younger siblings is unknown. OBJECTIVES To investigate if children after receiving an ASD diagnosis obtain their remaining scheduled vaccines according to the Advisory Committee on Immunization Practices (ACIP) recommendations and to compare the vaccination patterns of younger siblings of children with ASD with the vaccination patterns of younger siblings of children without ASD. DESIGN, SETTING, AND PARTICIPANTS This investigationwas a retrospective matched cohort study. The setting was 6 integrated health care delivery systems across the United States within the Vaccine Safety Datalink. Participants were children born between January 1, 1995, and September 30, 2010, and their younger siblings born between January 1, 1997, and September 30, 2014. The end of follow-up was September 30, 2015. EXPOSURES Recommended childhood vaccines between ages 1 month and 12 years. MAIN OUTCOME AND MEASURE The proportion of children who received all of their vaccine doses according to ACIP recommendations. RESULTS The study included 3729 children with ASD (676 [18.1%] female), 592 907 children without ASD, and their respective younger siblings. Among children without ASD, 250 193 (42.2%) were female. For vaccines recommended between ages 4 and 6 years, children with ASD were significantly less likely to be fully vaccinated compared with children without ASD (adjusted rate ratio, 0.87; 95%CI, 0.85-0.88). Within each age category, vaccination rates were significantly lower among younger siblings of children with ASD compared with younger siblings of children without ASD. The adjusted rate ratios varied from 0.86 for siblings younger than 1 year to 0.96 for those 11 to 12 years old. Parents who had a child with ASD were more likely to refuse at least 1 recommended vaccine for that child's younger sibling and to limit the number of vaccines administered during the younger sibling's first year of life. CONCLUSIONS AND RELEVANCE Children with ASD and their younger siblings were undervaccinated compared with the general population. The results of this study suggest that children with ASD and their younger siblings are at increased risk of vaccine-preventable diseases.","author":[{"dropping-particle":"","family":"Zerbo","given":"Ousseny","non-dropping-particle":"","parse-names":false,"suffix":""},{"dropping-particle":"","family":"Modaressi","given":"Sharareh","non-dropping-particle":"","parse-names":false,"suffix":""},{"dropping-particle":"","family":"Goddard","given":"Kristin","non-dropping-particle":"","parse-names":false,"suffix":""},{"dropping-particle":"","family":"Lewis","given":"Edwin","non-dropping-particle":"","parse-names":false,"suffix":""},{"dropping-particle":"","family":"Fireman","given":"Bruce H.","non-dropping-particle":"","parse-names":false,"suffix":""},{"dropping-particle":"","family":"Daley","given":"Matthew F.","non-dropping-particle":"","parse-names":false,"suffix":""},{"dropping-particle":"","family":"Irving","given":"Stephanie A.","non-dropping-particle":"","parse-names":false,"suffix":""},{"dropping-particle":"","family":"Jackson","given":"Lisa A.","non-dropping-particle":"","parse-names":false,"suffix":""},{"dropping-particle":"","family":"Donahue","given":"James G.","non-dropping-particle":"","parse-names":false,"suffix":""},{"dropping-particle":"","family":"Qian","given":"Lei","non-dropping-particle":"","parse-names":false,"suffix":""},{"dropping-particle":"","family":"Getahun","given":"Darios","non-dropping-particle":"","parse-names":false,"suffix":""},{"dropping-particle":"","family":"DeStefano","given":"Frank","non-dropping-particle":"","parse-names":false,"suffix":""},{"dropping-particle":"","family":"McNeil","given":"Michael M.","non-dropping-particle":"","parse-names":false,"suffix":""},{"dropping-particle":"","family":"Klein","given":"Nicola P.","non-dropping-particle":"","parse-names":false,"suffix":""}],"container-title":"JAMA Pediatrics","id":"ITEM-1","issued":{"date-parts":[["2018"]]},"title":"Vaccination patterns in children after autism spectrum disorder diagnosis and in their younger siblings","type":"article-journal"},"uris":["http://www.mendeley.com/documents/?uuid=ea85f16e-3065-4dbb-8ee7-fa562ab2995b"]}],"mendeley":{"formattedCitation":"(Zerbo et al., 2018)","plainTextFormattedCitation":"(Zerbo et al., 2018)","previouslyFormattedCitation":"(Zerbo et al., 2018)"},"properties":{"noteIndex":0},"schema":"https://github.com/citation-style-language/schema/raw/master/csl-citation.json"}</w:instrText>
      </w:r>
      <w:r w:rsidRPr="001E1BB0">
        <w:rPr>
          <w:szCs w:val="24"/>
        </w:rPr>
        <w:fldChar w:fldCharType="separate"/>
      </w:r>
      <w:r w:rsidRPr="001E1BB0">
        <w:rPr>
          <w:noProof/>
          <w:szCs w:val="24"/>
        </w:rPr>
        <w:t>(Zerbo et al., 2018)</w:t>
      </w:r>
      <w:r w:rsidRPr="001E1BB0">
        <w:rPr>
          <w:szCs w:val="24"/>
        </w:rPr>
        <w:fldChar w:fldCharType="end"/>
      </w:r>
      <w:r w:rsidRPr="001E1BB0">
        <w:rPr>
          <w:szCs w:val="24"/>
        </w:rPr>
        <w:t xml:space="preserve"> conducted in USA, researchers found that vaccine uptake was high, but following an ASD diagnosis, children including siblings of those with ASD were less likely to be vaccinated.</w:t>
      </w:r>
      <w:r w:rsidRPr="005A79C9">
        <w:rPr>
          <w:szCs w:val="24"/>
        </w:rPr>
        <w:t xml:space="preserve"> </w:t>
      </w:r>
    </w:p>
    <w:p w14:paraId="37820E81" w14:textId="77777777" w:rsidR="00E22C20" w:rsidRPr="005A79C9" w:rsidRDefault="00E22C20" w:rsidP="00E22C20">
      <w:pPr>
        <w:spacing w:line="360" w:lineRule="auto"/>
        <w:ind w:left="851" w:firstLine="360"/>
        <w:jc w:val="both"/>
        <w:rPr>
          <w:szCs w:val="24"/>
        </w:rPr>
      </w:pPr>
    </w:p>
    <w:p w14:paraId="60794891" w14:textId="77777777" w:rsidR="000F5D9D" w:rsidRPr="0003330D" w:rsidRDefault="000F5D9D" w:rsidP="00E22C20">
      <w:pPr>
        <w:pStyle w:val="Heading2"/>
        <w:numPr>
          <w:ilvl w:val="1"/>
          <w:numId w:val="1"/>
        </w:numPr>
        <w:spacing w:line="360" w:lineRule="auto"/>
        <w:ind w:left="851"/>
        <w:jc w:val="both"/>
        <w:rPr>
          <w:rFonts w:ascii="Times New Roman" w:hAnsi="Times New Roman" w:cs="Times New Roman"/>
          <w:b/>
          <w:bCs/>
          <w:color w:val="auto"/>
          <w:sz w:val="24"/>
          <w:szCs w:val="24"/>
        </w:rPr>
      </w:pPr>
      <w:bookmarkStart w:id="3" w:name="_Toc31400944"/>
      <w:r w:rsidRPr="0003330D">
        <w:rPr>
          <w:rFonts w:ascii="Times New Roman" w:hAnsi="Times New Roman" w:cs="Times New Roman"/>
          <w:b/>
          <w:bCs/>
          <w:color w:val="auto"/>
          <w:sz w:val="24"/>
          <w:szCs w:val="24"/>
        </w:rPr>
        <w:t>Research tool and instrument</w:t>
      </w:r>
      <w:bookmarkEnd w:id="3"/>
    </w:p>
    <w:p w14:paraId="27E1C00A" w14:textId="38532DEA" w:rsidR="000F5D9D" w:rsidRPr="005A79C9" w:rsidRDefault="000F5D9D" w:rsidP="00E22C20">
      <w:pPr>
        <w:spacing w:line="360" w:lineRule="auto"/>
        <w:ind w:left="851" w:firstLine="360"/>
        <w:jc w:val="both"/>
        <w:rPr>
          <w:szCs w:val="24"/>
          <w:highlight w:val="red"/>
        </w:rPr>
      </w:pPr>
      <w:r w:rsidRPr="005A79C9">
        <w:rPr>
          <w:szCs w:val="24"/>
        </w:rPr>
        <w:t xml:space="preserve">The study tool is the Malay version of the Parent Attitudes about Childhood Vaccines (PACV) questionnaire. It is developed in 2011 by Douglas J Opel et al </w:t>
      </w:r>
      <w:r w:rsidRPr="005A79C9">
        <w:rPr>
          <w:szCs w:val="24"/>
        </w:rPr>
        <w:fldChar w:fldCharType="begin" w:fldLock="1"/>
      </w:r>
      <w:r w:rsidRPr="005A79C9">
        <w:rPr>
          <w:szCs w:val="24"/>
        </w:rPr>
        <w:instrText>ADDIN CSL_CITATION {"citationItems":[{"id":"ITEM-1","itemData":{"DOI":"10.4161/hv.7.4.14120","author":[{"dropping-particle":"","family":"Opel","given":"Douglas J","non-dropping-particle":"","parse-names":false,"suffix":""},{"dropping-particle":"","family":"Mangione-smith","given":"Rita","non-dropping-particle":"","parse-names":false,"suffix":""},{"dropping-particle":"","family":"Taylor","given":"James A","non-dropping-particle":"","parse-names":false,"suffix":""},{"dropping-particle":"","family":"Korfiatis","given":"Carolyn","non-dropping-particle":"","parse-names":false,"suffix":""},{"dropping-particle":"","family":"Wiese","given":"Cheryl","non-dropping-particle":"","parse-names":false,"suffix":""},{"dropping-particle":"","family":"Catz","given":"Sheryl","non-dropping-particle":"","parse-names":false,"suffix":""},{"dropping-particle":"","family":"Martin","given":"Diane P","non-dropping-particle":"","parse-names":false,"suffix":""},{"dropping-particle":"","family":"Opel","given":"Douglas J","non-dropping-particle":"","parse-names":false,"suffix":""},{"dropping-particle":"","family":"Mangione-smith","given":"Rita","non-dropping-particle":"","parse-names":false,"suffix":""},{"dropping-particle":"","family":"Taylor","given":"James A","non-dropping-particle":"","parse-names":false,"suffix":""},{"dropping-particle":"","family":"Korfiatis","given":"Carolyn","non-dropping-particle":"","parse-names":false,"suffix":""},{"dropping-particle":"","family":"Wiese","given":"Cheryl","non-dropping-particle":"","parse-names":false,"suffix":""},{"dropping-particle":"","family":"Catz","given":"Sheryl","non-dropping-particle":"","parse-names":false,"suffix":""},{"dropping-particle":"","family":"Martin","given":"Diane P","non-dropping-particle":"","parse-names":false,"suffix":""},{"dropping-particle":"","family":"Martin","given":"Diane P","non-dropping-particle":"","parse-names":false,"suffix":""}],"id":"ITEM-1","issued":{"date-parts":[["2011"]]},"title":"The Parent Attitudes about Childhood Vaccines survey a n d e s i o s c i e n c e o n o t d i s t r i b u t e","type":"article-journal","volume":"8600"},"uris":["http://www.mendeley.com/documents/?uuid=19489e18-d46e-4c68-9a91-44a398e43234"]}],"mendeley":{"formattedCitation":"(Opel, Mangione-smith, et al., 2011)","plainTextFormattedCitation":"(Opel, Mangione-smith, et al., 2011)","previouslyFormattedCitation":"(Opel, Mangione-smith, et al., 2011)"},"properties":{"noteIndex":0},"schema":"https://github.com/citation-style-language/schema/raw/master/csl-citation.json"}</w:instrText>
      </w:r>
      <w:r w:rsidRPr="005A79C9">
        <w:rPr>
          <w:szCs w:val="24"/>
        </w:rPr>
        <w:fldChar w:fldCharType="separate"/>
      </w:r>
      <w:r w:rsidRPr="005A79C9">
        <w:rPr>
          <w:noProof/>
          <w:szCs w:val="24"/>
        </w:rPr>
        <w:t>(Opel, Mangione-smith, et al., 2011)</w:t>
      </w:r>
      <w:r w:rsidRPr="005A79C9">
        <w:rPr>
          <w:szCs w:val="24"/>
        </w:rPr>
        <w:fldChar w:fldCharType="end"/>
      </w:r>
      <w:r w:rsidRPr="005A79C9">
        <w:rPr>
          <w:szCs w:val="24"/>
        </w:rPr>
        <w:t xml:space="preserve">. It is translated and validated in Malay version by </w:t>
      </w:r>
      <w:proofErr w:type="spellStart"/>
      <w:r w:rsidRPr="005A79C9">
        <w:rPr>
          <w:szCs w:val="24"/>
        </w:rPr>
        <w:t>Haizlene</w:t>
      </w:r>
      <w:proofErr w:type="spellEnd"/>
      <w:r w:rsidRPr="005A79C9">
        <w:rPr>
          <w:szCs w:val="24"/>
        </w:rPr>
        <w:t xml:space="preserve"> et al </w:t>
      </w:r>
      <w:r w:rsidRPr="005A79C9">
        <w:rPr>
          <w:szCs w:val="24"/>
        </w:rPr>
        <w:fldChar w:fldCharType="begin" w:fldLock="1"/>
      </w:r>
      <w:r w:rsidRPr="005A79C9">
        <w:rPr>
          <w:szCs w:val="24"/>
        </w:rPr>
        <w:instrText>ADDIN CSL_CITATION {"citationItems":[{"id":"ITEM-1","itemData":{"DOI":"10.1080/21645515.2019.1674112","ISBN":"0000000159","ISSN":"2164-5515","author":[{"dropping-particle":"","family":"Halim","given":"Haizlene Abd","non-dropping-particle":"","parse-names":false,"suffix":""},{"dropping-particle":"","family":"Abdul-razak","given":"Suraya","non-dropping-particle":"","parse-names":false,"suffix":""},{"dropping-particle":"","family":"Yasin","given":"Mazapuspavina","non-dropping-particle":"","parse-names":false,"suffix":""},{"dropping-particle":"","family":"Isa","given":"Mohamad Rodi","non-dropping-particle":"","parse-names":false,"suffix":""}],"container-title":"Human Vaccines &amp; Immunotherapeutics","id":"ITEM-1","issue":"0","issued":{"date-parts":[["2019"]]},"page":"1-32","publisher":"Taylor &amp; Francis","title":"Validation study of the Parent Attitudes About Childhood Vaccines (PACV) questionnaire: The Malay version","type":"article-journal","volume":"0"},"uris":["http://www.mendeley.com/documents/?uuid=945b5f16-ad50-4225-b7e2-3a18899e43a8"]}],"mendeley":{"formattedCitation":"(Halim, Abdul-razak, Yasin, &amp; Isa, 2019)","plainTextFormattedCitation":"(Halim, Abdul-razak, Yasin, &amp; Isa, 2019)","previouslyFormattedCitation":"(Halim, Abdul-razak, Yasin, &amp; Isa, 2019)"},"properties":{"noteIndex":0},"schema":"https://github.com/citation-style-language/schema/raw/master/csl-citation.json"}</w:instrText>
      </w:r>
      <w:r w:rsidRPr="005A79C9">
        <w:rPr>
          <w:szCs w:val="24"/>
        </w:rPr>
        <w:fldChar w:fldCharType="separate"/>
      </w:r>
      <w:r w:rsidRPr="005A79C9">
        <w:rPr>
          <w:noProof/>
          <w:szCs w:val="24"/>
        </w:rPr>
        <w:t>(Halim, Abdul-razak, Yasin, &amp; Isa, 2019)</w:t>
      </w:r>
      <w:r w:rsidRPr="005A79C9">
        <w:rPr>
          <w:szCs w:val="24"/>
        </w:rPr>
        <w:fldChar w:fldCharType="end"/>
      </w:r>
      <w:r w:rsidRPr="005A79C9">
        <w:rPr>
          <w:szCs w:val="24"/>
        </w:rPr>
        <w:t>. It contains 12-items questionnaire with three factor domains – “</w:t>
      </w:r>
      <w:proofErr w:type="spellStart"/>
      <w:r w:rsidRPr="005A79C9">
        <w:rPr>
          <w:szCs w:val="24"/>
        </w:rPr>
        <w:t>Behavior</w:t>
      </w:r>
      <w:proofErr w:type="spellEnd"/>
      <w:r w:rsidRPr="005A79C9">
        <w:rPr>
          <w:szCs w:val="24"/>
        </w:rPr>
        <w:t xml:space="preserve">”, “Safety and efficacy”, and “Schedule and immunity”. The aim of this questionnaire is to identify vaccine-hesitant parents, and assess their </w:t>
      </w:r>
      <w:r w:rsidR="00DE2892" w:rsidRPr="005A79C9">
        <w:rPr>
          <w:szCs w:val="24"/>
        </w:rPr>
        <w:t>behaviour</w:t>
      </w:r>
      <w:r w:rsidRPr="005A79C9">
        <w:rPr>
          <w:szCs w:val="24"/>
        </w:rPr>
        <w:t xml:space="preserve"> and concerns about childhood vaccines.</w:t>
      </w:r>
      <w:r>
        <w:rPr>
          <w:szCs w:val="24"/>
        </w:rPr>
        <w:t xml:space="preserve"> </w:t>
      </w:r>
      <w:r w:rsidRPr="005A79C9">
        <w:rPr>
          <w:szCs w:val="24"/>
        </w:rPr>
        <w:t>The details regarding the development of this questionnaire will be described in section 3.7.</w:t>
      </w:r>
    </w:p>
    <w:p w14:paraId="1A90FF8D" w14:textId="51F44F94" w:rsidR="000F5D9D" w:rsidRDefault="000F5D9D" w:rsidP="00E22C20">
      <w:pPr>
        <w:spacing w:line="360" w:lineRule="auto"/>
        <w:ind w:left="851"/>
        <w:jc w:val="both"/>
        <w:rPr>
          <w:szCs w:val="24"/>
          <w:highlight w:val="red"/>
        </w:rPr>
      </w:pPr>
    </w:p>
    <w:p w14:paraId="249DB7FC" w14:textId="655D0187" w:rsidR="00E22C20" w:rsidRDefault="00E22C20" w:rsidP="00E22C20">
      <w:pPr>
        <w:spacing w:line="360" w:lineRule="auto"/>
        <w:ind w:left="851"/>
        <w:jc w:val="both"/>
        <w:rPr>
          <w:szCs w:val="24"/>
          <w:highlight w:val="red"/>
        </w:rPr>
      </w:pPr>
    </w:p>
    <w:p w14:paraId="3C109254" w14:textId="64D1ACCF" w:rsidR="00E22C20" w:rsidRDefault="00E22C20" w:rsidP="00E22C20">
      <w:pPr>
        <w:spacing w:line="360" w:lineRule="auto"/>
        <w:ind w:left="851"/>
        <w:jc w:val="both"/>
        <w:rPr>
          <w:szCs w:val="24"/>
          <w:highlight w:val="red"/>
        </w:rPr>
      </w:pPr>
    </w:p>
    <w:p w14:paraId="5ADF7CFB" w14:textId="77777777" w:rsidR="00E22C20" w:rsidRPr="005A79C9" w:rsidRDefault="00E22C20" w:rsidP="00E22C20">
      <w:pPr>
        <w:spacing w:line="360" w:lineRule="auto"/>
        <w:ind w:left="851"/>
        <w:jc w:val="both"/>
        <w:rPr>
          <w:szCs w:val="24"/>
          <w:highlight w:val="red"/>
        </w:rPr>
      </w:pPr>
    </w:p>
    <w:p w14:paraId="47A87560" w14:textId="77777777" w:rsidR="000F5D9D" w:rsidRPr="0003330D" w:rsidRDefault="000F5D9D" w:rsidP="00E22C20">
      <w:pPr>
        <w:pStyle w:val="Heading2"/>
        <w:numPr>
          <w:ilvl w:val="1"/>
          <w:numId w:val="2"/>
        </w:numPr>
        <w:tabs>
          <w:tab w:val="left" w:pos="425"/>
        </w:tabs>
        <w:spacing w:line="360" w:lineRule="auto"/>
        <w:ind w:left="851"/>
        <w:jc w:val="both"/>
        <w:rPr>
          <w:rFonts w:ascii="Times New Roman" w:hAnsi="Times New Roman" w:cs="Times New Roman"/>
          <w:b/>
          <w:bCs/>
          <w:color w:val="auto"/>
          <w:sz w:val="24"/>
          <w:szCs w:val="24"/>
        </w:rPr>
      </w:pPr>
      <w:bookmarkStart w:id="4" w:name="_Toc31400945"/>
      <w:r w:rsidRPr="0003330D">
        <w:rPr>
          <w:rFonts w:ascii="Times New Roman" w:hAnsi="Times New Roman" w:cs="Times New Roman"/>
          <w:b/>
          <w:bCs/>
          <w:color w:val="auto"/>
          <w:sz w:val="24"/>
          <w:szCs w:val="24"/>
        </w:rPr>
        <w:lastRenderedPageBreak/>
        <w:t>Problem Statement</w:t>
      </w:r>
      <w:bookmarkEnd w:id="4"/>
      <w:r w:rsidRPr="0003330D">
        <w:rPr>
          <w:rFonts w:ascii="Times New Roman" w:hAnsi="Times New Roman" w:cs="Times New Roman"/>
          <w:b/>
          <w:bCs/>
          <w:color w:val="auto"/>
          <w:sz w:val="24"/>
          <w:szCs w:val="24"/>
        </w:rPr>
        <w:t xml:space="preserve"> </w:t>
      </w:r>
    </w:p>
    <w:p w14:paraId="306AFB8F" w14:textId="77777777" w:rsidR="00E22C20" w:rsidRDefault="000F5D9D" w:rsidP="00E22C20">
      <w:pPr>
        <w:pStyle w:val="ListParagraph"/>
        <w:numPr>
          <w:ilvl w:val="0"/>
          <w:numId w:val="4"/>
        </w:numPr>
        <w:spacing w:before="100" w:beforeAutospacing="1" w:after="100" w:afterAutospacing="1" w:line="360" w:lineRule="auto"/>
        <w:ind w:left="1015" w:hanging="164"/>
        <w:jc w:val="both"/>
        <w:rPr>
          <w:szCs w:val="24"/>
        </w:rPr>
      </w:pPr>
      <w:r w:rsidRPr="005A79C9">
        <w:rPr>
          <w:szCs w:val="24"/>
        </w:rPr>
        <w:t xml:space="preserve">ASD is a growing concern especially among parents. The estimated worldwide prevalence is </w:t>
      </w:r>
      <w:r w:rsidRPr="005A79C9">
        <w:rPr>
          <w:szCs w:val="24"/>
          <w:shd w:val="clear" w:color="auto" w:fill="FFFFFF"/>
        </w:rPr>
        <w:t>1 in 59 children (or 16.8 per 1,000 8-year-olds) based on recent study by CDC</w:t>
      </w:r>
      <w:r>
        <w:rPr>
          <w:szCs w:val="24"/>
          <w:shd w:val="clear" w:color="auto" w:fill="FFFFFF"/>
        </w:rPr>
        <w:t xml:space="preserve"> </w:t>
      </w:r>
      <w:r w:rsidRPr="005A79C9">
        <w:rPr>
          <w:szCs w:val="24"/>
          <w:shd w:val="clear" w:color="auto" w:fill="FFFFFF"/>
        </w:rPr>
        <w:fldChar w:fldCharType="begin" w:fldLock="1"/>
      </w:r>
      <w:r w:rsidRPr="005A79C9">
        <w:rPr>
          <w:szCs w:val="24"/>
          <w:shd w:val="clear" w:color="auto" w:fill="FFFFFF"/>
        </w:rPr>
        <w:instrText>ADDIN CSL_CITATION {"citationItems":[{"id":"ITEM-1","itemData":{"abstract":"About 1.7% of 8-year-old children in 11 communities in the US were identified with autism in 2014. See more autism data.","author":[{"dropping-particle":"","family":"CDC","given":"","non-dropping-particle":"","parse-names":false,"suffix":""}],"container-title":"Centers for Disease Control and Prevention","id":"ITEM-1","issued":{"date-parts":[["2018"]]},"title":"Data and Statistics | Autism Spectrum Disorder (ASD) | NCBDDD | CDC","type":"webpage"},"uris":["http://www.mendeley.com/documents/?uuid=62347f04-8c8d-4ec3-9720-27fdf3f088dc"]}],"mendeley":{"formattedCitation":"(CDC, 2018)","plainTextFormattedCitation":"(CDC, 2018)","previouslyFormattedCitation":"(CDC, 2018)"},"properties":{"noteIndex":0},"schema":"https://github.com/citation-style-language/schema/raw/master/csl-citation.json"}</w:instrText>
      </w:r>
      <w:r w:rsidRPr="005A79C9">
        <w:rPr>
          <w:szCs w:val="24"/>
          <w:shd w:val="clear" w:color="auto" w:fill="FFFFFF"/>
        </w:rPr>
        <w:fldChar w:fldCharType="separate"/>
      </w:r>
      <w:r w:rsidRPr="005A79C9">
        <w:rPr>
          <w:noProof/>
          <w:szCs w:val="24"/>
          <w:shd w:val="clear" w:color="auto" w:fill="FFFFFF"/>
        </w:rPr>
        <w:t>(CDC, 2018)</w:t>
      </w:r>
      <w:r w:rsidRPr="005A79C9">
        <w:rPr>
          <w:szCs w:val="24"/>
          <w:shd w:val="clear" w:color="auto" w:fill="FFFFFF"/>
        </w:rPr>
        <w:fldChar w:fldCharType="end"/>
      </w:r>
      <w:r w:rsidRPr="005A79C9">
        <w:rPr>
          <w:szCs w:val="24"/>
        </w:rPr>
        <w:t>. In Malaysia, a prevalence rate of 1.6 in 1000 children, or approximately 1 in 62512 children are suspected to have ASD from a minor scale study on children aged 18 to 26 months</w:t>
      </w:r>
      <w:r>
        <w:rPr>
          <w:szCs w:val="24"/>
        </w:rPr>
        <w:t xml:space="preserve"> </w:t>
      </w:r>
      <w:r w:rsidRPr="005A79C9">
        <w:rPr>
          <w:szCs w:val="24"/>
        </w:rPr>
        <w:fldChar w:fldCharType="begin" w:fldLock="1"/>
      </w:r>
      <w:r w:rsidRPr="005A79C9">
        <w:rPr>
          <w:szCs w:val="24"/>
        </w:rPr>
        <w:instrText>ADDIN CSL_CITATION {"citationItems":[{"id":"ITEM-1","itemData":{"author":[{"dropping-particle":"","family":"Keluarga","given":"Malaysia. Kementerian Kesihatan. Bahagian Pembangunan Kesihatan","non-dropping-particle":"","parse-names":false,"suffix":""}],"id":"ITEM-1","issued":{"date-parts":[["2006"]]},"publisher":"Bahagian Pembangunan Kesihatan Keluarga Kementerian Kesihatan Malaysia","title":"Prosiding mesyuarat membincangkan hasil kajian saringan dan pengendalian masalah autisme : 16-18 Mei 2006 Hotel Dynasty Kuala Lumpur","type":"book"},"label":"issue","prefix":"Family Health Division","suppress-author":1,"uris":["http://www.mendeley.com/documents/?uuid=948380a4-b409-37e9-b283-278f8ab7c781"]}],"mendeley":{"formattedCitation":"(Family Health Division 2006)","plainTextFormattedCitation":"(Family Health Division 2006)","previouslyFormattedCitation":"(Family Health Division 2006)"},"properties":{"noteIndex":0},"schema":"https://github.com/citation-style-language/schema/raw/master/csl-citation.json"}</w:instrText>
      </w:r>
      <w:r w:rsidRPr="005A79C9">
        <w:rPr>
          <w:szCs w:val="24"/>
        </w:rPr>
        <w:fldChar w:fldCharType="separate"/>
      </w:r>
      <w:r w:rsidRPr="005A79C9">
        <w:rPr>
          <w:noProof/>
          <w:szCs w:val="24"/>
        </w:rPr>
        <w:t>(Family Health Division 2006)</w:t>
      </w:r>
      <w:r w:rsidRPr="005A79C9">
        <w:rPr>
          <w:szCs w:val="24"/>
        </w:rPr>
        <w:fldChar w:fldCharType="end"/>
      </w:r>
      <w:r w:rsidRPr="005A79C9">
        <w:rPr>
          <w:szCs w:val="24"/>
        </w:rPr>
        <w:t>. However, there is no local epidemiological data available on the true prevalence of ASD in Malaysia.</w:t>
      </w:r>
    </w:p>
    <w:p w14:paraId="26B5A5DC" w14:textId="77777777" w:rsidR="00E22C20" w:rsidRDefault="000F5D9D" w:rsidP="00E22C20">
      <w:pPr>
        <w:pStyle w:val="ListParagraph"/>
        <w:numPr>
          <w:ilvl w:val="0"/>
          <w:numId w:val="4"/>
        </w:numPr>
        <w:spacing w:before="100" w:beforeAutospacing="1" w:after="100" w:afterAutospacing="1" w:line="360" w:lineRule="auto"/>
        <w:ind w:left="1015" w:hanging="164"/>
        <w:jc w:val="both"/>
        <w:rPr>
          <w:szCs w:val="24"/>
        </w:rPr>
      </w:pPr>
      <w:r w:rsidRPr="00E22C20">
        <w:rPr>
          <w:szCs w:val="24"/>
        </w:rPr>
        <w:t xml:space="preserve">ASD was proposed to be related with MMR vaccination causing ‘vaccine scare’ leading to vaccine hesitancy globally. The impact of VH among parents has led to outbreak of vaccine-preventable diseases worldwide. </w:t>
      </w:r>
    </w:p>
    <w:p w14:paraId="78CE52D1" w14:textId="77777777" w:rsidR="00E22C20" w:rsidRDefault="000F5D9D" w:rsidP="00E22C20">
      <w:pPr>
        <w:pStyle w:val="ListParagraph"/>
        <w:numPr>
          <w:ilvl w:val="0"/>
          <w:numId w:val="4"/>
        </w:numPr>
        <w:spacing w:before="100" w:beforeAutospacing="1" w:after="100" w:afterAutospacing="1" w:line="360" w:lineRule="auto"/>
        <w:ind w:left="1015" w:hanging="164"/>
        <w:jc w:val="both"/>
        <w:rPr>
          <w:szCs w:val="24"/>
        </w:rPr>
      </w:pPr>
      <w:r w:rsidRPr="00E22C20">
        <w:rPr>
          <w:szCs w:val="24"/>
        </w:rPr>
        <w:t xml:space="preserve">VH is an emerging term in the literature. They comprise a much larger group than those who reject vaccines completely. VHPs are also potentially more likely to change their attitude on vaccination. Thus, VHPs are important for understanding and counteracting growing vaccine resistance. In order to put the scientific benefits of vaccines into practice, a better understanding of VHPs and their concern is vital. </w:t>
      </w:r>
    </w:p>
    <w:p w14:paraId="336CF879" w14:textId="50DE3CC6" w:rsidR="000F5D9D" w:rsidRPr="00E22C20" w:rsidRDefault="000F5D9D" w:rsidP="00E22C20">
      <w:pPr>
        <w:pStyle w:val="ListParagraph"/>
        <w:numPr>
          <w:ilvl w:val="0"/>
          <w:numId w:val="4"/>
        </w:numPr>
        <w:spacing w:before="100" w:beforeAutospacing="1" w:after="100" w:afterAutospacing="1" w:line="360" w:lineRule="auto"/>
        <w:ind w:left="1015" w:hanging="164"/>
        <w:jc w:val="both"/>
        <w:rPr>
          <w:szCs w:val="24"/>
        </w:rPr>
      </w:pPr>
      <w:r w:rsidRPr="00E22C20">
        <w:rPr>
          <w:szCs w:val="24"/>
        </w:rPr>
        <w:t xml:space="preserve">Studies conducted from other countries regarding vaccine hesitancy in parents of a child with ASD is scarce. In Malaysia the study regarding VHP of a child with ASD is still lacking. In order to achieve this, it is novel to explore the prevalence vaccine hesitancy in parents of a child with ASD and to identify its associated factors in Malaysia. </w:t>
      </w:r>
    </w:p>
    <w:p w14:paraId="7684FF7D" w14:textId="74A5C687" w:rsidR="000F5D9D" w:rsidRPr="0003330D" w:rsidRDefault="000F5D9D" w:rsidP="00314AEF">
      <w:pPr>
        <w:pStyle w:val="Heading2"/>
        <w:numPr>
          <w:ilvl w:val="1"/>
          <w:numId w:val="2"/>
        </w:numPr>
        <w:spacing w:before="0" w:line="360" w:lineRule="auto"/>
        <w:ind w:left="851"/>
        <w:jc w:val="both"/>
        <w:rPr>
          <w:rFonts w:ascii="Times New Roman" w:hAnsi="Times New Roman" w:cs="Times New Roman"/>
          <w:b/>
          <w:bCs/>
          <w:color w:val="auto"/>
          <w:sz w:val="24"/>
          <w:szCs w:val="24"/>
        </w:rPr>
      </w:pPr>
      <w:bookmarkStart w:id="5" w:name="_Toc31400946"/>
      <w:r w:rsidRPr="0003330D">
        <w:rPr>
          <w:rFonts w:ascii="Times New Roman" w:hAnsi="Times New Roman" w:cs="Times New Roman"/>
          <w:b/>
          <w:bCs/>
          <w:color w:val="auto"/>
          <w:sz w:val="24"/>
          <w:szCs w:val="24"/>
        </w:rPr>
        <w:t>Research Questions</w:t>
      </w:r>
      <w:bookmarkEnd w:id="5"/>
      <w:r w:rsidRPr="0003330D">
        <w:rPr>
          <w:rFonts w:ascii="Times New Roman" w:hAnsi="Times New Roman" w:cs="Times New Roman"/>
          <w:b/>
          <w:bCs/>
          <w:color w:val="auto"/>
          <w:sz w:val="24"/>
          <w:szCs w:val="24"/>
        </w:rPr>
        <w:t xml:space="preserve"> </w:t>
      </w:r>
    </w:p>
    <w:p w14:paraId="5C6D8D8B" w14:textId="77777777" w:rsidR="00E22C20" w:rsidRDefault="00E22C20" w:rsidP="00E22C20">
      <w:pPr>
        <w:spacing w:after="120" w:line="360" w:lineRule="auto"/>
        <w:jc w:val="both"/>
        <w:rPr>
          <w:szCs w:val="24"/>
        </w:rPr>
      </w:pPr>
    </w:p>
    <w:p w14:paraId="1971D9ED" w14:textId="77777777" w:rsidR="00314AEF" w:rsidRPr="00314AEF" w:rsidRDefault="000F5D9D" w:rsidP="00F24855">
      <w:pPr>
        <w:pStyle w:val="ListParagraph"/>
        <w:numPr>
          <w:ilvl w:val="0"/>
          <w:numId w:val="8"/>
        </w:numPr>
        <w:spacing w:after="120" w:line="360" w:lineRule="auto"/>
        <w:jc w:val="both"/>
      </w:pPr>
      <w:r w:rsidRPr="00E22C20">
        <w:rPr>
          <w:szCs w:val="24"/>
        </w:rPr>
        <w:t>What is the prevalence of vaccine hesitancy</w:t>
      </w:r>
      <w:r w:rsidRPr="00E22C20">
        <w:rPr>
          <w:b/>
          <w:bCs/>
          <w:szCs w:val="24"/>
        </w:rPr>
        <w:t xml:space="preserve"> </w:t>
      </w:r>
      <w:r w:rsidRPr="00E22C20">
        <w:rPr>
          <w:szCs w:val="24"/>
        </w:rPr>
        <w:t>among parents of children with Autism Spectrum Disorder (ASD)?</w:t>
      </w:r>
    </w:p>
    <w:p w14:paraId="2AC082EC" w14:textId="16BE3131" w:rsidR="000F5D9D" w:rsidRPr="005F3951" w:rsidRDefault="00E22C20" w:rsidP="00F24855">
      <w:pPr>
        <w:pStyle w:val="ListParagraph"/>
        <w:numPr>
          <w:ilvl w:val="0"/>
          <w:numId w:val="8"/>
        </w:numPr>
        <w:spacing w:after="120" w:line="360" w:lineRule="auto"/>
        <w:jc w:val="both"/>
      </w:pPr>
      <w:r w:rsidRPr="00314AEF">
        <w:rPr>
          <w:szCs w:val="24"/>
        </w:rPr>
        <w:t>W</w:t>
      </w:r>
      <w:r w:rsidR="000F5D9D" w:rsidRPr="005F3951">
        <w:t xml:space="preserve">hat are the </w:t>
      </w:r>
      <w:r w:rsidR="000F5D9D" w:rsidRPr="00DD2EB9">
        <w:t>factors associated with</w:t>
      </w:r>
      <w:r w:rsidR="000F5D9D" w:rsidRPr="005F3951">
        <w:t xml:space="preserve"> vaccine hesitancy among parents of children with ASD?</w:t>
      </w:r>
    </w:p>
    <w:p w14:paraId="366B6284" w14:textId="77777777" w:rsidR="000F5D9D" w:rsidRDefault="000F5D9D" w:rsidP="00E22C20">
      <w:pPr>
        <w:spacing w:line="360" w:lineRule="auto"/>
        <w:ind w:left="851"/>
        <w:jc w:val="both"/>
        <w:rPr>
          <w:szCs w:val="24"/>
        </w:rPr>
      </w:pPr>
    </w:p>
    <w:p w14:paraId="50AF2011" w14:textId="77777777" w:rsidR="000F5D9D" w:rsidRDefault="000F5D9D" w:rsidP="00E22C20">
      <w:pPr>
        <w:spacing w:line="360" w:lineRule="auto"/>
        <w:ind w:left="851"/>
        <w:jc w:val="both"/>
        <w:rPr>
          <w:szCs w:val="24"/>
        </w:rPr>
      </w:pPr>
    </w:p>
    <w:p w14:paraId="696E1C44" w14:textId="77777777" w:rsidR="000F5D9D" w:rsidRPr="005A79C9" w:rsidRDefault="000F5D9D" w:rsidP="00E22C20">
      <w:pPr>
        <w:spacing w:line="360" w:lineRule="auto"/>
        <w:ind w:left="851"/>
        <w:jc w:val="both"/>
        <w:rPr>
          <w:szCs w:val="24"/>
        </w:rPr>
      </w:pPr>
    </w:p>
    <w:p w14:paraId="403F52B7" w14:textId="40DF217C" w:rsidR="000F5D9D" w:rsidRDefault="000F5D9D" w:rsidP="00314AEF">
      <w:pPr>
        <w:pStyle w:val="Heading2"/>
        <w:numPr>
          <w:ilvl w:val="1"/>
          <w:numId w:val="2"/>
        </w:numPr>
        <w:spacing w:line="360" w:lineRule="auto"/>
        <w:ind w:left="851"/>
        <w:jc w:val="both"/>
        <w:rPr>
          <w:rFonts w:ascii="Times New Roman" w:hAnsi="Times New Roman" w:cs="Times New Roman"/>
          <w:b/>
          <w:bCs/>
          <w:color w:val="auto"/>
          <w:sz w:val="24"/>
          <w:szCs w:val="24"/>
        </w:rPr>
      </w:pPr>
      <w:bookmarkStart w:id="6" w:name="_Toc31400947"/>
      <w:r w:rsidRPr="0003330D">
        <w:rPr>
          <w:rFonts w:ascii="Times New Roman" w:hAnsi="Times New Roman" w:cs="Times New Roman"/>
          <w:b/>
          <w:bCs/>
          <w:color w:val="auto"/>
          <w:sz w:val="24"/>
          <w:szCs w:val="24"/>
        </w:rPr>
        <w:lastRenderedPageBreak/>
        <w:t>Objectives</w:t>
      </w:r>
      <w:bookmarkEnd w:id="6"/>
      <w:r w:rsidRPr="0003330D">
        <w:rPr>
          <w:rFonts w:ascii="Times New Roman" w:hAnsi="Times New Roman" w:cs="Times New Roman"/>
          <w:b/>
          <w:bCs/>
          <w:color w:val="auto"/>
          <w:sz w:val="24"/>
          <w:szCs w:val="24"/>
        </w:rPr>
        <w:t xml:space="preserve">  </w:t>
      </w:r>
    </w:p>
    <w:p w14:paraId="5855138A" w14:textId="55CAADF2" w:rsidR="000F5D9D" w:rsidRDefault="000F5D9D" w:rsidP="00314AEF">
      <w:pPr>
        <w:spacing w:before="120" w:after="0" w:line="360" w:lineRule="auto"/>
        <w:ind w:left="131" w:firstLine="720"/>
        <w:jc w:val="both"/>
        <w:rPr>
          <w:b/>
          <w:szCs w:val="24"/>
        </w:rPr>
      </w:pPr>
      <w:r w:rsidRPr="0003330D">
        <w:rPr>
          <w:b/>
          <w:bCs/>
          <w:szCs w:val="24"/>
        </w:rPr>
        <w:t>1.5.1</w:t>
      </w:r>
      <w:r w:rsidR="00314AEF">
        <w:rPr>
          <w:b/>
          <w:bCs/>
          <w:szCs w:val="24"/>
        </w:rPr>
        <w:t xml:space="preserve"> </w:t>
      </w:r>
      <w:r w:rsidR="00314AEF">
        <w:rPr>
          <w:b/>
          <w:bCs/>
          <w:szCs w:val="24"/>
        </w:rPr>
        <w:tab/>
      </w:r>
      <w:r w:rsidRPr="0003330D">
        <w:rPr>
          <w:b/>
          <w:bCs/>
          <w:szCs w:val="24"/>
        </w:rPr>
        <w:t>General</w:t>
      </w:r>
      <w:r w:rsidRPr="005A79C9">
        <w:rPr>
          <w:b/>
          <w:szCs w:val="24"/>
        </w:rPr>
        <w:t xml:space="preserve"> Objectives</w:t>
      </w:r>
    </w:p>
    <w:p w14:paraId="52DB85E6" w14:textId="77777777" w:rsidR="000F5D9D" w:rsidRPr="00DD2EB9" w:rsidRDefault="000F5D9D" w:rsidP="00E22C20">
      <w:pPr>
        <w:spacing w:line="360" w:lineRule="auto"/>
        <w:ind w:left="851"/>
        <w:jc w:val="both"/>
        <w:rPr>
          <w:b/>
          <w:szCs w:val="24"/>
        </w:rPr>
      </w:pPr>
      <w:r w:rsidRPr="005F3951">
        <w:rPr>
          <w:szCs w:val="24"/>
        </w:rPr>
        <w:t>This study aims to determine the factors associated with vaccine hesitancy among parents of children with ASD in Malaysia.</w:t>
      </w:r>
    </w:p>
    <w:p w14:paraId="5DFE15EB" w14:textId="0A0E2037" w:rsidR="000F5D9D" w:rsidRPr="00DD2EB9" w:rsidRDefault="000F5D9D" w:rsidP="00314AEF">
      <w:pPr>
        <w:spacing w:line="360" w:lineRule="auto"/>
        <w:ind w:left="131" w:firstLine="720"/>
        <w:jc w:val="both"/>
        <w:rPr>
          <w:b/>
          <w:szCs w:val="24"/>
        </w:rPr>
      </w:pPr>
      <w:r>
        <w:rPr>
          <w:b/>
          <w:szCs w:val="24"/>
        </w:rPr>
        <w:t>1.5.2</w:t>
      </w:r>
      <w:r w:rsidRPr="00DD2EB9">
        <w:rPr>
          <w:b/>
          <w:szCs w:val="24"/>
        </w:rPr>
        <w:t xml:space="preserve"> </w:t>
      </w:r>
      <w:r w:rsidR="00314AEF">
        <w:rPr>
          <w:b/>
          <w:szCs w:val="24"/>
        </w:rPr>
        <w:tab/>
      </w:r>
      <w:r w:rsidRPr="00DD2EB9">
        <w:rPr>
          <w:b/>
          <w:szCs w:val="24"/>
        </w:rPr>
        <w:t>Specific Objectives</w:t>
      </w:r>
    </w:p>
    <w:p w14:paraId="779BCC82" w14:textId="46A112AD" w:rsidR="000F5D9D" w:rsidRPr="00314AEF" w:rsidRDefault="000F5D9D" w:rsidP="00F24855">
      <w:pPr>
        <w:pStyle w:val="ListParagraph"/>
        <w:numPr>
          <w:ilvl w:val="0"/>
          <w:numId w:val="9"/>
        </w:numPr>
        <w:spacing w:after="120" w:line="360" w:lineRule="auto"/>
        <w:jc w:val="both"/>
        <w:rPr>
          <w:szCs w:val="24"/>
        </w:rPr>
      </w:pPr>
      <w:r w:rsidRPr="00314AEF">
        <w:rPr>
          <w:szCs w:val="24"/>
        </w:rPr>
        <w:t>To determine the prevalence of vaccine hesitancy among parents of children with ASD</w:t>
      </w:r>
    </w:p>
    <w:p w14:paraId="2F0185E6" w14:textId="07857AAC" w:rsidR="000F5D9D" w:rsidRPr="00314AEF" w:rsidRDefault="000F5D9D" w:rsidP="00F24855">
      <w:pPr>
        <w:pStyle w:val="ListParagraph"/>
        <w:numPr>
          <w:ilvl w:val="0"/>
          <w:numId w:val="9"/>
        </w:numPr>
        <w:spacing w:after="120" w:line="360" w:lineRule="auto"/>
        <w:jc w:val="both"/>
        <w:rPr>
          <w:szCs w:val="24"/>
        </w:rPr>
      </w:pPr>
      <w:r w:rsidRPr="00314AEF">
        <w:rPr>
          <w:szCs w:val="24"/>
        </w:rPr>
        <w:t>To identify the factors associated with vaccine hesitancy among parents of children with ASD</w:t>
      </w:r>
    </w:p>
    <w:p w14:paraId="26BFC85E" w14:textId="77777777" w:rsidR="00314AEF" w:rsidRPr="00314AEF" w:rsidRDefault="00314AEF" w:rsidP="00314AEF">
      <w:pPr>
        <w:spacing w:after="120" w:line="360" w:lineRule="auto"/>
        <w:ind w:left="851"/>
        <w:jc w:val="both"/>
        <w:rPr>
          <w:szCs w:val="24"/>
        </w:rPr>
      </w:pPr>
    </w:p>
    <w:p w14:paraId="687A86F8" w14:textId="3018F00A" w:rsidR="000F5D9D" w:rsidRDefault="000F5D9D" w:rsidP="00314AEF">
      <w:pPr>
        <w:pStyle w:val="Heading2"/>
        <w:numPr>
          <w:ilvl w:val="1"/>
          <w:numId w:val="2"/>
        </w:numPr>
        <w:spacing w:before="120" w:line="360" w:lineRule="auto"/>
        <w:ind w:left="851"/>
        <w:jc w:val="both"/>
        <w:rPr>
          <w:rFonts w:ascii="Times New Roman" w:hAnsi="Times New Roman" w:cs="Times New Roman"/>
          <w:b/>
          <w:bCs/>
          <w:color w:val="auto"/>
          <w:sz w:val="24"/>
          <w:szCs w:val="24"/>
        </w:rPr>
      </w:pPr>
      <w:bookmarkStart w:id="7" w:name="_Toc31400948"/>
      <w:r>
        <w:rPr>
          <w:rFonts w:ascii="Times New Roman" w:hAnsi="Times New Roman" w:cs="Times New Roman"/>
          <w:b/>
          <w:bCs/>
          <w:color w:val="auto"/>
          <w:sz w:val="24"/>
          <w:szCs w:val="24"/>
        </w:rPr>
        <w:t>Research Hypothesis</w:t>
      </w:r>
      <w:bookmarkEnd w:id="7"/>
    </w:p>
    <w:p w14:paraId="61B23B31" w14:textId="10DCEF2C" w:rsidR="000F5D9D" w:rsidRDefault="000F5D9D" w:rsidP="00314AEF">
      <w:pPr>
        <w:spacing w:before="120" w:line="360" w:lineRule="auto"/>
        <w:ind w:left="851"/>
        <w:jc w:val="both"/>
        <w:rPr>
          <w:szCs w:val="24"/>
        </w:rPr>
      </w:pPr>
      <w:r w:rsidRPr="005A79C9">
        <w:rPr>
          <w:szCs w:val="24"/>
        </w:rPr>
        <w:t xml:space="preserve">There is high prevalence of vaccine hesitancy among parents of </w:t>
      </w:r>
      <w:r>
        <w:rPr>
          <w:szCs w:val="24"/>
        </w:rPr>
        <w:t>children</w:t>
      </w:r>
      <w:r w:rsidRPr="005A79C9">
        <w:rPr>
          <w:szCs w:val="24"/>
        </w:rPr>
        <w:t xml:space="preserve"> with ASD in Malaysia.</w:t>
      </w:r>
    </w:p>
    <w:p w14:paraId="06D02249" w14:textId="77777777" w:rsidR="00314AEF" w:rsidRPr="005A79C9" w:rsidRDefault="00314AEF" w:rsidP="00314AEF">
      <w:pPr>
        <w:spacing w:before="120" w:line="360" w:lineRule="auto"/>
        <w:ind w:left="851"/>
        <w:jc w:val="both"/>
        <w:rPr>
          <w:szCs w:val="24"/>
        </w:rPr>
      </w:pPr>
    </w:p>
    <w:p w14:paraId="0D95A55D" w14:textId="77777777" w:rsidR="000F5D9D" w:rsidRPr="005A79C9" w:rsidRDefault="000F5D9D" w:rsidP="00314AEF">
      <w:pPr>
        <w:spacing w:before="120" w:line="360" w:lineRule="auto"/>
        <w:ind w:left="851"/>
        <w:jc w:val="both"/>
        <w:rPr>
          <w:szCs w:val="24"/>
        </w:rPr>
      </w:pPr>
      <w:r w:rsidRPr="005A79C9">
        <w:rPr>
          <w:szCs w:val="24"/>
        </w:rPr>
        <w:t>Alternative hypothesis</w:t>
      </w:r>
    </w:p>
    <w:p w14:paraId="40F59D1A" w14:textId="77777777" w:rsidR="000F5D9D" w:rsidRPr="005A79C9" w:rsidRDefault="000F5D9D" w:rsidP="00314AEF">
      <w:pPr>
        <w:spacing w:before="120" w:line="360" w:lineRule="auto"/>
        <w:ind w:left="851"/>
        <w:jc w:val="both"/>
        <w:rPr>
          <w:szCs w:val="24"/>
        </w:rPr>
      </w:pPr>
      <w:r w:rsidRPr="005A79C9">
        <w:rPr>
          <w:szCs w:val="24"/>
        </w:rPr>
        <w:t xml:space="preserve">There is low prevalence of vaccine hesitancy among parents of </w:t>
      </w:r>
      <w:r>
        <w:rPr>
          <w:szCs w:val="24"/>
        </w:rPr>
        <w:t>children</w:t>
      </w:r>
      <w:r w:rsidRPr="005A79C9">
        <w:rPr>
          <w:szCs w:val="24"/>
        </w:rPr>
        <w:t xml:space="preserve"> with ASD in Malaysia.</w:t>
      </w:r>
    </w:p>
    <w:p w14:paraId="2998D0C1" w14:textId="77777777" w:rsidR="000F5D9D" w:rsidRPr="005A79C9" w:rsidRDefault="000F5D9D" w:rsidP="00E22C20">
      <w:pPr>
        <w:spacing w:line="360" w:lineRule="auto"/>
        <w:ind w:left="851"/>
        <w:jc w:val="both"/>
        <w:rPr>
          <w:szCs w:val="24"/>
        </w:rPr>
      </w:pPr>
    </w:p>
    <w:p w14:paraId="668D3B93" w14:textId="77777777" w:rsidR="000F5D9D" w:rsidRDefault="000F5D9D" w:rsidP="00314AEF">
      <w:pPr>
        <w:pStyle w:val="Heading2"/>
        <w:numPr>
          <w:ilvl w:val="1"/>
          <w:numId w:val="2"/>
        </w:numPr>
        <w:spacing w:line="360" w:lineRule="auto"/>
        <w:ind w:left="851"/>
        <w:jc w:val="both"/>
        <w:rPr>
          <w:rFonts w:ascii="Times New Roman" w:hAnsi="Times New Roman" w:cs="Times New Roman"/>
          <w:b/>
          <w:bCs/>
          <w:color w:val="auto"/>
          <w:sz w:val="24"/>
          <w:szCs w:val="24"/>
        </w:rPr>
      </w:pPr>
      <w:bookmarkStart w:id="8" w:name="_Toc31400949"/>
      <w:r w:rsidRPr="00DD2EB9">
        <w:rPr>
          <w:rFonts w:ascii="Times New Roman" w:hAnsi="Times New Roman" w:cs="Times New Roman"/>
          <w:b/>
          <w:bCs/>
          <w:color w:val="auto"/>
          <w:sz w:val="24"/>
          <w:szCs w:val="24"/>
        </w:rPr>
        <w:t>Significance and Novelty of the Study</w:t>
      </w:r>
      <w:bookmarkEnd w:id="8"/>
    </w:p>
    <w:p w14:paraId="533370D6" w14:textId="77777777" w:rsidR="000F5D9D" w:rsidRPr="00DD2EB9" w:rsidRDefault="000F5D9D" w:rsidP="00E22C20">
      <w:pPr>
        <w:spacing w:line="360" w:lineRule="auto"/>
        <w:ind w:left="851"/>
        <w:jc w:val="both"/>
      </w:pPr>
    </w:p>
    <w:p w14:paraId="777C93EF" w14:textId="1E1A8F97" w:rsidR="00314AEF" w:rsidRDefault="000F5D9D" w:rsidP="00314AEF">
      <w:pPr>
        <w:spacing w:line="360" w:lineRule="auto"/>
        <w:ind w:left="851" w:firstLine="589"/>
        <w:jc w:val="both"/>
        <w:rPr>
          <w:szCs w:val="24"/>
        </w:rPr>
      </w:pPr>
      <w:r w:rsidRPr="00DD2EB9">
        <w:rPr>
          <w:szCs w:val="24"/>
        </w:rPr>
        <w:t>This study is the first study in Malaysia to establish the factors associated with vaccine hesitancy among parents of children with ASD. Assessing the prevalence of VHP of a child with ASD will provide an insight on the current VH in special groups in line with the WHO recommendation. It is also can provide objective evidence on how to deal with this group to increase the uptake of vaccination among them. The evidence will be useful for healthcare provider and the government in order to implement a stricter policy for VHP to reduce the public health risks associated with vaccine hesitancy. Furthermore, intervention strategies can be developed to address vaccine hesitancy among this subpopulation.</w:t>
      </w:r>
    </w:p>
    <w:p w14:paraId="3AC88811" w14:textId="4D93572D" w:rsidR="000F5D9D" w:rsidRPr="00BB6715" w:rsidRDefault="00314AEF" w:rsidP="001756D0">
      <w:pPr>
        <w:jc w:val="center"/>
        <w:rPr>
          <w:b/>
          <w:bCs/>
          <w:szCs w:val="24"/>
        </w:rPr>
      </w:pPr>
      <w:r>
        <w:rPr>
          <w:szCs w:val="24"/>
        </w:rPr>
        <w:br w:type="page"/>
      </w:r>
      <w:bookmarkStart w:id="9" w:name="_Toc31400950"/>
      <w:r w:rsidR="000F5D9D" w:rsidRPr="00BB6715">
        <w:rPr>
          <w:b/>
          <w:bCs/>
          <w:szCs w:val="24"/>
        </w:rPr>
        <w:lastRenderedPageBreak/>
        <w:t>CHAPTER TWO</w:t>
      </w:r>
      <w:bookmarkEnd w:id="9"/>
    </w:p>
    <w:p w14:paraId="3A18BB6F" w14:textId="77777777" w:rsidR="000F5D9D" w:rsidRPr="00BB6715" w:rsidRDefault="000F5D9D" w:rsidP="00E22C20">
      <w:pPr>
        <w:pStyle w:val="Heading1"/>
        <w:spacing w:line="360" w:lineRule="auto"/>
        <w:ind w:left="851"/>
        <w:jc w:val="both"/>
        <w:rPr>
          <w:rFonts w:ascii="Times New Roman" w:hAnsi="Times New Roman" w:cs="Times New Roman"/>
          <w:b/>
          <w:bCs/>
          <w:color w:val="auto"/>
          <w:sz w:val="24"/>
          <w:szCs w:val="24"/>
        </w:rPr>
      </w:pPr>
      <w:bookmarkStart w:id="10" w:name="_Toc31400951"/>
      <w:r w:rsidRPr="00BB6715">
        <w:rPr>
          <w:rFonts w:ascii="Times New Roman" w:hAnsi="Times New Roman" w:cs="Times New Roman"/>
          <w:b/>
          <w:bCs/>
          <w:color w:val="auto"/>
          <w:sz w:val="24"/>
          <w:szCs w:val="24"/>
        </w:rPr>
        <w:t>LITERATURE REVIEW</w:t>
      </w:r>
      <w:bookmarkEnd w:id="10"/>
    </w:p>
    <w:p w14:paraId="61DB6132" w14:textId="77777777" w:rsidR="000F5D9D" w:rsidRPr="005A79C9" w:rsidRDefault="000F5D9D" w:rsidP="00E22C20">
      <w:pPr>
        <w:spacing w:line="360" w:lineRule="auto"/>
        <w:ind w:left="851"/>
        <w:jc w:val="both"/>
        <w:rPr>
          <w:szCs w:val="24"/>
        </w:rPr>
      </w:pPr>
    </w:p>
    <w:p w14:paraId="382CAD21" w14:textId="77777777" w:rsidR="000F5D9D" w:rsidRPr="00314AEF" w:rsidRDefault="000F5D9D" w:rsidP="00E22C20">
      <w:pPr>
        <w:pStyle w:val="Heading2"/>
        <w:spacing w:line="360" w:lineRule="auto"/>
        <w:ind w:left="851"/>
        <w:jc w:val="both"/>
        <w:rPr>
          <w:rFonts w:ascii="Times New Roman" w:hAnsi="Times New Roman" w:cs="Times New Roman"/>
          <w:b/>
          <w:bCs/>
          <w:color w:val="auto"/>
          <w:sz w:val="24"/>
          <w:szCs w:val="24"/>
        </w:rPr>
      </w:pPr>
      <w:bookmarkStart w:id="11" w:name="_Toc31400952"/>
      <w:r w:rsidRPr="00314AEF">
        <w:rPr>
          <w:rFonts w:ascii="Times New Roman" w:hAnsi="Times New Roman" w:cs="Times New Roman"/>
          <w:b/>
          <w:bCs/>
          <w:color w:val="auto"/>
          <w:sz w:val="24"/>
          <w:szCs w:val="24"/>
        </w:rPr>
        <w:t>2.1 Definition of terms</w:t>
      </w:r>
      <w:bookmarkEnd w:id="11"/>
      <w:r w:rsidRPr="00314AEF">
        <w:rPr>
          <w:rFonts w:ascii="Times New Roman" w:hAnsi="Times New Roman" w:cs="Times New Roman"/>
          <w:b/>
          <w:bCs/>
          <w:color w:val="auto"/>
          <w:sz w:val="24"/>
          <w:szCs w:val="24"/>
        </w:rPr>
        <w:t xml:space="preserve"> </w:t>
      </w:r>
    </w:p>
    <w:p w14:paraId="24FAAF65" w14:textId="77777777" w:rsidR="000F5D9D" w:rsidRPr="00314AEF" w:rsidRDefault="000F5D9D" w:rsidP="00E22C20">
      <w:pPr>
        <w:spacing w:line="360" w:lineRule="auto"/>
        <w:ind w:left="851"/>
        <w:jc w:val="both"/>
        <w:rPr>
          <w:b/>
          <w:bCs/>
          <w:szCs w:val="24"/>
        </w:rPr>
      </w:pPr>
    </w:p>
    <w:p w14:paraId="40277874" w14:textId="77777777" w:rsidR="000F5D9D" w:rsidRPr="005A79C9" w:rsidRDefault="000F5D9D" w:rsidP="00E22C20">
      <w:pPr>
        <w:spacing w:line="360" w:lineRule="auto"/>
        <w:ind w:left="851"/>
        <w:jc w:val="both"/>
        <w:rPr>
          <w:szCs w:val="24"/>
        </w:rPr>
      </w:pPr>
      <w:r w:rsidRPr="005A79C9">
        <w:rPr>
          <w:szCs w:val="24"/>
        </w:rPr>
        <w:t>According to CDC, the definition of terms is as below:</w:t>
      </w:r>
    </w:p>
    <w:p w14:paraId="4544CDE9" w14:textId="77777777" w:rsidR="000F5D9D" w:rsidRPr="005A79C9" w:rsidRDefault="000F5D9D" w:rsidP="00F24855">
      <w:pPr>
        <w:pStyle w:val="ListParagraph"/>
        <w:numPr>
          <w:ilvl w:val="0"/>
          <w:numId w:val="5"/>
        </w:numPr>
        <w:spacing w:before="120" w:after="120" w:line="360" w:lineRule="auto"/>
        <w:ind w:left="851"/>
        <w:jc w:val="both"/>
        <w:rPr>
          <w:szCs w:val="24"/>
        </w:rPr>
      </w:pPr>
      <w:r w:rsidRPr="005A79C9">
        <w:rPr>
          <w:szCs w:val="24"/>
        </w:rPr>
        <w:t xml:space="preserve"> Vaccine: A product that stimulates a person’s immune system to produce immunity to a specific disease, protecting the person from that disease. Is a product that stimulates an immune response to protect the person against specific disease, protecting the person from that disease. Vaccines are usually administered through needle injections, but can also be administered by mouth or sprayed into the nose</w:t>
      </w:r>
    </w:p>
    <w:p w14:paraId="7B9C4054" w14:textId="77777777" w:rsidR="000F5D9D" w:rsidRPr="005A79C9" w:rsidRDefault="000F5D9D" w:rsidP="00F24855">
      <w:pPr>
        <w:pStyle w:val="ListParagraph"/>
        <w:numPr>
          <w:ilvl w:val="0"/>
          <w:numId w:val="5"/>
        </w:numPr>
        <w:spacing w:after="120" w:line="360" w:lineRule="auto"/>
        <w:ind w:left="851"/>
        <w:jc w:val="both"/>
        <w:rPr>
          <w:szCs w:val="24"/>
        </w:rPr>
      </w:pPr>
      <w:r w:rsidRPr="005A79C9">
        <w:rPr>
          <w:szCs w:val="24"/>
        </w:rPr>
        <w:t xml:space="preserve"> Vaccination: The act of introducing a vaccine into the body to produce immunity to a specific disease.</w:t>
      </w:r>
    </w:p>
    <w:p w14:paraId="345CCACE" w14:textId="77777777" w:rsidR="000F5D9D" w:rsidRPr="005A79C9" w:rsidRDefault="000F5D9D" w:rsidP="00F24855">
      <w:pPr>
        <w:pStyle w:val="ListParagraph"/>
        <w:numPr>
          <w:ilvl w:val="0"/>
          <w:numId w:val="5"/>
        </w:numPr>
        <w:spacing w:after="120" w:line="360" w:lineRule="auto"/>
        <w:ind w:left="851"/>
        <w:jc w:val="both"/>
        <w:rPr>
          <w:szCs w:val="24"/>
        </w:rPr>
      </w:pPr>
      <w:r w:rsidRPr="005A79C9">
        <w:rPr>
          <w:szCs w:val="24"/>
        </w:rPr>
        <w:t xml:space="preserve"> Immunization: Process by which a person becomes protected against a disease through vaccination. This term is often used interchangeably with vaccination or inoculation.</w:t>
      </w:r>
    </w:p>
    <w:p w14:paraId="66DD1714" w14:textId="77777777" w:rsidR="000F5D9D" w:rsidRPr="005A79C9" w:rsidRDefault="000F5D9D" w:rsidP="00F24855">
      <w:pPr>
        <w:pStyle w:val="ListParagraph"/>
        <w:numPr>
          <w:ilvl w:val="0"/>
          <w:numId w:val="5"/>
        </w:numPr>
        <w:spacing w:after="120" w:line="360" w:lineRule="auto"/>
        <w:ind w:left="851"/>
        <w:jc w:val="both"/>
        <w:rPr>
          <w:szCs w:val="24"/>
        </w:rPr>
      </w:pPr>
      <w:r w:rsidRPr="005A79C9">
        <w:rPr>
          <w:szCs w:val="24"/>
        </w:rPr>
        <w:t xml:space="preserve"> Immunity: </w:t>
      </w:r>
      <w:r w:rsidRPr="005A79C9">
        <w:rPr>
          <w:szCs w:val="24"/>
          <w:shd w:val="clear" w:color="auto" w:fill="FFFFFF"/>
        </w:rPr>
        <w:t>Protection from an infectious disease</w:t>
      </w:r>
      <w:r w:rsidRPr="005A79C9">
        <w:rPr>
          <w:szCs w:val="24"/>
        </w:rPr>
        <w:t xml:space="preserve"> </w:t>
      </w:r>
    </w:p>
    <w:p w14:paraId="4ACB36BA" w14:textId="77777777" w:rsidR="000F5D9D" w:rsidRPr="005A79C9" w:rsidRDefault="000F5D9D" w:rsidP="00E22C20">
      <w:pPr>
        <w:spacing w:line="360" w:lineRule="auto"/>
        <w:ind w:left="851"/>
        <w:jc w:val="both"/>
        <w:rPr>
          <w:szCs w:val="24"/>
        </w:rPr>
      </w:pPr>
    </w:p>
    <w:p w14:paraId="70FF5CF4" w14:textId="77777777" w:rsidR="000F5D9D" w:rsidRPr="005A79C9" w:rsidRDefault="000F5D9D" w:rsidP="00E22C20">
      <w:pPr>
        <w:spacing w:line="360" w:lineRule="auto"/>
        <w:ind w:left="851"/>
        <w:jc w:val="both"/>
        <w:rPr>
          <w:szCs w:val="24"/>
        </w:rPr>
      </w:pPr>
      <w:r w:rsidRPr="005A79C9">
        <w:rPr>
          <w:szCs w:val="24"/>
        </w:rPr>
        <w:t xml:space="preserve">Other definition of terms: </w:t>
      </w:r>
    </w:p>
    <w:p w14:paraId="0F9DDF40" w14:textId="77777777" w:rsidR="000F5D9D" w:rsidRPr="005A79C9" w:rsidRDefault="000F5D9D" w:rsidP="00F24855">
      <w:pPr>
        <w:pStyle w:val="ListParagraph"/>
        <w:numPr>
          <w:ilvl w:val="0"/>
          <w:numId w:val="6"/>
        </w:numPr>
        <w:spacing w:line="360" w:lineRule="auto"/>
        <w:ind w:left="851"/>
        <w:jc w:val="both"/>
        <w:rPr>
          <w:szCs w:val="24"/>
        </w:rPr>
      </w:pPr>
      <w:r w:rsidRPr="005A79C9">
        <w:rPr>
          <w:szCs w:val="24"/>
        </w:rPr>
        <w:t xml:space="preserve"> Childhood vaccines: Childhood vaccine stated in this study refer to basic primary immunization for children aged 0 - 24 months in line with Ministry of Health’s (MOH) national vaccination schedule recommendations. </w:t>
      </w:r>
    </w:p>
    <w:p w14:paraId="368A4F3A" w14:textId="77777777" w:rsidR="000F5D9D" w:rsidRPr="005A79C9" w:rsidRDefault="000F5D9D" w:rsidP="00F24855">
      <w:pPr>
        <w:pStyle w:val="ListParagraph"/>
        <w:numPr>
          <w:ilvl w:val="0"/>
          <w:numId w:val="6"/>
        </w:numPr>
        <w:spacing w:line="360" w:lineRule="auto"/>
        <w:ind w:left="851"/>
        <w:jc w:val="both"/>
        <w:rPr>
          <w:szCs w:val="24"/>
        </w:rPr>
      </w:pPr>
      <w:r w:rsidRPr="005A79C9">
        <w:rPr>
          <w:szCs w:val="24"/>
        </w:rPr>
        <w:t xml:space="preserve"> Vaccine hesitancy:</w:t>
      </w:r>
      <w:r w:rsidRPr="005A79C9">
        <w:rPr>
          <w:szCs w:val="24"/>
          <w:shd w:val="clear" w:color="auto" w:fill="FFFFFF"/>
        </w:rPr>
        <w:t xml:space="preserve"> Delay in acceptance or refusal of vaccination despite availability of vaccination services </w:t>
      </w:r>
      <w:r w:rsidRPr="005A79C9">
        <w:rPr>
          <w:szCs w:val="24"/>
        </w:rPr>
        <w:fldChar w:fldCharType="begin" w:fldLock="1"/>
      </w:r>
      <w:r w:rsidRPr="005A79C9">
        <w:rPr>
          <w:szCs w:val="24"/>
        </w:rPr>
        <w:instrText>ADDIN CSL_CITATION {"citationItems":[{"id":"ITEM-1","itemData":{"DOI":"10.1016/j.vaccine.2015.04.036","author":[{"dropping-particle":"","family":"Macdonald","given":"Noni E","non-dropping-particle":"","parse-names":false,"suffix":""},{"dropping-particle":"","family":"Group","given":"Working","non-dropping-particle":"","parse-names":false,"suffix":""}],"id":"ITEM-1","issued":{"date-parts":[["2015"]]},"page":"4161-4164","title":"Vaccine hesitancy : Definition , scope and determinants","type":"article-journal","volume":"33"},"uris":["http://www.mendeley.com/documents/?uuid=f020b823-1ddd-4343-9c14-6502886a8781"]}],"mendeley":{"formattedCitation":"(Macdonald &amp; Group, 2015)","plainTextFormattedCitation":"(Macdonald &amp; Group, 2015)","previouslyFormattedCitation":"(Macdonald &amp; Group, 2015)"},"properties":{"noteIndex":0},"schema":"https://github.com/citation-style-language/schema/raw/master/csl-citation.json"}</w:instrText>
      </w:r>
      <w:r w:rsidRPr="005A79C9">
        <w:rPr>
          <w:szCs w:val="24"/>
        </w:rPr>
        <w:fldChar w:fldCharType="separate"/>
      </w:r>
      <w:r w:rsidRPr="005A79C9">
        <w:rPr>
          <w:noProof/>
          <w:szCs w:val="24"/>
        </w:rPr>
        <w:t>(Macdonald &amp; Group, 2015)</w:t>
      </w:r>
      <w:r w:rsidRPr="005A79C9">
        <w:rPr>
          <w:szCs w:val="24"/>
        </w:rPr>
        <w:fldChar w:fldCharType="end"/>
      </w:r>
    </w:p>
    <w:p w14:paraId="730E27A7" w14:textId="77777777" w:rsidR="000F5D9D" w:rsidRPr="005A79C9" w:rsidRDefault="000F5D9D" w:rsidP="00E22C20">
      <w:pPr>
        <w:pStyle w:val="ListParagraph"/>
        <w:spacing w:line="360" w:lineRule="auto"/>
        <w:ind w:left="851"/>
        <w:jc w:val="both"/>
        <w:rPr>
          <w:szCs w:val="24"/>
        </w:rPr>
      </w:pPr>
    </w:p>
    <w:p w14:paraId="01142BBB" w14:textId="77777777" w:rsidR="000F5D9D" w:rsidRPr="005A79C9" w:rsidRDefault="000F5D9D" w:rsidP="00E22C20">
      <w:pPr>
        <w:pStyle w:val="ListParagraph"/>
        <w:spacing w:line="360" w:lineRule="auto"/>
        <w:ind w:left="851"/>
        <w:jc w:val="both"/>
        <w:rPr>
          <w:szCs w:val="24"/>
        </w:rPr>
      </w:pPr>
    </w:p>
    <w:p w14:paraId="7DDE545C" w14:textId="77777777" w:rsidR="000F5D9D" w:rsidRPr="005A79C9" w:rsidRDefault="000F5D9D" w:rsidP="00E22C20">
      <w:pPr>
        <w:pStyle w:val="ListParagraph"/>
        <w:spacing w:line="360" w:lineRule="auto"/>
        <w:ind w:left="851"/>
        <w:jc w:val="both"/>
        <w:rPr>
          <w:szCs w:val="24"/>
        </w:rPr>
      </w:pPr>
    </w:p>
    <w:p w14:paraId="55574CCD" w14:textId="77777777" w:rsidR="000F5D9D" w:rsidRPr="005A79C9" w:rsidRDefault="000F5D9D" w:rsidP="00E22C20">
      <w:pPr>
        <w:pStyle w:val="ListParagraph"/>
        <w:spacing w:line="360" w:lineRule="auto"/>
        <w:ind w:left="851"/>
        <w:jc w:val="both"/>
        <w:rPr>
          <w:szCs w:val="24"/>
        </w:rPr>
      </w:pPr>
    </w:p>
    <w:p w14:paraId="112A31C3" w14:textId="77777777" w:rsidR="000F5D9D" w:rsidRPr="005A79C9" w:rsidRDefault="000F5D9D" w:rsidP="00E22C20">
      <w:pPr>
        <w:pStyle w:val="ListParagraph"/>
        <w:spacing w:line="360" w:lineRule="auto"/>
        <w:ind w:left="851"/>
        <w:jc w:val="both"/>
        <w:rPr>
          <w:szCs w:val="24"/>
        </w:rPr>
      </w:pPr>
    </w:p>
    <w:p w14:paraId="1AC3BECA" w14:textId="77777777" w:rsidR="000F5D9D" w:rsidRPr="005A79C9" w:rsidRDefault="000F5D9D" w:rsidP="00E22C20">
      <w:pPr>
        <w:pStyle w:val="ListParagraph"/>
        <w:spacing w:line="360" w:lineRule="auto"/>
        <w:ind w:left="851"/>
        <w:jc w:val="both"/>
        <w:rPr>
          <w:szCs w:val="24"/>
        </w:rPr>
      </w:pPr>
    </w:p>
    <w:p w14:paraId="4470FF38" w14:textId="77777777" w:rsidR="000F5D9D" w:rsidRPr="005A79C9" w:rsidRDefault="000F5D9D" w:rsidP="00E22C20">
      <w:pPr>
        <w:pStyle w:val="Heading2"/>
        <w:spacing w:line="360" w:lineRule="auto"/>
        <w:ind w:left="851"/>
        <w:jc w:val="both"/>
        <w:rPr>
          <w:rFonts w:ascii="Times New Roman" w:hAnsi="Times New Roman" w:cs="Times New Roman"/>
          <w:color w:val="auto"/>
          <w:sz w:val="24"/>
          <w:szCs w:val="24"/>
        </w:rPr>
      </w:pPr>
      <w:bookmarkStart w:id="12" w:name="_Toc31400953"/>
      <w:r w:rsidRPr="00DD2EB9">
        <w:rPr>
          <w:rFonts w:ascii="Times New Roman" w:hAnsi="Times New Roman" w:cs="Times New Roman"/>
          <w:b/>
          <w:bCs/>
          <w:color w:val="auto"/>
          <w:sz w:val="24"/>
          <w:szCs w:val="24"/>
        </w:rPr>
        <w:lastRenderedPageBreak/>
        <w:t>2.2 Vaccine hesitancy globally</w:t>
      </w:r>
      <w:bookmarkEnd w:id="12"/>
      <w:r w:rsidRPr="00DD2EB9">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 </w:t>
      </w:r>
    </w:p>
    <w:p w14:paraId="3DFBDCC3" w14:textId="77777777" w:rsidR="000F5D9D" w:rsidRDefault="000F5D9D" w:rsidP="00E22C20">
      <w:pPr>
        <w:spacing w:line="360" w:lineRule="auto"/>
        <w:ind w:left="851"/>
        <w:jc w:val="both"/>
        <w:rPr>
          <w:szCs w:val="24"/>
        </w:rPr>
      </w:pPr>
    </w:p>
    <w:p w14:paraId="02510161" w14:textId="77777777" w:rsidR="000F5D9D" w:rsidRPr="005A79C9" w:rsidRDefault="000F5D9D" w:rsidP="00E22C20">
      <w:pPr>
        <w:spacing w:line="360" w:lineRule="auto"/>
        <w:ind w:left="851" w:firstLine="567"/>
        <w:jc w:val="both"/>
        <w:rPr>
          <w:szCs w:val="24"/>
        </w:rPr>
      </w:pPr>
      <w:r w:rsidRPr="005A79C9">
        <w:rPr>
          <w:szCs w:val="24"/>
        </w:rPr>
        <w:t>Vaccine attitude is a continuum ranging from vaccine acceptance to complete rejection. Vaccine-hesitant individuals are a heterogeneous group in the middle this vaccine continuum. Vaccine hesitancy is an expression of concern or doubt about value or safety of vaccination. They may refuse some vaccines, but agree to others; delay vaccines or accept vaccines but are unsure in doing so.</w:t>
      </w:r>
    </w:p>
    <w:p w14:paraId="5F2BDD8E" w14:textId="4F0E08C9" w:rsidR="000F5D9D" w:rsidRDefault="000F5D9D" w:rsidP="00314AEF">
      <w:pPr>
        <w:spacing w:line="360" w:lineRule="auto"/>
        <w:ind w:left="851" w:firstLine="720"/>
        <w:jc w:val="both"/>
        <w:rPr>
          <w:szCs w:val="24"/>
        </w:rPr>
      </w:pPr>
      <w:r>
        <w:rPr>
          <w:noProof/>
          <w:szCs w:val="24"/>
        </w:rPr>
        <mc:AlternateContent>
          <mc:Choice Requires="wps">
            <w:drawing>
              <wp:anchor distT="0" distB="0" distL="114300" distR="114300" simplePos="0" relativeHeight="251659264" behindDoc="0" locked="0" layoutInCell="1" allowOverlap="1" wp14:anchorId="160E4CEE" wp14:editId="07547B62">
                <wp:simplePos x="0" y="0"/>
                <wp:positionH relativeFrom="margin">
                  <wp:posOffset>812800</wp:posOffset>
                </wp:positionH>
                <wp:positionV relativeFrom="paragraph">
                  <wp:posOffset>7620</wp:posOffset>
                </wp:positionV>
                <wp:extent cx="5022850" cy="25590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022850" cy="25590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C8898" id="Rectangle 3" o:spid="_x0000_s1026" style="position:absolute;margin-left:64pt;margin-top:.6pt;width:395.5pt;height:201.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" filled="f" strokecolor="black [3213]" strokeweight="1pt">
                <w10:wrap anchorx="margin"/>
              </v:rect>
            </w:pict>
          </mc:Fallback>
        </mc:AlternateContent>
      </w:r>
      <w:r w:rsidRPr="00BB6715">
        <w:rPr>
          <w:noProof/>
          <w:szCs w:val="24"/>
        </w:rPr>
        <w:drawing>
          <wp:inline distT="0" distB="0" distL="0" distR="0" wp14:anchorId="403637B5" wp14:editId="7B04000E">
            <wp:extent cx="4832350" cy="2443480"/>
            <wp:effectExtent l="0" t="0" r="0" b="0"/>
            <wp:docPr id="4" name="Content Placeholder 3">
              <a:extLst xmlns:a="http://schemas.openxmlformats.org/drawingml/2006/main">
                <a:ext uri="{FF2B5EF4-FFF2-40B4-BE49-F238E27FC236}">
                  <a16:creationId xmlns:a16="http://schemas.microsoft.com/office/drawing/2014/main" id="{61F93A40-C487-4D30-BEA4-3C978DA883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1F93A40-C487-4D30-BEA4-3C978DA8837F}"/>
                        </a:ext>
                      </a:extLst>
                    </pic:cNvPr>
                    <pic:cNvPicPr>
                      <a:picLocks noGrp="1" noChangeAspect="1"/>
                    </pic:cNvPicPr>
                  </pic:nvPicPr>
                  <pic:blipFill>
                    <a:blip r:embed="rId8"/>
                    <a:stretch>
                      <a:fillRect/>
                    </a:stretch>
                  </pic:blipFill>
                  <pic:spPr>
                    <a:xfrm>
                      <a:off x="0" y="0"/>
                      <a:ext cx="4832350" cy="2443480"/>
                    </a:xfrm>
                    <a:prstGeom prst="rect">
                      <a:avLst/>
                    </a:prstGeom>
                  </pic:spPr>
                </pic:pic>
              </a:graphicData>
            </a:graphic>
          </wp:inline>
        </w:drawing>
      </w:r>
    </w:p>
    <w:p w14:paraId="30DF834D" w14:textId="77777777" w:rsidR="000F5D9D" w:rsidRPr="005A79C9" w:rsidRDefault="000F5D9D" w:rsidP="00314AEF">
      <w:pPr>
        <w:spacing w:line="360" w:lineRule="auto"/>
        <w:ind w:left="851" w:firstLine="720"/>
        <w:jc w:val="center"/>
        <w:rPr>
          <w:szCs w:val="24"/>
        </w:rPr>
      </w:pPr>
      <w:r w:rsidRPr="005A79C9">
        <w:rPr>
          <w:szCs w:val="24"/>
        </w:rPr>
        <w:t>Figure 2.4: Vaccine Hesitancy Continuum</w:t>
      </w:r>
    </w:p>
    <w:p w14:paraId="09BCFE56" w14:textId="77777777" w:rsidR="000F5D9D" w:rsidRPr="005A79C9" w:rsidRDefault="000F5D9D" w:rsidP="00E22C20">
      <w:pPr>
        <w:spacing w:line="360" w:lineRule="auto"/>
        <w:ind w:left="851"/>
        <w:jc w:val="both"/>
        <w:rPr>
          <w:szCs w:val="24"/>
        </w:rPr>
      </w:pPr>
    </w:p>
    <w:p w14:paraId="3275E928" w14:textId="77777777" w:rsidR="000F5D9D" w:rsidRPr="005A79C9" w:rsidRDefault="000F5D9D" w:rsidP="00E22C20">
      <w:pPr>
        <w:spacing w:line="360" w:lineRule="auto"/>
        <w:ind w:left="851" w:firstLine="720"/>
        <w:jc w:val="both"/>
        <w:rPr>
          <w:szCs w:val="24"/>
        </w:rPr>
      </w:pPr>
      <w:r w:rsidRPr="005A79C9">
        <w:rPr>
          <w:szCs w:val="24"/>
        </w:rPr>
        <w:t xml:space="preserve">VH has become a global challenge as the number of countries reporting data on hesitancy has progressively increased, reaching 83% in 2017 </w:t>
      </w:r>
      <w:r w:rsidRPr="005A79C9">
        <w:rPr>
          <w:szCs w:val="24"/>
        </w:rPr>
        <w:fldChar w:fldCharType="begin" w:fldLock="1"/>
      </w:r>
      <w:r w:rsidRPr="005A79C9">
        <w:rPr>
          <w:szCs w:val="24"/>
        </w:rPr>
        <w:instrText>ADDIN CSL_CITATION {"citationItems":[{"id":"ITEM-1","itemData":{"DOI":"10.1016/j.vaccine.2018.03.063","ISSN":"18732518","abstract":"In order to gather a global picture of vaccine hesitancy and whether/how it is changing, an analysis was undertaken to review three years of data available as of June 2017 from the WHO/UNICEF Joint Report Form (JRF) to determine the reported rate of vaccine hesitancy across the globe, the cited reasons for hesitancy, if these varied by country income level and/or by WHO region and whether these reasons were based upon an assessment. The reported reasons were classified using the Strategic Advisory Group of Experts (SAGE) on Immunization matrix of hesitancy determinants (www.who.int/immunization/sage/meetings/2014/october/SAGE_working_group_revised_report_vaccine_hesitancy.pdf). Hesitancy was common, reported by &gt;90% of countries. The list of cited reasons was long and covered 22 of 23 WHO determinants matrix categories. Even the most frequently cited category, risk- benefit (scientific evidence e.g. vaccine safety concerns), accounted for less than one quarter of all reasons cited. The reasons varied by country income level, by WHO region and over time and within a country. Thus based upon this JRF data, across the globe countries appear to understand the SAGE vaccine hesitancy definition and use it to report reasons for hesitancy. However, the rigour of the cited reasons could be improved as only just over 1/3 of countries reported that their reasons were assessment based, the rest were opinion based. With respect to any assessment in the previous five years, upper middle income countries were the least likely to have done an assessment. These analyses provided some of the evidence for the 2017 Assessment Report of the Global Vaccine Action Plan recommendation that each country develop a strategy to increase acceptance and demand for vaccination, which should include ongoing community engagement and trust-building, active hesitancy prevention, regular national assessment of vaccine concerns, and crisis response planning (www.who.int/immunization/sage/meetings/2017/october/1_GVAP_Assessment_report_web_version.pdf).","author":[{"dropping-particle":"","family":"Lane","given":"Sarah","non-dropping-particle":"","parse-names":false,"suffix":""},{"dropping-particle":"","family":"MacDonald","given":"Noni E.","non-dropping-particle":"","parse-names":false,"suffix":""},{"dropping-particle":"","family":"Marti","given":"Melanie","non-dropping-particle":"","parse-names":false,"suffix":""},{"dropping-particle":"","family":"Dumolard","given":"Laure","non-dropping-particle":"","parse-names":false,"suffix":""}],"container-title":"Vaccine","id":"ITEM-1","issued":{"date-parts":[["2018"]]},"title":"Vaccine hesitancy around the globe: Analysis of three years of WHO/UNICEF Joint Reporting Form data-2015–2017","type":"article-journal"},"uris":["http://www.mendeley.com/documents/?uuid=cc60ab69-7a35-4a80-8529-772defb8bb17"]}],"mendeley":{"formattedCitation":"(Lane, MacDonald, Marti, &amp; Dumolard, 2018)","plainTextFormattedCitation":"(Lane, MacDonald, Marti, &amp; Dumolard, 2018)","previouslyFormattedCitation":"(Lane, MacDonald, Marti, &amp; Dumolard, 2018)"},"properties":{"noteIndex":0},"schema":"https://github.com/citation-style-language/schema/raw/master/csl-citation.json"}</w:instrText>
      </w:r>
      <w:r w:rsidRPr="005A79C9">
        <w:rPr>
          <w:szCs w:val="24"/>
        </w:rPr>
        <w:fldChar w:fldCharType="separate"/>
      </w:r>
      <w:r w:rsidRPr="005A79C9">
        <w:rPr>
          <w:noProof/>
          <w:szCs w:val="24"/>
        </w:rPr>
        <w:t>(Lane, MacDonald, Marti, &amp; Dumolard, 2018)</w:t>
      </w:r>
      <w:r w:rsidRPr="005A79C9">
        <w:rPr>
          <w:szCs w:val="24"/>
        </w:rPr>
        <w:fldChar w:fldCharType="end"/>
      </w:r>
      <w:r w:rsidRPr="005A79C9">
        <w:rPr>
          <w:szCs w:val="24"/>
        </w:rPr>
        <w:t xml:space="preserve">.  </w:t>
      </w:r>
      <w:r>
        <w:rPr>
          <w:szCs w:val="24"/>
        </w:rPr>
        <w:t>T</w:t>
      </w:r>
      <w:r w:rsidRPr="005A79C9">
        <w:rPr>
          <w:szCs w:val="24"/>
        </w:rPr>
        <w:t xml:space="preserve">he prevalence of VH in USA </w:t>
      </w:r>
      <w:r>
        <w:rPr>
          <w:szCs w:val="24"/>
        </w:rPr>
        <w:t xml:space="preserve">ranging from 6% to 30%.   </w:t>
      </w:r>
    </w:p>
    <w:p w14:paraId="11AB423F" w14:textId="47F64D60" w:rsidR="00CD6683" w:rsidRDefault="00CD6683" w:rsidP="00E22C20">
      <w:pPr>
        <w:spacing w:line="360" w:lineRule="auto"/>
        <w:ind w:left="851"/>
        <w:jc w:val="both"/>
      </w:pPr>
    </w:p>
    <w:p w14:paraId="4F0328AD" w14:textId="473C55A8" w:rsidR="000F5D9D" w:rsidRDefault="000F5D9D" w:rsidP="00E22C20">
      <w:pPr>
        <w:spacing w:line="360" w:lineRule="auto"/>
        <w:ind w:left="851"/>
        <w:jc w:val="both"/>
      </w:pPr>
    </w:p>
    <w:p w14:paraId="70AEDB94" w14:textId="7F2ABCE4" w:rsidR="000F5D9D" w:rsidRDefault="000F5D9D" w:rsidP="00E22C20">
      <w:pPr>
        <w:spacing w:line="360" w:lineRule="auto"/>
        <w:ind w:left="851"/>
        <w:jc w:val="both"/>
      </w:pPr>
    </w:p>
    <w:p w14:paraId="259D680C" w14:textId="22AD5985" w:rsidR="000F5D9D" w:rsidRDefault="000F5D9D" w:rsidP="00E22C20">
      <w:pPr>
        <w:spacing w:line="360" w:lineRule="auto"/>
        <w:ind w:left="851"/>
        <w:jc w:val="both"/>
      </w:pPr>
    </w:p>
    <w:p w14:paraId="6F500FE4" w14:textId="6D7E9017" w:rsidR="000F5D9D" w:rsidRDefault="000F5D9D" w:rsidP="00E22C20">
      <w:pPr>
        <w:spacing w:line="360" w:lineRule="auto"/>
        <w:ind w:left="851"/>
        <w:jc w:val="both"/>
      </w:pPr>
    </w:p>
    <w:p w14:paraId="2B6AC2B6" w14:textId="39BC7970" w:rsidR="000F5D9D" w:rsidRDefault="000F5D9D" w:rsidP="00E22C20">
      <w:pPr>
        <w:spacing w:line="360" w:lineRule="auto"/>
        <w:ind w:left="851"/>
        <w:jc w:val="both"/>
      </w:pPr>
    </w:p>
    <w:p w14:paraId="0E8B95CE" w14:textId="1BFECAB1" w:rsidR="000F5D9D" w:rsidRDefault="000F5D9D" w:rsidP="00E22C20">
      <w:pPr>
        <w:spacing w:line="360" w:lineRule="auto"/>
        <w:ind w:left="851"/>
        <w:jc w:val="both"/>
      </w:pPr>
    </w:p>
    <w:p w14:paraId="45F4ACD2" w14:textId="77777777" w:rsidR="000F5D9D" w:rsidRDefault="000F5D9D" w:rsidP="00E22C20">
      <w:pPr>
        <w:spacing w:line="360" w:lineRule="auto"/>
        <w:ind w:left="851"/>
        <w:jc w:val="both"/>
        <w:sectPr w:rsidR="000F5D9D">
          <w:pgSz w:w="11906" w:h="16838"/>
          <w:pgMar w:top="1440" w:right="1440" w:bottom="1440" w:left="1440" w:header="708" w:footer="708" w:gutter="0"/>
          <w:cols w:space="708"/>
          <w:docGrid w:linePitch="360"/>
        </w:sectPr>
      </w:pPr>
    </w:p>
    <w:tbl>
      <w:tblPr>
        <w:tblStyle w:val="TableGrid2"/>
        <w:tblpPr w:leftFromText="180" w:rightFromText="180" w:vertAnchor="page" w:horzAnchor="margin" w:tblpY="1401"/>
        <w:tblW w:w="13887" w:type="dxa"/>
        <w:tblLook w:val="04A0" w:firstRow="1" w:lastRow="0" w:firstColumn="1" w:lastColumn="0" w:noHBand="0" w:noVBand="1"/>
      </w:tblPr>
      <w:tblGrid>
        <w:gridCol w:w="701"/>
        <w:gridCol w:w="2217"/>
        <w:gridCol w:w="950"/>
        <w:gridCol w:w="3557"/>
        <w:gridCol w:w="6462"/>
      </w:tblGrid>
      <w:tr w:rsidR="000F5D9D" w:rsidRPr="00314AEF" w14:paraId="2C83ACE1" w14:textId="77777777" w:rsidTr="00E22C20">
        <w:tc>
          <w:tcPr>
            <w:tcW w:w="704" w:type="dxa"/>
          </w:tcPr>
          <w:p w14:paraId="4E1368B7" w14:textId="77777777" w:rsidR="000F5D9D" w:rsidRPr="00314AEF" w:rsidRDefault="000F5D9D" w:rsidP="00314AEF">
            <w:pPr>
              <w:rPr>
                <w:sz w:val="20"/>
                <w:szCs w:val="20"/>
              </w:rPr>
            </w:pPr>
            <w:bookmarkStart w:id="13" w:name="_Hlk31233210"/>
            <w:r w:rsidRPr="00314AEF">
              <w:rPr>
                <w:sz w:val="20"/>
                <w:szCs w:val="20"/>
              </w:rPr>
              <w:lastRenderedPageBreak/>
              <w:t>No</w:t>
            </w:r>
          </w:p>
        </w:tc>
        <w:tc>
          <w:tcPr>
            <w:tcW w:w="2228" w:type="dxa"/>
          </w:tcPr>
          <w:p w14:paraId="59A517E9" w14:textId="77777777" w:rsidR="000F5D9D" w:rsidRPr="00314AEF" w:rsidRDefault="000F5D9D" w:rsidP="00314AEF">
            <w:pPr>
              <w:rPr>
                <w:sz w:val="20"/>
                <w:szCs w:val="20"/>
              </w:rPr>
            </w:pPr>
            <w:r w:rsidRPr="00314AEF">
              <w:rPr>
                <w:sz w:val="20"/>
                <w:szCs w:val="20"/>
              </w:rPr>
              <w:t>Year / Authors</w:t>
            </w:r>
          </w:p>
        </w:tc>
        <w:tc>
          <w:tcPr>
            <w:tcW w:w="0" w:type="auto"/>
          </w:tcPr>
          <w:p w14:paraId="2D9320E9" w14:textId="77777777" w:rsidR="000F5D9D" w:rsidRPr="00314AEF" w:rsidRDefault="000F5D9D" w:rsidP="00314AEF">
            <w:pPr>
              <w:rPr>
                <w:sz w:val="20"/>
                <w:szCs w:val="20"/>
              </w:rPr>
            </w:pPr>
            <w:r w:rsidRPr="00314AEF">
              <w:rPr>
                <w:sz w:val="20"/>
                <w:szCs w:val="20"/>
              </w:rPr>
              <w:t>Country</w:t>
            </w:r>
          </w:p>
        </w:tc>
        <w:tc>
          <w:tcPr>
            <w:tcW w:w="3586" w:type="dxa"/>
          </w:tcPr>
          <w:p w14:paraId="00624744" w14:textId="77777777" w:rsidR="000F5D9D" w:rsidRPr="00314AEF" w:rsidRDefault="000F5D9D" w:rsidP="00314AEF">
            <w:pPr>
              <w:rPr>
                <w:sz w:val="20"/>
                <w:szCs w:val="20"/>
              </w:rPr>
            </w:pPr>
            <w:r w:rsidRPr="00314AEF">
              <w:rPr>
                <w:sz w:val="20"/>
                <w:szCs w:val="20"/>
              </w:rPr>
              <w:t>Sample</w:t>
            </w:r>
          </w:p>
        </w:tc>
        <w:tc>
          <w:tcPr>
            <w:tcW w:w="6521" w:type="dxa"/>
          </w:tcPr>
          <w:p w14:paraId="5554AD28" w14:textId="77777777" w:rsidR="000F5D9D" w:rsidRPr="00314AEF" w:rsidRDefault="000F5D9D" w:rsidP="00314AEF">
            <w:pPr>
              <w:rPr>
                <w:sz w:val="20"/>
                <w:szCs w:val="20"/>
              </w:rPr>
            </w:pPr>
            <w:r w:rsidRPr="00314AEF">
              <w:rPr>
                <w:sz w:val="20"/>
                <w:szCs w:val="20"/>
              </w:rPr>
              <w:t>Results</w:t>
            </w:r>
          </w:p>
        </w:tc>
      </w:tr>
      <w:tr w:rsidR="000F5D9D" w:rsidRPr="00314AEF" w14:paraId="63DAF2C9" w14:textId="77777777" w:rsidTr="00E22C20">
        <w:trPr>
          <w:trHeight w:val="799"/>
        </w:trPr>
        <w:tc>
          <w:tcPr>
            <w:tcW w:w="704" w:type="dxa"/>
          </w:tcPr>
          <w:p w14:paraId="528BF154" w14:textId="77777777" w:rsidR="000F5D9D" w:rsidRPr="00314AEF" w:rsidRDefault="000F5D9D" w:rsidP="00314AEF">
            <w:pPr>
              <w:rPr>
                <w:sz w:val="20"/>
                <w:szCs w:val="20"/>
              </w:rPr>
            </w:pPr>
          </w:p>
        </w:tc>
        <w:tc>
          <w:tcPr>
            <w:tcW w:w="2228" w:type="dxa"/>
          </w:tcPr>
          <w:p w14:paraId="5DB60931" w14:textId="77777777" w:rsidR="000F5D9D" w:rsidRPr="00314AEF" w:rsidRDefault="000F5D9D" w:rsidP="00314AEF">
            <w:pPr>
              <w:rPr>
                <w:sz w:val="20"/>
                <w:szCs w:val="20"/>
              </w:rPr>
            </w:pPr>
            <w:r w:rsidRPr="00314AEF">
              <w:rPr>
                <w:sz w:val="20"/>
                <w:szCs w:val="20"/>
              </w:rPr>
              <w:t>Vaccine hesitancy among parents in a multi-ethnic country, Malaysia</w:t>
            </w:r>
          </w:p>
          <w:p w14:paraId="2B8B894C" w14:textId="77777777" w:rsidR="000F5D9D" w:rsidRPr="00314AEF" w:rsidRDefault="000F5D9D" w:rsidP="00314AEF">
            <w:pPr>
              <w:rPr>
                <w:sz w:val="20"/>
                <w:szCs w:val="20"/>
              </w:rPr>
            </w:pPr>
            <w:proofErr w:type="spellStart"/>
            <w:r w:rsidRPr="00314AEF">
              <w:rPr>
                <w:sz w:val="20"/>
                <w:szCs w:val="20"/>
              </w:rPr>
              <w:t>Shaheera</w:t>
            </w:r>
            <w:proofErr w:type="spellEnd"/>
            <w:r w:rsidRPr="00314AEF">
              <w:rPr>
                <w:sz w:val="20"/>
                <w:szCs w:val="20"/>
              </w:rPr>
              <w:t xml:space="preserve"> et al., 2017</w:t>
            </w:r>
          </w:p>
          <w:p w14:paraId="231F030D" w14:textId="77777777" w:rsidR="000F5D9D" w:rsidRPr="00314AEF" w:rsidRDefault="000F5D9D" w:rsidP="00314AEF">
            <w:pPr>
              <w:rPr>
                <w:sz w:val="20"/>
                <w:szCs w:val="20"/>
              </w:rPr>
            </w:pPr>
          </w:p>
          <w:p w14:paraId="77C4C669" w14:textId="77777777" w:rsidR="000F5D9D" w:rsidRPr="00314AEF" w:rsidRDefault="000F5D9D" w:rsidP="00314AEF">
            <w:pPr>
              <w:rPr>
                <w:sz w:val="20"/>
                <w:szCs w:val="20"/>
              </w:rPr>
            </w:pPr>
          </w:p>
        </w:tc>
        <w:tc>
          <w:tcPr>
            <w:tcW w:w="0" w:type="auto"/>
          </w:tcPr>
          <w:p w14:paraId="52FCAF4B" w14:textId="77777777" w:rsidR="000F5D9D" w:rsidRPr="00314AEF" w:rsidRDefault="000F5D9D" w:rsidP="00314AEF">
            <w:pPr>
              <w:rPr>
                <w:sz w:val="20"/>
                <w:szCs w:val="20"/>
              </w:rPr>
            </w:pPr>
            <w:r w:rsidRPr="00314AEF">
              <w:rPr>
                <w:sz w:val="20"/>
                <w:szCs w:val="20"/>
              </w:rPr>
              <w:t>Malaysia</w:t>
            </w:r>
          </w:p>
        </w:tc>
        <w:tc>
          <w:tcPr>
            <w:tcW w:w="3586" w:type="dxa"/>
          </w:tcPr>
          <w:p w14:paraId="42DDA18B" w14:textId="77777777" w:rsidR="000F5D9D" w:rsidRPr="00314AEF" w:rsidRDefault="000F5D9D" w:rsidP="00314AEF">
            <w:pPr>
              <w:rPr>
                <w:sz w:val="20"/>
                <w:szCs w:val="20"/>
              </w:rPr>
            </w:pPr>
            <w:r w:rsidRPr="00314AEF">
              <w:rPr>
                <w:sz w:val="20"/>
                <w:szCs w:val="20"/>
              </w:rPr>
              <w:t>Cross sectional</w:t>
            </w:r>
          </w:p>
          <w:p w14:paraId="4B8B2E68" w14:textId="77777777" w:rsidR="000F5D9D" w:rsidRPr="00314AEF" w:rsidRDefault="000F5D9D" w:rsidP="00314AEF">
            <w:pPr>
              <w:rPr>
                <w:sz w:val="20"/>
                <w:szCs w:val="20"/>
              </w:rPr>
            </w:pPr>
            <w:r w:rsidRPr="00314AEF">
              <w:rPr>
                <w:sz w:val="20"/>
                <w:szCs w:val="20"/>
              </w:rPr>
              <w:t>Convenience sampling,</w:t>
            </w:r>
          </w:p>
          <w:p w14:paraId="35802E9D" w14:textId="77777777" w:rsidR="000F5D9D" w:rsidRPr="00314AEF" w:rsidRDefault="000F5D9D" w:rsidP="00314AEF">
            <w:pPr>
              <w:rPr>
                <w:sz w:val="20"/>
                <w:szCs w:val="20"/>
              </w:rPr>
            </w:pPr>
            <w:r w:rsidRPr="00314AEF">
              <w:rPr>
                <w:sz w:val="20"/>
                <w:szCs w:val="20"/>
              </w:rPr>
              <w:t>545</w:t>
            </w:r>
          </w:p>
          <w:p w14:paraId="118906EB" w14:textId="77777777" w:rsidR="000F5D9D" w:rsidRPr="00314AEF" w:rsidRDefault="000F5D9D" w:rsidP="00314AEF">
            <w:pPr>
              <w:rPr>
                <w:sz w:val="20"/>
                <w:szCs w:val="20"/>
              </w:rPr>
            </w:pPr>
          </w:p>
        </w:tc>
        <w:tc>
          <w:tcPr>
            <w:tcW w:w="6521" w:type="dxa"/>
          </w:tcPr>
          <w:p w14:paraId="50DB1C98" w14:textId="77777777" w:rsidR="000F5D9D" w:rsidRPr="00314AEF" w:rsidRDefault="000F5D9D" w:rsidP="00314AEF">
            <w:pPr>
              <w:rPr>
                <w:sz w:val="20"/>
                <w:szCs w:val="20"/>
              </w:rPr>
            </w:pPr>
            <w:r w:rsidRPr="00314AEF">
              <w:rPr>
                <w:sz w:val="20"/>
                <w:szCs w:val="20"/>
              </w:rPr>
              <w:t xml:space="preserve">Prevalence VH 11.6% of parents </w:t>
            </w:r>
          </w:p>
          <w:p w14:paraId="00E4C80B" w14:textId="77777777" w:rsidR="000F5D9D" w:rsidRPr="00314AEF" w:rsidRDefault="000F5D9D" w:rsidP="00314AEF">
            <w:pPr>
              <w:rPr>
                <w:sz w:val="20"/>
                <w:szCs w:val="20"/>
              </w:rPr>
            </w:pPr>
            <w:r w:rsidRPr="00314AEF">
              <w:rPr>
                <w:sz w:val="20"/>
                <w:szCs w:val="20"/>
              </w:rPr>
              <w:t>Associated with unemployed parents, parents who were younger, had fewer children and non-Muslim</w:t>
            </w:r>
          </w:p>
        </w:tc>
      </w:tr>
      <w:tr w:rsidR="000F5D9D" w:rsidRPr="00314AEF" w14:paraId="5FA23606" w14:textId="77777777" w:rsidTr="00E22C20">
        <w:trPr>
          <w:trHeight w:val="1737"/>
        </w:trPr>
        <w:tc>
          <w:tcPr>
            <w:tcW w:w="704" w:type="dxa"/>
          </w:tcPr>
          <w:p w14:paraId="61A0E9FA" w14:textId="77777777" w:rsidR="000F5D9D" w:rsidRPr="00314AEF" w:rsidRDefault="000F5D9D" w:rsidP="00314AEF">
            <w:pPr>
              <w:rPr>
                <w:sz w:val="20"/>
                <w:szCs w:val="20"/>
              </w:rPr>
            </w:pPr>
          </w:p>
        </w:tc>
        <w:tc>
          <w:tcPr>
            <w:tcW w:w="2228" w:type="dxa"/>
          </w:tcPr>
          <w:p w14:paraId="753D02C5" w14:textId="77777777" w:rsidR="000F5D9D" w:rsidRPr="00314AEF" w:rsidRDefault="000F5D9D" w:rsidP="00314AEF">
            <w:pPr>
              <w:rPr>
                <w:color w:val="333333"/>
                <w:sz w:val="20"/>
                <w:szCs w:val="20"/>
                <w:shd w:val="clear" w:color="auto" w:fill="FFFFFF"/>
              </w:rPr>
            </w:pPr>
            <w:r w:rsidRPr="00314AEF">
              <w:rPr>
                <w:color w:val="333333"/>
                <w:sz w:val="20"/>
                <w:szCs w:val="20"/>
                <w:shd w:val="clear" w:color="auto" w:fill="FFFFFF"/>
              </w:rPr>
              <w:t xml:space="preserve">Vaccine hesitancy among parents in Kuala Lumpur: a single </w:t>
            </w:r>
            <w:proofErr w:type="spellStart"/>
            <w:r w:rsidRPr="00314AEF">
              <w:rPr>
                <w:color w:val="333333"/>
                <w:sz w:val="20"/>
                <w:szCs w:val="20"/>
                <w:shd w:val="clear" w:color="auto" w:fill="FFFFFF"/>
              </w:rPr>
              <w:t>center</w:t>
            </w:r>
            <w:proofErr w:type="spellEnd"/>
            <w:r w:rsidRPr="00314AEF">
              <w:rPr>
                <w:color w:val="333333"/>
                <w:sz w:val="20"/>
                <w:szCs w:val="20"/>
                <w:shd w:val="clear" w:color="auto" w:fill="FFFFFF"/>
              </w:rPr>
              <w:t xml:space="preserve"> study</w:t>
            </w:r>
          </w:p>
          <w:p w14:paraId="40A02F6F" w14:textId="77777777" w:rsidR="000F5D9D" w:rsidRPr="00314AEF" w:rsidRDefault="000F5D9D" w:rsidP="00314AEF">
            <w:pPr>
              <w:rPr>
                <w:sz w:val="20"/>
                <w:szCs w:val="20"/>
              </w:rPr>
            </w:pPr>
            <w:r w:rsidRPr="00314AEF">
              <w:rPr>
                <w:noProof/>
                <w:sz w:val="20"/>
                <w:szCs w:val="20"/>
              </w:rPr>
              <w:t>Musa, Soni, Cheong, &amp; Nordin, 2019</w:t>
            </w:r>
          </w:p>
        </w:tc>
        <w:tc>
          <w:tcPr>
            <w:tcW w:w="0" w:type="auto"/>
          </w:tcPr>
          <w:p w14:paraId="5C489681" w14:textId="77777777" w:rsidR="000F5D9D" w:rsidRPr="00314AEF" w:rsidRDefault="000F5D9D" w:rsidP="00314AEF">
            <w:pPr>
              <w:rPr>
                <w:sz w:val="20"/>
                <w:szCs w:val="20"/>
              </w:rPr>
            </w:pPr>
            <w:r w:rsidRPr="00314AEF">
              <w:rPr>
                <w:sz w:val="20"/>
                <w:szCs w:val="20"/>
              </w:rPr>
              <w:t>Malaysia</w:t>
            </w:r>
          </w:p>
        </w:tc>
        <w:tc>
          <w:tcPr>
            <w:tcW w:w="3586" w:type="dxa"/>
          </w:tcPr>
          <w:p w14:paraId="67C2C341" w14:textId="77777777" w:rsidR="000F5D9D" w:rsidRPr="00314AEF" w:rsidRDefault="000F5D9D" w:rsidP="00314AEF">
            <w:pPr>
              <w:rPr>
                <w:sz w:val="20"/>
                <w:szCs w:val="20"/>
              </w:rPr>
            </w:pPr>
            <w:r w:rsidRPr="00314AEF">
              <w:rPr>
                <w:sz w:val="20"/>
                <w:szCs w:val="20"/>
              </w:rPr>
              <w:t>Cross sectional</w:t>
            </w:r>
          </w:p>
          <w:p w14:paraId="35C98023" w14:textId="77777777" w:rsidR="000F5D9D" w:rsidRPr="00314AEF" w:rsidRDefault="000F5D9D" w:rsidP="00314AEF">
            <w:pPr>
              <w:rPr>
                <w:sz w:val="20"/>
                <w:szCs w:val="20"/>
              </w:rPr>
            </w:pPr>
            <w:r w:rsidRPr="00314AEF">
              <w:rPr>
                <w:sz w:val="20"/>
                <w:szCs w:val="20"/>
              </w:rPr>
              <w:t>Sampling not mentioned (include all)</w:t>
            </w:r>
          </w:p>
          <w:p w14:paraId="0E458B4B" w14:textId="77777777" w:rsidR="000F5D9D" w:rsidRPr="00314AEF" w:rsidRDefault="000F5D9D" w:rsidP="00314AEF">
            <w:pPr>
              <w:rPr>
                <w:sz w:val="20"/>
                <w:szCs w:val="20"/>
              </w:rPr>
            </w:pPr>
            <w:r w:rsidRPr="00314AEF">
              <w:rPr>
                <w:sz w:val="20"/>
                <w:szCs w:val="20"/>
              </w:rPr>
              <w:t xml:space="preserve">314 parents </w:t>
            </w:r>
          </w:p>
          <w:p w14:paraId="1CFD8827" w14:textId="77777777" w:rsidR="000F5D9D" w:rsidRPr="00314AEF" w:rsidRDefault="000F5D9D" w:rsidP="00314AEF">
            <w:pPr>
              <w:rPr>
                <w:sz w:val="20"/>
                <w:szCs w:val="20"/>
              </w:rPr>
            </w:pPr>
            <w:r w:rsidRPr="00314AEF">
              <w:rPr>
                <w:color w:val="333333"/>
                <w:sz w:val="20"/>
                <w:szCs w:val="20"/>
                <w:shd w:val="clear" w:color="auto" w:fill="FFFFFF"/>
              </w:rPr>
              <w:t>From December 2016 to May 2017</w:t>
            </w:r>
          </w:p>
        </w:tc>
        <w:tc>
          <w:tcPr>
            <w:tcW w:w="6521" w:type="dxa"/>
          </w:tcPr>
          <w:p w14:paraId="455CF3B8" w14:textId="77777777" w:rsidR="000F5D9D" w:rsidRPr="00314AEF" w:rsidRDefault="000F5D9D" w:rsidP="00314AEF">
            <w:pPr>
              <w:rPr>
                <w:sz w:val="20"/>
                <w:szCs w:val="20"/>
              </w:rPr>
            </w:pPr>
            <w:r w:rsidRPr="00314AEF">
              <w:rPr>
                <w:sz w:val="20"/>
                <w:szCs w:val="20"/>
              </w:rPr>
              <w:t xml:space="preserve">Prevalence of VH of 14.5% </w:t>
            </w:r>
          </w:p>
          <w:p w14:paraId="19FEB27D" w14:textId="77777777" w:rsidR="000F5D9D" w:rsidRPr="00314AEF" w:rsidRDefault="000F5D9D" w:rsidP="00314AEF">
            <w:pPr>
              <w:rPr>
                <w:sz w:val="20"/>
                <w:szCs w:val="20"/>
              </w:rPr>
            </w:pPr>
            <w:r w:rsidRPr="00314AEF">
              <w:rPr>
                <w:sz w:val="20"/>
                <w:szCs w:val="20"/>
              </w:rPr>
              <w:t xml:space="preserve">Univariate analysis found no link between sociodemographic factors and VH in parents. </w:t>
            </w:r>
          </w:p>
          <w:p w14:paraId="5B121450" w14:textId="77777777" w:rsidR="000F5D9D" w:rsidRPr="00314AEF" w:rsidRDefault="000F5D9D" w:rsidP="00314AEF">
            <w:pPr>
              <w:rPr>
                <w:sz w:val="20"/>
                <w:szCs w:val="20"/>
              </w:rPr>
            </w:pPr>
            <w:r w:rsidRPr="00314AEF">
              <w:rPr>
                <w:sz w:val="20"/>
                <w:szCs w:val="20"/>
              </w:rPr>
              <w:t>Only five of these determinants were included in the final model as statistically significant (p&lt; 0.05) predictors of VH among parents in KL. The five factors were introduction to a new vaccine, negative past experiences of vaccinations, distrust of the pharmaceutical industry, distrust of health systems and providers and being male.</w:t>
            </w:r>
          </w:p>
        </w:tc>
      </w:tr>
      <w:tr w:rsidR="000F5D9D" w:rsidRPr="00314AEF" w14:paraId="0CEDAF81" w14:textId="77777777" w:rsidTr="00E22C20">
        <w:trPr>
          <w:trHeight w:val="1618"/>
        </w:trPr>
        <w:tc>
          <w:tcPr>
            <w:tcW w:w="704" w:type="dxa"/>
          </w:tcPr>
          <w:p w14:paraId="6CFF72C5" w14:textId="77777777" w:rsidR="000F5D9D" w:rsidRPr="00314AEF" w:rsidRDefault="000F5D9D" w:rsidP="00314AEF">
            <w:pPr>
              <w:rPr>
                <w:sz w:val="20"/>
                <w:szCs w:val="20"/>
              </w:rPr>
            </w:pPr>
          </w:p>
        </w:tc>
        <w:tc>
          <w:tcPr>
            <w:tcW w:w="2228" w:type="dxa"/>
          </w:tcPr>
          <w:p w14:paraId="1EE2F3AB" w14:textId="77777777" w:rsidR="000F5D9D" w:rsidRPr="00314AEF" w:rsidRDefault="000F5D9D" w:rsidP="00314AEF">
            <w:pPr>
              <w:rPr>
                <w:sz w:val="20"/>
                <w:szCs w:val="20"/>
              </w:rPr>
            </w:pPr>
            <w:r w:rsidRPr="00314AEF">
              <w:rPr>
                <w:sz w:val="20"/>
                <w:szCs w:val="20"/>
              </w:rPr>
              <w:t>Vaccine Hesitancy toward Childhood Immunisation among</w:t>
            </w:r>
          </w:p>
          <w:p w14:paraId="03AAA398" w14:textId="77777777" w:rsidR="000F5D9D" w:rsidRPr="00314AEF" w:rsidRDefault="000F5D9D" w:rsidP="00314AEF">
            <w:pPr>
              <w:rPr>
                <w:sz w:val="20"/>
                <w:szCs w:val="20"/>
              </w:rPr>
            </w:pPr>
            <w:r w:rsidRPr="00314AEF">
              <w:rPr>
                <w:sz w:val="20"/>
                <w:szCs w:val="20"/>
              </w:rPr>
              <w:t>Antenatal Mothers at National University Hospital Kuala</w:t>
            </w:r>
          </w:p>
          <w:p w14:paraId="4452A1BC" w14:textId="77777777" w:rsidR="000F5D9D" w:rsidRPr="00314AEF" w:rsidRDefault="000F5D9D" w:rsidP="00314AEF">
            <w:pPr>
              <w:rPr>
                <w:sz w:val="20"/>
                <w:szCs w:val="20"/>
              </w:rPr>
            </w:pPr>
            <w:r w:rsidRPr="00314AEF">
              <w:rPr>
                <w:sz w:val="20"/>
                <w:szCs w:val="20"/>
              </w:rPr>
              <w:t>Lumpur</w:t>
            </w:r>
          </w:p>
          <w:p w14:paraId="311386E2" w14:textId="77777777" w:rsidR="000F5D9D" w:rsidRPr="00314AEF" w:rsidRDefault="000F5D9D" w:rsidP="00314AEF">
            <w:pPr>
              <w:rPr>
                <w:sz w:val="20"/>
                <w:szCs w:val="20"/>
              </w:rPr>
            </w:pPr>
            <w:proofErr w:type="spellStart"/>
            <w:r w:rsidRPr="00314AEF">
              <w:rPr>
                <w:sz w:val="20"/>
                <w:szCs w:val="20"/>
              </w:rPr>
              <w:t>Kalok</w:t>
            </w:r>
            <w:proofErr w:type="spellEnd"/>
            <w:r w:rsidRPr="00314AEF">
              <w:rPr>
                <w:sz w:val="20"/>
                <w:szCs w:val="20"/>
              </w:rPr>
              <w:t xml:space="preserve"> et al., 2017</w:t>
            </w:r>
          </w:p>
          <w:p w14:paraId="552A60EB" w14:textId="77777777" w:rsidR="000F5D9D" w:rsidRPr="00314AEF" w:rsidRDefault="000F5D9D" w:rsidP="00314AEF">
            <w:pPr>
              <w:rPr>
                <w:sz w:val="20"/>
                <w:szCs w:val="20"/>
              </w:rPr>
            </w:pPr>
          </w:p>
          <w:p w14:paraId="55D508E3" w14:textId="77777777" w:rsidR="000F5D9D" w:rsidRPr="00314AEF" w:rsidRDefault="000F5D9D" w:rsidP="00314AEF">
            <w:pPr>
              <w:rPr>
                <w:sz w:val="20"/>
                <w:szCs w:val="20"/>
              </w:rPr>
            </w:pPr>
            <w:r w:rsidRPr="00314AEF">
              <w:rPr>
                <w:sz w:val="20"/>
                <w:szCs w:val="20"/>
              </w:rPr>
              <w:t xml:space="preserve"> </w:t>
            </w:r>
          </w:p>
        </w:tc>
        <w:tc>
          <w:tcPr>
            <w:tcW w:w="0" w:type="auto"/>
          </w:tcPr>
          <w:p w14:paraId="68C2CD6B" w14:textId="77777777" w:rsidR="000F5D9D" w:rsidRPr="00314AEF" w:rsidRDefault="000F5D9D" w:rsidP="00314AEF">
            <w:pPr>
              <w:rPr>
                <w:sz w:val="20"/>
                <w:szCs w:val="20"/>
              </w:rPr>
            </w:pPr>
            <w:r w:rsidRPr="00314AEF">
              <w:rPr>
                <w:sz w:val="20"/>
                <w:szCs w:val="20"/>
              </w:rPr>
              <w:t>Malaysia</w:t>
            </w:r>
          </w:p>
        </w:tc>
        <w:tc>
          <w:tcPr>
            <w:tcW w:w="3586" w:type="dxa"/>
          </w:tcPr>
          <w:p w14:paraId="144F83BA" w14:textId="77777777" w:rsidR="000F5D9D" w:rsidRPr="00314AEF" w:rsidRDefault="000F5D9D" w:rsidP="00314AEF">
            <w:pPr>
              <w:rPr>
                <w:sz w:val="20"/>
                <w:szCs w:val="20"/>
              </w:rPr>
            </w:pPr>
            <w:r w:rsidRPr="00314AEF">
              <w:rPr>
                <w:rFonts w:eastAsia="StoneInformalStd-Medium"/>
                <w:sz w:val="20"/>
                <w:szCs w:val="20"/>
              </w:rPr>
              <w:t>Cross-sectional study of 1081 antenatal mother</w:t>
            </w:r>
          </w:p>
        </w:tc>
        <w:tc>
          <w:tcPr>
            <w:tcW w:w="6521" w:type="dxa"/>
          </w:tcPr>
          <w:p w14:paraId="497D21BB" w14:textId="77777777" w:rsidR="000F5D9D" w:rsidRPr="00314AEF" w:rsidRDefault="000F5D9D" w:rsidP="00314AEF">
            <w:pPr>
              <w:rPr>
                <w:rFonts w:eastAsia="StoneInformalStd-Medium"/>
                <w:sz w:val="20"/>
                <w:szCs w:val="20"/>
              </w:rPr>
            </w:pPr>
            <w:r w:rsidRPr="00314AEF">
              <w:rPr>
                <w:rFonts w:eastAsia="StoneInformalStd-Medium"/>
                <w:sz w:val="20"/>
                <w:szCs w:val="20"/>
              </w:rPr>
              <w:t>Eighty-five (7.9%) antenatal mothers were vaccine hesitant</w:t>
            </w:r>
          </w:p>
          <w:p w14:paraId="6083CE62" w14:textId="77777777" w:rsidR="000F5D9D" w:rsidRPr="00314AEF" w:rsidRDefault="000F5D9D" w:rsidP="00314AEF">
            <w:pPr>
              <w:rPr>
                <w:rFonts w:eastAsia="StoneInformalStd-Medium"/>
                <w:sz w:val="20"/>
                <w:szCs w:val="20"/>
              </w:rPr>
            </w:pPr>
            <w:r w:rsidRPr="00314AEF">
              <w:rPr>
                <w:rFonts w:eastAsia="StoneInformalStd-Medium"/>
                <w:sz w:val="20"/>
                <w:szCs w:val="20"/>
              </w:rPr>
              <w:t>Non-Muslim antenatal mothers were 7 times more likely to be vaccine hesitant compared to Muslims</w:t>
            </w:r>
          </w:p>
          <w:p w14:paraId="3B91826F" w14:textId="77777777" w:rsidR="000F5D9D" w:rsidRPr="00314AEF" w:rsidRDefault="000F5D9D" w:rsidP="00314AEF">
            <w:pPr>
              <w:rPr>
                <w:rFonts w:eastAsia="StoneInformalStd-Medium"/>
                <w:sz w:val="20"/>
                <w:szCs w:val="20"/>
              </w:rPr>
            </w:pPr>
            <w:r w:rsidRPr="00314AEF">
              <w:rPr>
                <w:rFonts w:eastAsia="StoneInformalStd-Medium"/>
                <w:sz w:val="20"/>
                <w:szCs w:val="20"/>
              </w:rPr>
              <w:t>Antenatal mothers with lower education levels (primary and secondary school) were 4 times more likely to be vaccine hesitant</w:t>
            </w:r>
          </w:p>
          <w:p w14:paraId="5845A754" w14:textId="77777777" w:rsidR="000F5D9D" w:rsidRPr="00314AEF" w:rsidRDefault="000F5D9D" w:rsidP="00314AEF">
            <w:pPr>
              <w:rPr>
                <w:rFonts w:eastAsia="StoneInformalStd-Medium"/>
                <w:sz w:val="20"/>
                <w:szCs w:val="20"/>
              </w:rPr>
            </w:pPr>
            <w:r w:rsidRPr="00314AEF">
              <w:rPr>
                <w:rFonts w:eastAsia="StoneInformalStd-Medium"/>
                <w:sz w:val="20"/>
                <w:szCs w:val="20"/>
              </w:rPr>
              <w:t>Employed mothers were less likely to be vaccine hesitant</w:t>
            </w:r>
          </w:p>
          <w:p w14:paraId="0331148A" w14:textId="77777777" w:rsidR="000F5D9D" w:rsidRPr="00314AEF" w:rsidRDefault="000F5D9D" w:rsidP="00314AEF">
            <w:pPr>
              <w:rPr>
                <w:rFonts w:eastAsia="StoneInformalStd-Medium"/>
                <w:sz w:val="20"/>
                <w:szCs w:val="20"/>
              </w:rPr>
            </w:pPr>
            <w:r w:rsidRPr="00314AEF">
              <w:rPr>
                <w:rFonts w:eastAsia="StoneInformalStd-Medium"/>
                <w:sz w:val="20"/>
                <w:szCs w:val="20"/>
              </w:rPr>
              <w:t>The fear of adverse side effects of vaccines was the predominant reason given for those who were vaccine-hesitant</w:t>
            </w:r>
          </w:p>
        </w:tc>
      </w:tr>
      <w:tr w:rsidR="000F5D9D" w:rsidRPr="00314AEF" w14:paraId="5FE81FF3" w14:textId="77777777" w:rsidTr="00E22C20">
        <w:trPr>
          <w:trHeight w:val="1986"/>
        </w:trPr>
        <w:tc>
          <w:tcPr>
            <w:tcW w:w="704" w:type="dxa"/>
          </w:tcPr>
          <w:p w14:paraId="15729247" w14:textId="77777777" w:rsidR="000F5D9D" w:rsidRPr="00314AEF" w:rsidRDefault="000F5D9D" w:rsidP="00314AEF">
            <w:pPr>
              <w:rPr>
                <w:sz w:val="20"/>
                <w:szCs w:val="20"/>
              </w:rPr>
            </w:pPr>
          </w:p>
        </w:tc>
        <w:tc>
          <w:tcPr>
            <w:tcW w:w="2228" w:type="dxa"/>
          </w:tcPr>
          <w:p w14:paraId="676270EB" w14:textId="77777777" w:rsidR="000F5D9D" w:rsidRPr="00314AEF" w:rsidRDefault="000F5D9D" w:rsidP="00314AEF">
            <w:pPr>
              <w:rPr>
                <w:sz w:val="20"/>
                <w:szCs w:val="20"/>
              </w:rPr>
            </w:pPr>
            <w:r w:rsidRPr="00314AEF">
              <w:rPr>
                <w:sz w:val="20"/>
                <w:szCs w:val="20"/>
              </w:rPr>
              <w:t>Validity and reliability of a survey to identify vaccine-hesitant parents, 2011</w:t>
            </w:r>
          </w:p>
          <w:p w14:paraId="4692CEBC" w14:textId="77777777" w:rsidR="000F5D9D" w:rsidRPr="00314AEF" w:rsidRDefault="000F5D9D" w:rsidP="00314AEF">
            <w:pPr>
              <w:rPr>
                <w:sz w:val="20"/>
                <w:szCs w:val="20"/>
              </w:rPr>
            </w:pPr>
          </w:p>
          <w:p w14:paraId="0911DEE9" w14:textId="77777777" w:rsidR="000F5D9D" w:rsidRPr="00314AEF" w:rsidRDefault="000F5D9D" w:rsidP="00314AEF">
            <w:pPr>
              <w:rPr>
                <w:sz w:val="20"/>
                <w:szCs w:val="20"/>
              </w:rPr>
            </w:pPr>
          </w:p>
        </w:tc>
        <w:tc>
          <w:tcPr>
            <w:tcW w:w="0" w:type="auto"/>
          </w:tcPr>
          <w:p w14:paraId="0DA1579B" w14:textId="77777777" w:rsidR="000F5D9D" w:rsidRPr="00314AEF" w:rsidRDefault="000F5D9D" w:rsidP="00314AEF">
            <w:pPr>
              <w:rPr>
                <w:sz w:val="20"/>
                <w:szCs w:val="20"/>
              </w:rPr>
            </w:pPr>
            <w:r w:rsidRPr="00314AEF">
              <w:rPr>
                <w:sz w:val="20"/>
                <w:szCs w:val="20"/>
              </w:rPr>
              <w:t>US</w:t>
            </w:r>
          </w:p>
        </w:tc>
        <w:tc>
          <w:tcPr>
            <w:tcW w:w="3586" w:type="dxa"/>
          </w:tcPr>
          <w:p w14:paraId="01AA8950" w14:textId="77777777" w:rsidR="000F5D9D" w:rsidRPr="00314AEF" w:rsidRDefault="000F5D9D" w:rsidP="00314AEF">
            <w:pPr>
              <w:rPr>
                <w:sz w:val="20"/>
                <w:szCs w:val="20"/>
              </w:rPr>
            </w:pPr>
            <w:r w:rsidRPr="00314AEF">
              <w:rPr>
                <w:sz w:val="20"/>
                <w:szCs w:val="20"/>
              </w:rPr>
              <w:t>Cross-</w:t>
            </w:r>
            <w:proofErr w:type="gramStart"/>
            <w:r w:rsidRPr="00314AEF">
              <w:rPr>
                <w:sz w:val="20"/>
                <w:szCs w:val="20"/>
              </w:rPr>
              <w:t>sectional ,survey</w:t>
            </w:r>
            <w:proofErr w:type="gramEnd"/>
            <w:r w:rsidRPr="00314AEF">
              <w:rPr>
                <w:sz w:val="20"/>
                <w:szCs w:val="20"/>
              </w:rPr>
              <w:t xml:space="preserve"> sample was selected by simple random sampling from a birth cohort of 19–35 month old singleton children born</w:t>
            </w:r>
          </w:p>
          <w:p w14:paraId="066277CA" w14:textId="77777777" w:rsidR="000F5D9D" w:rsidRPr="00314AEF" w:rsidRDefault="000F5D9D" w:rsidP="00314AEF">
            <w:pPr>
              <w:rPr>
                <w:sz w:val="20"/>
                <w:szCs w:val="20"/>
              </w:rPr>
            </w:pPr>
            <w:r w:rsidRPr="00314AEF">
              <w:rPr>
                <w:sz w:val="20"/>
                <w:szCs w:val="20"/>
              </w:rPr>
              <w:t xml:space="preserve">between April 2007 and August </w:t>
            </w:r>
            <w:proofErr w:type="gramStart"/>
            <w:r w:rsidRPr="00314AEF">
              <w:rPr>
                <w:sz w:val="20"/>
                <w:szCs w:val="20"/>
              </w:rPr>
              <w:t>2008 ,</w:t>
            </w:r>
            <w:proofErr w:type="gramEnd"/>
          </w:p>
          <w:p w14:paraId="0A9A3CEE" w14:textId="77777777" w:rsidR="000F5D9D" w:rsidRPr="00314AEF" w:rsidRDefault="000F5D9D" w:rsidP="00314AEF">
            <w:pPr>
              <w:rPr>
                <w:sz w:val="20"/>
                <w:szCs w:val="20"/>
              </w:rPr>
            </w:pPr>
          </w:p>
          <w:p w14:paraId="5A2037F0" w14:textId="77777777" w:rsidR="000F5D9D" w:rsidRPr="00314AEF" w:rsidRDefault="000F5D9D" w:rsidP="00314AEF">
            <w:pPr>
              <w:rPr>
                <w:sz w:val="20"/>
                <w:szCs w:val="20"/>
              </w:rPr>
            </w:pPr>
            <w:r w:rsidRPr="00314AEF">
              <w:rPr>
                <w:sz w:val="20"/>
                <w:szCs w:val="20"/>
              </w:rPr>
              <w:t>Response rate was 46% (N = 230).</w:t>
            </w:r>
          </w:p>
        </w:tc>
        <w:tc>
          <w:tcPr>
            <w:tcW w:w="6521" w:type="dxa"/>
          </w:tcPr>
          <w:p w14:paraId="210ED9B2" w14:textId="77777777" w:rsidR="000F5D9D" w:rsidRPr="00314AEF" w:rsidRDefault="000F5D9D" w:rsidP="00314AEF">
            <w:pPr>
              <w:rPr>
                <w:sz w:val="20"/>
                <w:szCs w:val="20"/>
              </w:rPr>
            </w:pPr>
            <w:r w:rsidRPr="00314AEF">
              <w:rPr>
                <w:sz w:val="20"/>
                <w:szCs w:val="20"/>
              </w:rPr>
              <w:t>Larger percentage of parents surveyed who had refused (16%) or delayed (27%) recommended immunizations than have been reported previously.</w:t>
            </w:r>
          </w:p>
          <w:p w14:paraId="51C236A3" w14:textId="77777777" w:rsidR="000F5D9D" w:rsidRPr="00314AEF" w:rsidRDefault="000F5D9D" w:rsidP="00314AEF">
            <w:pPr>
              <w:rPr>
                <w:sz w:val="20"/>
                <w:szCs w:val="20"/>
              </w:rPr>
            </w:pPr>
            <w:r w:rsidRPr="00314AEF">
              <w:rPr>
                <w:sz w:val="20"/>
                <w:szCs w:val="20"/>
              </w:rPr>
              <w:t>Children were more likely to be under-immunized if they had a parent aged 18–29 years old, who had a high school education or less, had more than one child, and who was white.</w:t>
            </w:r>
          </w:p>
          <w:p w14:paraId="22B6F52A" w14:textId="77777777" w:rsidR="000F5D9D" w:rsidRPr="00314AEF" w:rsidRDefault="000F5D9D" w:rsidP="00314AEF">
            <w:pPr>
              <w:rPr>
                <w:sz w:val="20"/>
                <w:szCs w:val="20"/>
              </w:rPr>
            </w:pPr>
          </w:p>
        </w:tc>
      </w:tr>
      <w:bookmarkEnd w:id="13"/>
    </w:tbl>
    <w:p w14:paraId="208BBCDF" w14:textId="5696BFE4" w:rsidR="000F5D9D" w:rsidRPr="00314AEF" w:rsidRDefault="000F5D9D" w:rsidP="00314AEF">
      <w:pPr>
        <w:rPr>
          <w:sz w:val="20"/>
          <w:szCs w:val="20"/>
        </w:rPr>
      </w:pPr>
    </w:p>
    <w:p w14:paraId="5C4A7BD9" w14:textId="77777777" w:rsidR="000F5D9D" w:rsidRDefault="000F5D9D" w:rsidP="00E22C20">
      <w:pPr>
        <w:spacing w:line="360" w:lineRule="auto"/>
        <w:ind w:left="851"/>
        <w:jc w:val="both"/>
        <w:sectPr w:rsidR="000F5D9D" w:rsidSect="000F5D9D">
          <w:pgSz w:w="16838" w:h="11906" w:orient="landscape"/>
          <w:pgMar w:top="1440" w:right="1440" w:bottom="1440" w:left="1440" w:header="708" w:footer="708" w:gutter="0"/>
          <w:cols w:space="708"/>
          <w:docGrid w:linePitch="360"/>
        </w:sectPr>
      </w:pPr>
    </w:p>
    <w:p w14:paraId="4F7CB45A" w14:textId="77777777" w:rsidR="000F5D9D" w:rsidRPr="00314AEF" w:rsidRDefault="000F5D9D" w:rsidP="00E22C20">
      <w:pPr>
        <w:keepNext/>
        <w:keepLines/>
        <w:spacing w:before="40" w:after="0" w:line="360" w:lineRule="auto"/>
        <w:ind w:left="851"/>
        <w:jc w:val="both"/>
        <w:outlineLvl w:val="1"/>
        <w:rPr>
          <w:rFonts w:eastAsiaTheme="majorEastAsia"/>
          <w:b/>
          <w:bCs/>
          <w:szCs w:val="24"/>
        </w:rPr>
      </w:pPr>
      <w:bookmarkStart w:id="14" w:name="_Toc31400954"/>
      <w:r w:rsidRPr="00314AEF">
        <w:rPr>
          <w:rFonts w:eastAsiaTheme="majorEastAsia"/>
          <w:b/>
          <w:bCs/>
          <w:szCs w:val="24"/>
        </w:rPr>
        <w:lastRenderedPageBreak/>
        <w:t>2.5 VH in Malaysia</w:t>
      </w:r>
      <w:bookmarkEnd w:id="14"/>
    </w:p>
    <w:p w14:paraId="7E1FCD6A" w14:textId="77777777" w:rsidR="000F5D9D" w:rsidRPr="000F5D9D" w:rsidRDefault="000F5D9D" w:rsidP="00E22C20">
      <w:pPr>
        <w:spacing w:line="360" w:lineRule="auto"/>
        <w:ind w:left="851"/>
        <w:jc w:val="both"/>
      </w:pPr>
    </w:p>
    <w:p w14:paraId="704C723B" w14:textId="207C9996" w:rsidR="000F5D9D" w:rsidRPr="0054719C" w:rsidRDefault="000F5D9D" w:rsidP="0054719C">
      <w:pPr>
        <w:spacing w:line="360" w:lineRule="auto"/>
        <w:ind w:left="851" w:firstLine="720"/>
        <w:jc w:val="both"/>
        <w:rPr>
          <w:szCs w:val="24"/>
        </w:rPr>
      </w:pPr>
      <w:r w:rsidRPr="000F5D9D">
        <w:rPr>
          <w:szCs w:val="24"/>
        </w:rPr>
        <w:t>To date, there is no national data on vaccine hesitancy in Malaysia. From extensive literature review, there are three studies specifically measure prevalence of VH in Malaysia. It was found that the prevalence of VH in Malaysia ranging from</w:t>
      </w:r>
      <w:r w:rsidR="0054719C">
        <w:rPr>
          <w:szCs w:val="24"/>
        </w:rPr>
        <w:t xml:space="preserve"> 11.6% to 14.5%</w:t>
      </w:r>
      <w:r w:rsidRPr="000F5D9D">
        <w:rPr>
          <w:szCs w:val="24"/>
        </w:rPr>
        <w:t xml:space="preserve">. Further information on the studies are elaborated further in the table below. </w:t>
      </w:r>
    </w:p>
    <w:p w14:paraId="2CC98C51" w14:textId="4B18BEAB" w:rsidR="000F5D9D" w:rsidRDefault="000F5D9D" w:rsidP="00E22C20">
      <w:pPr>
        <w:spacing w:line="360" w:lineRule="auto"/>
        <w:ind w:left="851"/>
        <w:jc w:val="both"/>
      </w:pPr>
    </w:p>
    <w:p w14:paraId="0F5770CA" w14:textId="288EBC44" w:rsidR="000F5D9D" w:rsidRDefault="000F5D9D" w:rsidP="00E22C20">
      <w:pPr>
        <w:spacing w:line="360" w:lineRule="auto"/>
        <w:ind w:left="851"/>
        <w:jc w:val="both"/>
      </w:pPr>
    </w:p>
    <w:p w14:paraId="06D9501A" w14:textId="59E2AF4A" w:rsidR="000F5D9D" w:rsidRDefault="000F5D9D" w:rsidP="00E22C20">
      <w:pPr>
        <w:spacing w:line="360" w:lineRule="auto"/>
        <w:ind w:left="851"/>
        <w:jc w:val="both"/>
      </w:pPr>
    </w:p>
    <w:p w14:paraId="686B8C69" w14:textId="00F692E2" w:rsidR="000F5D9D" w:rsidRDefault="000F5D9D" w:rsidP="00E22C20">
      <w:pPr>
        <w:spacing w:line="360" w:lineRule="auto"/>
        <w:ind w:left="851"/>
        <w:jc w:val="both"/>
      </w:pPr>
    </w:p>
    <w:p w14:paraId="0E6D8973" w14:textId="1B3EADBD" w:rsidR="000F5D9D" w:rsidRDefault="000F5D9D" w:rsidP="00E22C20">
      <w:pPr>
        <w:spacing w:line="360" w:lineRule="auto"/>
        <w:ind w:left="851"/>
        <w:jc w:val="both"/>
      </w:pPr>
    </w:p>
    <w:p w14:paraId="4E9BEA0A" w14:textId="4E6E5092" w:rsidR="000F5D9D" w:rsidRDefault="000F5D9D" w:rsidP="00E22C20">
      <w:pPr>
        <w:spacing w:line="360" w:lineRule="auto"/>
        <w:ind w:left="851"/>
        <w:jc w:val="both"/>
      </w:pPr>
    </w:p>
    <w:p w14:paraId="7915C568" w14:textId="534314DA" w:rsidR="000F5D9D" w:rsidRDefault="000F5D9D" w:rsidP="00E22C20">
      <w:pPr>
        <w:spacing w:line="360" w:lineRule="auto"/>
        <w:ind w:left="851"/>
        <w:jc w:val="both"/>
      </w:pPr>
    </w:p>
    <w:p w14:paraId="4F83C297" w14:textId="0CCCFB11" w:rsidR="000F5D9D" w:rsidRDefault="000F5D9D" w:rsidP="00E22C20">
      <w:pPr>
        <w:spacing w:line="360" w:lineRule="auto"/>
        <w:ind w:left="851"/>
        <w:jc w:val="both"/>
      </w:pPr>
    </w:p>
    <w:p w14:paraId="2EC87758" w14:textId="5B973F56" w:rsidR="000F5D9D" w:rsidRDefault="000F5D9D" w:rsidP="00E22C20">
      <w:pPr>
        <w:spacing w:line="360" w:lineRule="auto"/>
        <w:ind w:left="851"/>
        <w:jc w:val="both"/>
      </w:pPr>
    </w:p>
    <w:p w14:paraId="5465B450" w14:textId="5CC33462" w:rsidR="000F5D9D" w:rsidRDefault="000F5D9D" w:rsidP="00E22C20">
      <w:pPr>
        <w:spacing w:line="360" w:lineRule="auto"/>
        <w:ind w:left="851"/>
        <w:jc w:val="both"/>
      </w:pPr>
    </w:p>
    <w:p w14:paraId="47BD6CD7" w14:textId="49055AC2" w:rsidR="000F5D9D" w:rsidRDefault="000F5D9D" w:rsidP="00E22C20">
      <w:pPr>
        <w:spacing w:line="360" w:lineRule="auto"/>
        <w:ind w:left="851"/>
        <w:jc w:val="both"/>
      </w:pPr>
    </w:p>
    <w:p w14:paraId="6D779878" w14:textId="20212530" w:rsidR="000F5D9D" w:rsidRDefault="000F5D9D" w:rsidP="00E22C20">
      <w:pPr>
        <w:spacing w:line="360" w:lineRule="auto"/>
        <w:ind w:left="851"/>
        <w:jc w:val="both"/>
      </w:pPr>
    </w:p>
    <w:p w14:paraId="329C6400" w14:textId="65604D88" w:rsidR="000F5D9D" w:rsidRDefault="000F5D9D" w:rsidP="00E22C20">
      <w:pPr>
        <w:spacing w:line="360" w:lineRule="auto"/>
        <w:ind w:left="851"/>
        <w:jc w:val="both"/>
      </w:pPr>
    </w:p>
    <w:p w14:paraId="4DDD8732" w14:textId="77777777" w:rsidR="000F5D9D" w:rsidRDefault="000F5D9D" w:rsidP="0054719C">
      <w:pPr>
        <w:spacing w:line="360" w:lineRule="auto"/>
        <w:jc w:val="both"/>
        <w:sectPr w:rsidR="000F5D9D" w:rsidSect="000F5D9D">
          <w:pgSz w:w="11906" w:h="16838"/>
          <w:pgMar w:top="1440" w:right="1440" w:bottom="1440" w:left="1440" w:header="708" w:footer="708" w:gutter="0"/>
          <w:cols w:space="708"/>
          <w:docGrid w:linePitch="360"/>
        </w:sectPr>
      </w:pPr>
    </w:p>
    <w:p w14:paraId="28F1B70F" w14:textId="46986780" w:rsidR="000F5D9D" w:rsidRDefault="000F5D9D" w:rsidP="00E22C20">
      <w:pPr>
        <w:spacing w:line="360" w:lineRule="auto"/>
        <w:ind w:left="851"/>
        <w:jc w:val="both"/>
      </w:pPr>
    </w:p>
    <w:tbl>
      <w:tblPr>
        <w:tblStyle w:val="TableGrid2"/>
        <w:tblpPr w:leftFromText="180" w:rightFromText="180" w:vertAnchor="page" w:horzAnchor="margin" w:tblpY="1401"/>
        <w:tblW w:w="13887" w:type="dxa"/>
        <w:tblLook w:val="04A0" w:firstRow="1" w:lastRow="0" w:firstColumn="1" w:lastColumn="0" w:noHBand="0" w:noVBand="1"/>
      </w:tblPr>
      <w:tblGrid>
        <w:gridCol w:w="701"/>
        <w:gridCol w:w="2217"/>
        <w:gridCol w:w="950"/>
        <w:gridCol w:w="3557"/>
        <w:gridCol w:w="6462"/>
      </w:tblGrid>
      <w:tr w:rsidR="0054719C" w:rsidRPr="00314AEF" w14:paraId="623BE407" w14:textId="77777777" w:rsidTr="001756D0">
        <w:tc>
          <w:tcPr>
            <w:tcW w:w="704" w:type="dxa"/>
          </w:tcPr>
          <w:p w14:paraId="49D8FADE" w14:textId="77777777" w:rsidR="0054719C" w:rsidRPr="00314AEF" w:rsidRDefault="0054719C" w:rsidP="001756D0">
            <w:pPr>
              <w:rPr>
                <w:sz w:val="20"/>
                <w:szCs w:val="20"/>
              </w:rPr>
            </w:pPr>
            <w:r w:rsidRPr="00314AEF">
              <w:rPr>
                <w:sz w:val="20"/>
                <w:szCs w:val="20"/>
              </w:rPr>
              <w:t>No</w:t>
            </w:r>
          </w:p>
        </w:tc>
        <w:tc>
          <w:tcPr>
            <w:tcW w:w="2228" w:type="dxa"/>
          </w:tcPr>
          <w:p w14:paraId="241CF97B" w14:textId="77777777" w:rsidR="0054719C" w:rsidRPr="00314AEF" w:rsidRDefault="0054719C" w:rsidP="001756D0">
            <w:pPr>
              <w:rPr>
                <w:sz w:val="20"/>
                <w:szCs w:val="20"/>
              </w:rPr>
            </w:pPr>
            <w:r w:rsidRPr="00314AEF">
              <w:rPr>
                <w:sz w:val="20"/>
                <w:szCs w:val="20"/>
              </w:rPr>
              <w:t>Year / Authors</w:t>
            </w:r>
          </w:p>
        </w:tc>
        <w:tc>
          <w:tcPr>
            <w:tcW w:w="0" w:type="auto"/>
          </w:tcPr>
          <w:p w14:paraId="069BAD91" w14:textId="77777777" w:rsidR="0054719C" w:rsidRPr="00314AEF" w:rsidRDefault="0054719C" w:rsidP="001756D0">
            <w:pPr>
              <w:rPr>
                <w:sz w:val="20"/>
                <w:szCs w:val="20"/>
              </w:rPr>
            </w:pPr>
            <w:r w:rsidRPr="00314AEF">
              <w:rPr>
                <w:sz w:val="20"/>
                <w:szCs w:val="20"/>
              </w:rPr>
              <w:t>Country</w:t>
            </w:r>
          </w:p>
        </w:tc>
        <w:tc>
          <w:tcPr>
            <w:tcW w:w="3586" w:type="dxa"/>
          </w:tcPr>
          <w:p w14:paraId="1D5E4AE6" w14:textId="77777777" w:rsidR="0054719C" w:rsidRPr="00314AEF" w:rsidRDefault="0054719C" w:rsidP="001756D0">
            <w:pPr>
              <w:rPr>
                <w:sz w:val="20"/>
                <w:szCs w:val="20"/>
              </w:rPr>
            </w:pPr>
            <w:r w:rsidRPr="00314AEF">
              <w:rPr>
                <w:sz w:val="20"/>
                <w:szCs w:val="20"/>
              </w:rPr>
              <w:t>Sample</w:t>
            </w:r>
          </w:p>
        </w:tc>
        <w:tc>
          <w:tcPr>
            <w:tcW w:w="6521" w:type="dxa"/>
          </w:tcPr>
          <w:p w14:paraId="456C2E60" w14:textId="77777777" w:rsidR="0054719C" w:rsidRPr="00314AEF" w:rsidRDefault="0054719C" w:rsidP="001756D0">
            <w:pPr>
              <w:rPr>
                <w:sz w:val="20"/>
                <w:szCs w:val="20"/>
              </w:rPr>
            </w:pPr>
            <w:r w:rsidRPr="00314AEF">
              <w:rPr>
                <w:sz w:val="20"/>
                <w:szCs w:val="20"/>
              </w:rPr>
              <w:t>Results</w:t>
            </w:r>
          </w:p>
        </w:tc>
      </w:tr>
      <w:tr w:rsidR="0054719C" w:rsidRPr="00314AEF" w14:paraId="0D3504BF" w14:textId="77777777" w:rsidTr="001756D0">
        <w:trPr>
          <w:trHeight w:val="799"/>
        </w:trPr>
        <w:tc>
          <w:tcPr>
            <w:tcW w:w="704" w:type="dxa"/>
          </w:tcPr>
          <w:p w14:paraId="2EA7C180" w14:textId="671CC3A4" w:rsidR="0054719C" w:rsidRPr="00314AEF" w:rsidRDefault="0054719C" w:rsidP="001756D0">
            <w:pPr>
              <w:rPr>
                <w:sz w:val="20"/>
                <w:szCs w:val="20"/>
              </w:rPr>
            </w:pPr>
            <w:r>
              <w:rPr>
                <w:sz w:val="20"/>
                <w:szCs w:val="20"/>
              </w:rPr>
              <w:t>1</w:t>
            </w:r>
          </w:p>
        </w:tc>
        <w:tc>
          <w:tcPr>
            <w:tcW w:w="2228" w:type="dxa"/>
          </w:tcPr>
          <w:p w14:paraId="74B726FC" w14:textId="77777777" w:rsidR="0054719C" w:rsidRPr="00314AEF" w:rsidRDefault="0054719C" w:rsidP="001756D0">
            <w:pPr>
              <w:rPr>
                <w:sz w:val="20"/>
                <w:szCs w:val="20"/>
              </w:rPr>
            </w:pPr>
            <w:r w:rsidRPr="00314AEF">
              <w:rPr>
                <w:sz w:val="20"/>
                <w:szCs w:val="20"/>
              </w:rPr>
              <w:t>Vaccine hesitancy among parents in a multi-ethnic country, Malaysia</w:t>
            </w:r>
          </w:p>
          <w:p w14:paraId="315F896F" w14:textId="77777777" w:rsidR="0054719C" w:rsidRPr="00314AEF" w:rsidRDefault="0054719C" w:rsidP="001756D0">
            <w:pPr>
              <w:rPr>
                <w:sz w:val="20"/>
                <w:szCs w:val="20"/>
              </w:rPr>
            </w:pPr>
            <w:proofErr w:type="spellStart"/>
            <w:r w:rsidRPr="00314AEF">
              <w:rPr>
                <w:sz w:val="20"/>
                <w:szCs w:val="20"/>
              </w:rPr>
              <w:t>Shaheera</w:t>
            </w:r>
            <w:proofErr w:type="spellEnd"/>
            <w:r w:rsidRPr="00314AEF">
              <w:rPr>
                <w:sz w:val="20"/>
                <w:szCs w:val="20"/>
              </w:rPr>
              <w:t xml:space="preserve"> et al., 2017</w:t>
            </w:r>
          </w:p>
          <w:p w14:paraId="392832C7" w14:textId="77777777" w:rsidR="0054719C" w:rsidRPr="00314AEF" w:rsidRDefault="0054719C" w:rsidP="001756D0">
            <w:pPr>
              <w:rPr>
                <w:sz w:val="20"/>
                <w:szCs w:val="20"/>
              </w:rPr>
            </w:pPr>
          </w:p>
          <w:p w14:paraId="5630D2C2" w14:textId="77777777" w:rsidR="0054719C" w:rsidRPr="00314AEF" w:rsidRDefault="0054719C" w:rsidP="001756D0">
            <w:pPr>
              <w:rPr>
                <w:sz w:val="20"/>
                <w:szCs w:val="20"/>
              </w:rPr>
            </w:pPr>
          </w:p>
        </w:tc>
        <w:tc>
          <w:tcPr>
            <w:tcW w:w="0" w:type="auto"/>
          </w:tcPr>
          <w:p w14:paraId="2A124DD8" w14:textId="77777777" w:rsidR="0054719C" w:rsidRPr="00314AEF" w:rsidRDefault="0054719C" w:rsidP="001756D0">
            <w:pPr>
              <w:rPr>
                <w:sz w:val="20"/>
                <w:szCs w:val="20"/>
              </w:rPr>
            </w:pPr>
            <w:r w:rsidRPr="00314AEF">
              <w:rPr>
                <w:sz w:val="20"/>
                <w:szCs w:val="20"/>
              </w:rPr>
              <w:t>Malaysia</w:t>
            </w:r>
          </w:p>
        </w:tc>
        <w:tc>
          <w:tcPr>
            <w:tcW w:w="3586" w:type="dxa"/>
          </w:tcPr>
          <w:p w14:paraId="1B412A7E" w14:textId="77777777" w:rsidR="0054719C" w:rsidRPr="00314AEF" w:rsidRDefault="0054719C" w:rsidP="001756D0">
            <w:pPr>
              <w:rPr>
                <w:sz w:val="20"/>
                <w:szCs w:val="20"/>
              </w:rPr>
            </w:pPr>
            <w:r w:rsidRPr="00314AEF">
              <w:rPr>
                <w:sz w:val="20"/>
                <w:szCs w:val="20"/>
              </w:rPr>
              <w:t>Cross sectional</w:t>
            </w:r>
          </w:p>
          <w:p w14:paraId="2E07E124" w14:textId="77777777" w:rsidR="0054719C" w:rsidRPr="00314AEF" w:rsidRDefault="0054719C" w:rsidP="001756D0">
            <w:pPr>
              <w:rPr>
                <w:sz w:val="20"/>
                <w:szCs w:val="20"/>
              </w:rPr>
            </w:pPr>
            <w:r w:rsidRPr="00314AEF">
              <w:rPr>
                <w:sz w:val="20"/>
                <w:szCs w:val="20"/>
              </w:rPr>
              <w:t>Convenience sampling,</w:t>
            </w:r>
          </w:p>
          <w:p w14:paraId="7F54F2D9" w14:textId="77777777" w:rsidR="0054719C" w:rsidRPr="00314AEF" w:rsidRDefault="0054719C" w:rsidP="001756D0">
            <w:pPr>
              <w:rPr>
                <w:sz w:val="20"/>
                <w:szCs w:val="20"/>
              </w:rPr>
            </w:pPr>
            <w:r w:rsidRPr="00314AEF">
              <w:rPr>
                <w:sz w:val="20"/>
                <w:szCs w:val="20"/>
              </w:rPr>
              <w:t>545</w:t>
            </w:r>
          </w:p>
          <w:p w14:paraId="78F567B0" w14:textId="77777777" w:rsidR="0054719C" w:rsidRPr="00314AEF" w:rsidRDefault="0054719C" w:rsidP="001756D0">
            <w:pPr>
              <w:rPr>
                <w:sz w:val="20"/>
                <w:szCs w:val="20"/>
              </w:rPr>
            </w:pPr>
          </w:p>
        </w:tc>
        <w:tc>
          <w:tcPr>
            <w:tcW w:w="6521" w:type="dxa"/>
          </w:tcPr>
          <w:p w14:paraId="7997CAB0" w14:textId="77777777" w:rsidR="0054719C" w:rsidRPr="00314AEF" w:rsidRDefault="0054719C" w:rsidP="001756D0">
            <w:pPr>
              <w:rPr>
                <w:sz w:val="20"/>
                <w:szCs w:val="20"/>
              </w:rPr>
            </w:pPr>
            <w:r w:rsidRPr="00314AEF">
              <w:rPr>
                <w:sz w:val="20"/>
                <w:szCs w:val="20"/>
              </w:rPr>
              <w:t xml:space="preserve">Prevalence VH 11.6% of parents </w:t>
            </w:r>
          </w:p>
          <w:p w14:paraId="4F47B69A" w14:textId="77777777" w:rsidR="0054719C" w:rsidRPr="00314AEF" w:rsidRDefault="0054719C" w:rsidP="001756D0">
            <w:pPr>
              <w:rPr>
                <w:sz w:val="20"/>
                <w:szCs w:val="20"/>
              </w:rPr>
            </w:pPr>
            <w:r w:rsidRPr="00314AEF">
              <w:rPr>
                <w:sz w:val="20"/>
                <w:szCs w:val="20"/>
              </w:rPr>
              <w:t>Associated with unemployed parents, parents who were younger, had fewer children and non-Muslim</w:t>
            </w:r>
          </w:p>
        </w:tc>
      </w:tr>
      <w:tr w:rsidR="0054719C" w:rsidRPr="00314AEF" w14:paraId="67BCAA02" w14:textId="77777777" w:rsidTr="001756D0">
        <w:trPr>
          <w:trHeight w:val="1737"/>
        </w:trPr>
        <w:tc>
          <w:tcPr>
            <w:tcW w:w="704" w:type="dxa"/>
          </w:tcPr>
          <w:p w14:paraId="4603BBD9" w14:textId="558A6B9B" w:rsidR="0054719C" w:rsidRPr="00314AEF" w:rsidRDefault="0054719C" w:rsidP="001756D0">
            <w:pPr>
              <w:rPr>
                <w:sz w:val="20"/>
                <w:szCs w:val="20"/>
              </w:rPr>
            </w:pPr>
            <w:r>
              <w:rPr>
                <w:sz w:val="20"/>
                <w:szCs w:val="20"/>
              </w:rPr>
              <w:t>2</w:t>
            </w:r>
          </w:p>
        </w:tc>
        <w:tc>
          <w:tcPr>
            <w:tcW w:w="2228" w:type="dxa"/>
          </w:tcPr>
          <w:p w14:paraId="184A50F8" w14:textId="77777777" w:rsidR="0054719C" w:rsidRPr="00314AEF" w:rsidRDefault="0054719C" w:rsidP="001756D0">
            <w:pPr>
              <w:rPr>
                <w:color w:val="333333"/>
                <w:sz w:val="20"/>
                <w:szCs w:val="20"/>
                <w:shd w:val="clear" w:color="auto" w:fill="FFFFFF"/>
              </w:rPr>
            </w:pPr>
            <w:r w:rsidRPr="00314AEF">
              <w:rPr>
                <w:color w:val="333333"/>
                <w:sz w:val="20"/>
                <w:szCs w:val="20"/>
                <w:shd w:val="clear" w:color="auto" w:fill="FFFFFF"/>
              </w:rPr>
              <w:t xml:space="preserve">Vaccine hesitancy among parents in Kuala Lumpur: a single </w:t>
            </w:r>
            <w:proofErr w:type="spellStart"/>
            <w:r w:rsidRPr="00314AEF">
              <w:rPr>
                <w:color w:val="333333"/>
                <w:sz w:val="20"/>
                <w:szCs w:val="20"/>
                <w:shd w:val="clear" w:color="auto" w:fill="FFFFFF"/>
              </w:rPr>
              <w:t>center</w:t>
            </w:r>
            <w:proofErr w:type="spellEnd"/>
            <w:r w:rsidRPr="00314AEF">
              <w:rPr>
                <w:color w:val="333333"/>
                <w:sz w:val="20"/>
                <w:szCs w:val="20"/>
                <w:shd w:val="clear" w:color="auto" w:fill="FFFFFF"/>
              </w:rPr>
              <w:t xml:space="preserve"> study</w:t>
            </w:r>
          </w:p>
          <w:p w14:paraId="76110B77" w14:textId="77777777" w:rsidR="0054719C" w:rsidRPr="00314AEF" w:rsidRDefault="0054719C" w:rsidP="001756D0">
            <w:pPr>
              <w:rPr>
                <w:sz w:val="20"/>
                <w:szCs w:val="20"/>
              </w:rPr>
            </w:pPr>
            <w:r w:rsidRPr="00314AEF">
              <w:rPr>
                <w:noProof/>
                <w:sz w:val="20"/>
                <w:szCs w:val="20"/>
              </w:rPr>
              <w:t>Musa, Soni, Cheong, &amp; Nordin, 2019</w:t>
            </w:r>
          </w:p>
        </w:tc>
        <w:tc>
          <w:tcPr>
            <w:tcW w:w="0" w:type="auto"/>
          </w:tcPr>
          <w:p w14:paraId="06F1B81D" w14:textId="77777777" w:rsidR="0054719C" w:rsidRPr="00314AEF" w:rsidRDefault="0054719C" w:rsidP="001756D0">
            <w:pPr>
              <w:rPr>
                <w:sz w:val="20"/>
                <w:szCs w:val="20"/>
              </w:rPr>
            </w:pPr>
            <w:r w:rsidRPr="00314AEF">
              <w:rPr>
                <w:sz w:val="20"/>
                <w:szCs w:val="20"/>
              </w:rPr>
              <w:t>Malaysia</w:t>
            </w:r>
          </w:p>
        </w:tc>
        <w:tc>
          <w:tcPr>
            <w:tcW w:w="3586" w:type="dxa"/>
          </w:tcPr>
          <w:p w14:paraId="0230E8F6" w14:textId="77777777" w:rsidR="0054719C" w:rsidRPr="00314AEF" w:rsidRDefault="0054719C" w:rsidP="001756D0">
            <w:pPr>
              <w:rPr>
                <w:sz w:val="20"/>
                <w:szCs w:val="20"/>
              </w:rPr>
            </w:pPr>
            <w:r w:rsidRPr="00314AEF">
              <w:rPr>
                <w:sz w:val="20"/>
                <w:szCs w:val="20"/>
              </w:rPr>
              <w:t>Cross sectional</w:t>
            </w:r>
          </w:p>
          <w:p w14:paraId="2965D03A" w14:textId="77777777" w:rsidR="0054719C" w:rsidRPr="00314AEF" w:rsidRDefault="0054719C" w:rsidP="001756D0">
            <w:pPr>
              <w:rPr>
                <w:sz w:val="20"/>
                <w:szCs w:val="20"/>
              </w:rPr>
            </w:pPr>
            <w:r w:rsidRPr="00314AEF">
              <w:rPr>
                <w:sz w:val="20"/>
                <w:szCs w:val="20"/>
              </w:rPr>
              <w:t>Sampling not mentioned (include all)</w:t>
            </w:r>
          </w:p>
          <w:p w14:paraId="41F21704" w14:textId="77777777" w:rsidR="0054719C" w:rsidRPr="00314AEF" w:rsidRDefault="0054719C" w:rsidP="001756D0">
            <w:pPr>
              <w:rPr>
                <w:sz w:val="20"/>
                <w:szCs w:val="20"/>
              </w:rPr>
            </w:pPr>
            <w:r w:rsidRPr="00314AEF">
              <w:rPr>
                <w:sz w:val="20"/>
                <w:szCs w:val="20"/>
              </w:rPr>
              <w:t xml:space="preserve">314 parents </w:t>
            </w:r>
          </w:p>
          <w:p w14:paraId="7F69CC0A" w14:textId="77777777" w:rsidR="0054719C" w:rsidRPr="00314AEF" w:rsidRDefault="0054719C" w:rsidP="001756D0">
            <w:pPr>
              <w:rPr>
                <w:sz w:val="20"/>
                <w:szCs w:val="20"/>
              </w:rPr>
            </w:pPr>
            <w:r w:rsidRPr="00314AEF">
              <w:rPr>
                <w:color w:val="333333"/>
                <w:sz w:val="20"/>
                <w:szCs w:val="20"/>
                <w:shd w:val="clear" w:color="auto" w:fill="FFFFFF"/>
              </w:rPr>
              <w:t>From December 2016 to May 2017</w:t>
            </w:r>
          </w:p>
        </w:tc>
        <w:tc>
          <w:tcPr>
            <w:tcW w:w="6521" w:type="dxa"/>
          </w:tcPr>
          <w:p w14:paraId="18C5A8CD" w14:textId="77777777" w:rsidR="0054719C" w:rsidRPr="00314AEF" w:rsidRDefault="0054719C" w:rsidP="001756D0">
            <w:pPr>
              <w:rPr>
                <w:sz w:val="20"/>
                <w:szCs w:val="20"/>
              </w:rPr>
            </w:pPr>
            <w:r w:rsidRPr="00314AEF">
              <w:rPr>
                <w:sz w:val="20"/>
                <w:szCs w:val="20"/>
              </w:rPr>
              <w:t xml:space="preserve">Prevalence of VH of 14.5% </w:t>
            </w:r>
          </w:p>
          <w:p w14:paraId="71E97C0A" w14:textId="77777777" w:rsidR="0054719C" w:rsidRPr="00314AEF" w:rsidRDefault="0054719C" w:rsidP="001756D0">
            <w:pPr>
              <w:rPr>
                <w:sz w:val="20"/>
                <w:szCs w:val="20"/>
              </w:rPr>
            </w:pPr>
            <w:r w:rsidRPr="00314AEF">
              <w:rPr>
                <w:sz w:val="20"/>
                <w:szCs w:val="20"/>
              </w:rPr>
              <w:t xml:space="preserve">Univariate analysis found no link between sociodemographic factors and VH in parents. </w:t>
            </w:r>
          </w:p>
          <w:p w14:paraId="254874FC" w14:textId="77777777" w:rsidR="0054719C" w:rsidRPr="00314AEF" w:rsidRDefault="0054719C" w:rsidP="001756D0">
            <w:pPr>
              <w:rPr>
                <w:sz w:val="20"/>
                <w:szCs w:val="20"/>
              </w:rPr>
            </w:pPr>
            <w:r w:rsidRPr="00314AEF">
              <w:rPr>
                <w:sz w:val="20"/>
                <w:szCs w:val="20"/>
              </w:rPr>
              <w:t>Only five of these determinants were included in the final model as statistically significant (p&lt; 0.05) predictors of VH among parents in KL. The five factors were introduction to a new vaccine, negative past experiences of vaccinations, distrust of the pharmaceutical industry, distrust of health systems and providers and being male.</w:t>
            </w:r>
          </w:p>
        </w:tc>
      </w:tr>
      <w:tr w:rsidR="0054719C" w:rsidRPr="00314AEF" w14:paraId="36C97001" w14:textId="77777777" w:rsidTr="001756D0">
        <w:trPr>
          <w:trHeight w:val="1618"/>
        </w:trPr>
        <w:tc>
          <w:tcPr>
            <w:tcW w:w="704" w:type="dxa"/>
          </w:tcPr>
          <w:p w14:paraId="4BD2ECFC" w14:textId="3A4EEAE8" w:rsidR="0054719C" w:rsidRPr="00314AEF" w:rsidRDefault="0054719C" w:rsidP="001756D0">
            <w:pPr>
              <w:rPr>
                <w:sz w:val="20"/>
                <w:szCs w:val="20"/>
              </w:rPr>
            </w:pPr>
            <w:r>
              <w:rPr>
                <w:sz w:val="20"/>
                <w:szCs w:val="20"/>
              </w:rPr>
              <w:t>3</w:t>
            </w:r>
          </w:p>
        </w:tc>
        <w:tc>
          <w:tcPr>
            <w:tcW w:w="2228" w:type="dxa"/>
          </w:tcPr>
          <w:p w14:paraId="75DA6CB7" w14:textId="77777777" w:rsidR="0054719C" w:rsidRPr="00314AEF" w:rsidRDefault="0054719C" w:rsidP="001756D0">
            <w:pPr>
              <w:rPr>
                <w:sz w:val="20"/>
                <w:szCs w:val="20"/>
              </w:rPr>
            </w:pPr>
            <w:r w:rsidRPr="00314AEF">
              <w:rPr>
                <w:sz w:val="20"/>
                <w:szCs w:val="20"/>
              </w:rPr>
              <w:t>Vaccine Hesitancy toward Childhood Immunisation among</w:t>
            </w:r>
          </w:p>
          <w:p w14:paraId="57899B45" w14:textId="77777777" w:rsidR="0054719C" w:rsidRPr="00314AEF" w:rsidRDefault="0054719C" w:rsidP="001756D0">
            <w:pPr>
              <w:rPr>
                <w:sz w:val="20"/>
                <w:szCs w:val="20"/>
              </w:rPr>
            </w:pPr>
            <w:r w:rsidRPr="00314AEF">
              <w:rPr>
                <w:sz w:val="20"/>
                <w:szCs w:val="20"/>
              </w:rPr>
              <w:t>Antenatal Mothers at National University Hospital Kuala</w:t>
            </w:r>
          </w:p>
          <w:p w14:paraId="55168A65" w14:textId="77777777" w:rsidR="0054719C" w:rsidRPr="00314AEF" w:rsidRDefault="0054719C" w:rsidP="001756D0">
            <w:pPr>
              <w:rPr>
                <w:sz w:val="20"/>
                <w:szCs w:val="20"/>
              </w:rPr>
            </w:pPr>
            <w:r w:rsidRPr="00314AEF">
              <w:rPr>
                <w:sz w:val="20"/>
                <w:szCs w:val="20"/>
              </w:rPr>
              <w:t>Lumpur</w:t>
            </w:r>
          </w:p>
          <w:p w14:paraId="5CC826D9" w14:textId="77777777" w:rsidR="0054719C" w:rsidRPr="00314AEF" w:rsidRDefault="0054719C" w:rsidP="001756D0">
            <w:pPr>
              <w:rPr>
                <w:sz w:val="20"/>
                <w:szCs w:val="20"/>
              </w:rPr>
            </w:pPr>
            <w:proofErr w:type="spellStart"/>
            <w:r w:rsidRPr="00314AEF">
              <w:rPr>
                <w:sz w:val="20"/>
                <w:szCs w:val="20"/>
              </w:rPr>
              <w:t>Kalok</w:t>
            </w:r>
            <w:proofErr w:type="spellEnd"/>
            <w:r w:rsidRPr="00314AEF">
              <w:rPr>
                <w:sz w:val="20"/>
                <w:szCs w:val="20"/>
              </w:rPr>
              <w:t xml:space="preserve"> et al., 2017</w:t>
            </w:r>
          </w:p>
          <w:p w14:paraId="05872ABA" w14:textId="77777777" w:rsidR="0054719C" w:rsidRPr="00314AEF" w:rsidRDefault="0054719C" w:rsidP="001756D0">
            <w:pPr>
              <w:rPr>
                <w:sz w:val="20"/>
                <w:szCs w:val="20"/>
              </w:rPr>
            </w:pPr>
          </w:p>
          <w:p w14:paraId="2D7ED785" w14:textId="77777777" w:rsidR="0054719C" w:rsidRPr="00314AEF" w:rsidRDefault="0054719C" w:rsidP="001756D0">
            <w:pPr>
              <w:rPr>
                <w:sz w:val="20"/>
                <w:szCs w:val="20"/>
              </w:rPr>
            </w:pPr>
            <w:r w:rsidRPr="00314AEF">
              <w:rPr>
                <w:sz w:val="20"/>
                <w:szCs w:val="20"/>
              </w:rPr>
              <w:t xml:space="preserve"> </w:t>
            </w:r>
          </w:p>
        </w:tc>
        <w:tc>
          <w:tcPr>
            <w:tcW w:w="0" w:type="auto"/>
          </w:tcPr>
          <w:p w14:paraId="761EDAC3" w14:textId="77777777" w:rsidR="0054719C" w:rsidRPr="00314AEF" w:rsidRDefault="0054719C" w:rsidP="001756D0">
            <w:pPr>
              <w:rPr>
                <w:sz w:val="20"/>
                <w:szCs w:val="20"/>
              </w:rPr>
            </w:pPr>
            <w:r w:rsidRPr="00314AEF">
              <w:rPr>
                <w:sz w:val="20"/>
                <w:szCs w:val="20"/>
              </w:rPr>
              <w:t>Malaysia</w:t>
            </w:r>
          </w:p>
        </w:tc>
        <w:tc>
          <w:tcPr>
            <w:tcW w:w="3586" w:type="dxa"/>
          </w:tcPr>
          <w:p w14:paraId="18BB55B1" w14:textId="77777777" w:rsidR="0054719C" w:rsidRPr="00314AEF" w:rsidRDefault="0054719C" w:rsidP="001756D0">
            <w:pPr>
              <w:rPr>
                <w:sz w:val="20"/>
                <w:szCs w:val="20"/>
              </w:rPr>
            </w:pPr>
            <w:r w:rsidRPr="00314AEF">
              <w:rPr>
                <w:rFonts w:eastAsia="StoneInformalStd-Medium"/>
                <w:sz w:val="20"/>
                <w:szCs w:val="20"/>
              </w:rPr>
              <w:t>Cross-sectional study of 1081 antenatal mother</w:t>
            </w:r>
          </w:p>
        </w:tc>
        <w:tc>
          <w:tcPr>
            <w:tcW w:w="6521" w:type="dxa"/>
          </w:tcPr>
          <w:p w14:paraId="65D31BAC" w14:textId="77777777" w:rsidR="0054719C" w:rsidRPr="00314AEF" w:rsidRDefault="0054719C" w:rsidP="001756D0">
            <w:pPr>
              <w:rPr>
                <w:rFonts w:eastAsia="StoneInformalStd-Medium"/>
                <w:sz w:val="20"/>
                <w:szCs w:val="20"/>
              </w:rPr>
            </w:pPr>
            <w:r w:rsidRPr="00314AEF">
              <w:rPr>
                <w:rFonts w:eastAsia="StoneInformalStd-Medium"/>
                <w:sz w:val="20"/>
                <w:szCs w:val="20"/>
              </w:rPr>
              <w:t>Eighty-five (7.9%) antenatal mothers were vaccine hesitant</w:t>
            </w:r>
          </w:p>
          <w:p w14:paraId="6ED99469" w14:textId="77777777" w:rsidR="0054719C" w:rsidRPr="00314AEF" w:rsidRDefault="0054719C" w:rsidP="001756D0">
            <w:pPr>
              <w:rPr>
                <w:rFonts w:eastAsia="StoneInformalStd-Medium"/>
                <w:sz w:val="20"/>
                <w:szCs w:val="20"/>
              </w:rPr>
            </w:pPr>
            <w:r w:rsidRPr="00314AEF">
              <w:rPr>
                <w:rFonts w:eastAsia="StoneInformalStd-Medium"/>
                <w:sz w:val="20"/>
                <w:szCs w:val="20"/>
              </w:rPr>
              <w:t>Non-Muslim antenatal mothers were 7 times more likely to be vaccine hesitant compared to Muslims</w:t>
            </w:r>
          </w:p>
          <w:p w14:paraId="2C1F74CF" w14:textId="77777777" w:rsidR="0054719C" w:rsidRPr="00314AEF" w:rsidRDefault="0054719C" w:rsidP="001756D0">
            <w:pPr>
              <w:rPr>
                <w:rFonts w:eastAsia="StoneInformalStd-Medium"/>
                <w:sz w:val="20"/>
                <w:szCs w:val="20"/>
              </w:rPr>
            </w:pPr>
            <w:r w:rsidRPr="00314AEF">
              <w:rPr>
                <w:rFonts w:eastAsia="StoneInformalStd-Medium"/>
                <w:sz w:val="20"/>
                <w:szCs w:val="20"/>
              </w:rPr>
              <w:t>Antenatal mothers with lower education levels (primary and secondary school) were 4 times more likely to be vaccine hesitant</w:t>
            </w:r>
          </w:p>
          <w:p w14:paraId="4DD0FBFF" w14:textId="77777777" w:rsidR="0054719C" w:rsidRPr="00314AEF" w:rsidRDefault="0054719C" w:rsidP="001756D0">
            <w:pPr>
              <w:rPr>
                <w:rFonts w:eastAsia="StoneInformalStd-Medium"/>
                <w:sz w:val="20"/>
                <w:szCs w:val="20"/>
              </w:rPr>
            </w:pPr>
            <w:r w:rsidRPr="00314AEF">
              <w:rPr>
                <w:rFonts w:eastAsia="StoneInformalStd-Medium"/>
                <w:sz w:val="20"/>
                <w:szCs w:val="20"/>
              </w:rPr>
              <w:t>Employed mothers were less likely to be vaccine hesitant</w:t>
            </w:r>
          </w:p>
          <w:p w14:paraId="65603476" w14:textId="77777777" w:rsidR="0054719C" w:rsidRPr="00314AEF" w:rsidRDefault="0054719C" w:rsidP="001756D0">
            <w:pPr>
              <w:rPr>
                <w:rFonts w:eastAsia="StoneInformalStd-Medium"/>
                <w:sz w:val="20"/>
                <w:szCs w:val="20"/>
              </w:rPr>
            </w:pPr>
            <w:r w:rsidRPr="00314AEF">
              <w:rPr>
                <w:rFonts w:eastAsia="StoneInformalStd-Medium"/>
                <w:sz w:val="20"/>
                <w:szCs w:val="20"/>
              </w:rPr>
              <w:t>The fear of adverse side effects of vaccines was the predominant reason given for those who were vaccine-hesitant</w:t>
            </w:r>
          </w:p>
        </w:tc>
      </w:tr>
      <w:tr w:rsidR="0054719C" w:rsidRPr="00314AEF" w14:paraId="716990A5" w14:textId="77777777" w:rsidTr="001756D0">
        <w:trPr>
          <w:trHeight w:val="1986"/>
        </w:trPr>
        <w:tc>
          <w:tcPr>
            <w:tcW w:w="704" w:type="dxa"/>
          </w:tcPr>
          <w:p w14:paraId="68DAA7BC" w14:textId="009698B5" w:rsidR="0054719C" w:rsidRPr="00314AEF" w:rsidRDefault="0054719C" w:rsidP="001756D0">
            <w:pPr>
              <w:rPr>
                <w:sz w:val="20"/>
                <w:szCs w:val="20"/>
              </w:rPr>
            </w:pPr>
            <w:r>
              <w:rPr>
                <w:sz w:val="20"/>
                <w:szCs w:val="20"/>
              </w:rPr>
              <w:t>4</w:t>
            </w:r>
          </w:p>
        </w:tc>
        <w:tc>
          <w:tcPr>
            <w:tcW w:w="2228" w:type="dxa"/>
          </w:tcPr>
          <w:p w14:paraId="2761BB2E" w14:textId="77777777" w:rsidR="0054719C" w:rsidRPr="00314AEF" w:rsidRDefault="0054719C" w:rsidP="001756D0">
            <w:pPr>
              <w:rPr>
                <w:sz w:val="20"/>
                <w:szCs w:val="20"/>
              </w:rPr>
            </w:pPr>
            <w:r w:rsidRPr="00314AEF">
              <w:rPr>
                <w:sz w:val="20"/>
                <w:szCs w:val="20"/>
              </w:rPr>
              <w:t>Validity and reliability of a survey to identify vaccine-hesitant parents, 2011</w:t>
            </w:r>
          </w:p>
          <w:p w14:paraId="6B568C0E" w14:textId="77777777" w:rsidR="0054719C" w:rsidRPr="00314AEF" w:rsidRDefault="0054719C" w:rsidP="001756D0">
            <w:pPr>
              <w:rPr>
                <w:sz w:val="20"/>
                <w:szCs w:val="20"/>
              </w:rPr>
            </w:pPr>
          </w:p>
          <w:p w14:paraId="7247E5B3" w14:textId="77777777" w:rsidR="0054719C" w:rsidRPr="00314AEF" w:rsidRDefault="0054719C" w:rsidP="001756D0">
            <w:pPr>
              <w:rPr>
                <w:sz w:val="20"/>
                <w:szCs w:val="20"/>
              </w:rPr>
            </w:pPr>
          </w:p>
        </w:tc>
        <w:tc>
          <w:tcPr>
            <w:tcW w:w="0" w:type="auto"/>
          </w:tcPr>
          <w:p w14:paraId="4B440487" w14:textId="77777777" w:rsidR="0054719C" w:rsidRPr="00314AEF" w:rsidRDefault="0054719C" w:rsidP="001756D0">
            <w:pPr>
              <w:rPr>
                <w:sz w:val="20"/>
                <w:szCs w:val="20"/>
              </w:rPr>
            </w:pPr>
            <w:r w:rsidRPr="00314AEF">
              <w:rPr>
                <w:sz w:val="20"/>
                <w:szCs w:val="20"/>
              </w:rPr>
              <w:t>US</w:t>
            </w:r>
          </w:p>
        </w:tc>
        <w:tc>
          <w:tcPr>
            <w:tcW w:w="3586" w:type="dxa"/>
          </w:tcPr>
          <w:p w14:paraId="0B6E9CAB" w14:textId="77777777" w:rsidR="0054719C" w:rsidRPr="00314AEF" w:rsidRDefault="0054719C" w:rsidP="001756D0">
            <w:pPr>
              <w:rPr>
                <w:sz w:val="20"/>
                <w:szCs w:val="20"/>
              </w:rPr>
            </w:pPr>
            <w:r w:rsidRPr="00314AEF">
              <w:rPr>
                <w:sz w:val="20"/>
                <w:szCs w:val="20"/>
              </w:rPr>
              <w:t>Cross-</w:t>
            </w:r>
            <w:proofErr w:type="gramStart"/>
            <w:r w:rsidRPr="00314AEF">
              <w:rPr>
                <w:sz w:val="20"/>
                <w:szCs w:val="20"/>
              </w:rPr>
              <w:t>sectional ,survey</w:t>
            </w:r>
            <w:proofErr w:type="gramEnd"/>
            <w:r w:rsidRPr="00314AEF">
              <w:rPr>
                <w:sz w:val="20"/>
                <w:szCs w:val="20"/>
              </w:rPr>
              <w:t xml:space="preserve"> sample was selected by simple random sampling from a birth cohort of 19–35 month old singleton children born</w:t>
            </w:r>
          </w:p>
          <w:p w14:paraId="2D7CF5A2" w14:textId="77777777" w:rsidR="0054719C" w:rsidRPr="00314AEF" w:rsidRDefault="0054719C" w:rsidP="001756D0">
            <w:pPr>
              <w:rPr>
                <w:sz w:val="20"/>
                <w:szCs w:val="20"/>
              </w:rPr>
            </w:pPr>
            <w:r w:rsidRPr="00314AEF">
              <w:rPr>
                <w:sz w:val="20"/>
                <w:szCs w:val="20"/>
              </w:rPr>
              <w:t xml:space="preserve">between April 2007 and August </w:t>
            </w:r>
            <w:proofErr w:type="gramStart"/>
            <w:r w:rsidRPr="00314AEF">
              <w:rPr>
                <w:sz w:val="20"/>
                <w:szCs w:val="20"/>
              </w:rPr>
              <w:t>2008 ,</w:t>
            </w:r>
            <w:proofErr w:type="gramEnd"/>
          </w:p>
          <w:p w14:paraId="2DE81375" w14:textId="77777777" w:rsidR="0054719C" w:rsidRPr="00314AEF" w:rsidRDefault="0054719C" w:rsidP="001756D0">
            <w:pPr>
              <w:rPr>
                <w:sz w:val="20"/>
                <w:szCs w:val="20"/>
              </w:rPr>
            </w:pPr>
          </w:p>
          <w:p w14:paraId="3B3F2D8C" w14:textId="77777777" w:rsidR="0054719C" w:rsidRPr="00314AEF" w:rsidRDefault="0054719C" w:rsidP="001756D0">
            <w:pPr>
              <w:rPr>
                <w:sz w:val="20"/>
                <w:szCs w:val="20"/>
              </w:rPr>
            </w:pPr>
            <w:r w:rsidRPr="00314AEF">
              <w:rPr>
                <w:sz w:val="20"/>
                <w:szCs w:val="20"/>
              </w:rPr>
              <w:t>Response rate was 46% (N = 230).</w:t>
            </w:r>
          </w:p>
        </w:tc>
        <w:tc>
          <w:tcPr>
            <w:tcW w:w="6521" w:type="dxa"/>
          </w:tcPr>
          <w:p w14:paraId="01C316A0" w14:textId="77777777" w:rsidR="0054719C" w:rsidRPr="00314AEF" w:rsidRDefault="0054719C" w:rsidP="001756D0">
            <w:pPr>
              <w:rPr>
                <w:sz w:val="20"/>
                <w:szCs w:val="20"/>
              </w:rPr>
            </w:pPr>
            <w:r w:rsidRPr="00314AEF">
              <w:rPr>
                <w:sz w:val="20"/>
                <w:szCs w:val="20"/>
              </w:rPr>
              <w:t>Larger percentage of parents surveyed who had refused (16%) or delayed (27%) recommended immunizations than have been reported previously.</w:t>
            </w:r>
          </w:p>
          <w:p w14:paraId="3447A588" w14:textId="77777777" w:rsidR="0054719C" w:rsidRPr="00314AEF" w:rsidRDefault="0054719C" w:rsidP="001756D0">
            <w:pPr>
              <w:rPr>
                <w:sz w:val="20"/>
                <w:szCs w:val="20"/>
              </w:rPr>
            </w:pPr>
            <w:r w:rsidRPr="00314AEF">
              <w:rPr>
                <w:sz w:val="20"/>
                <w:szCs w:val="20"/>
              </w:rPr>
              <w:t>Children were more likely to be under-immunized if they had a parent aged 18–29 years old, who had a high school education or less, had more than one child, and who was white.</w:t>
            </w:r>
          </w:p>
          <w:p w14:paraId="3BA62F18" w14:textId="77777777" w:rsidR="0054719C" w:rsidRPr="00314AEF" w:rsidRDefault="0054719C" w:rsidP="001756D0">
            <w:pPr>
              <w:rPr>
                <w:sz w:val="20"/>
                <w:szCs w:val="20"/>
              </w:rPr>
            </w:pPr>
          </w:p>
        </w:tc>
      </w:tr>
    </w:tbl>
    <w:p w14:paraId="6A450C0F" w14:textId="52ECD6D7" w:rsidR="00314AEF" w:rsidRDefault="00314AEF" w:rsidP="00314AEF">
      <w:pPr>
        <w:spacing w:line="360" w:lineRule="auto"/>
        <w:jc w:val="both"/>
        <w:sectPr w:rsidR="00314AEF" w:rsidSect="000F5D9D">
          <w:pgSz w:w="16838" w:h="11906" w:orient="landscape"/>
          <w:pgMar w:top="1440" w:right="1440" w:bottom="1440" w:left="1440" w:header="708" w:footer="708" w:gutter="0"/>
          <w:cols w:space="708"/>
          <w:docGrid w:linePitch="360"/>
        </w:sectPr>
      </w:pPr>
    </w:p>
    <w:p w14:paraId="6008BDC3" w14:textId="77777777" w:rsidR="000F5D9D" w:rsidRPr="00314AEF" w:rsidRDefault="000F5D9D" w:rsidP="00E22C20">
      <w:pPr>
        <w:keepNext/>
        <w:keepLines/>
        <w:spacing w:after="0" w:line="360" w:lineRule="auto"/>
        <w:ind w:left="851"/>
        <w:jc w:val="both"/>
        <w:outlineLvl w:val="1"/>
        <w:rPr>
          <w:rFonts w:eastAsiaTheme="majorEastAsia"/>
          <w:b/>
          <w:bCs/>
          <w:szCs w:val="24"/>
        </w:rPr>
      </w:pPr>
      <w:bookmarkStart w:id="15" w:name="_Toc31400955"/>
      <w:r w:rsidRPr="00314AEF">
        <w:rPr>
          <w:rFonts w:eastAsiaTheme="majorEastAsia"/>
          <w:b/>
          <w:bCs/>
          <w:szCs w:val="24"/>
        </w:rPr>
        <w:lastRenderedPageBreak/>
        <w:t>2.6</w:t>
      </w:r>
      <w:r w:rsidRPr="00314AEF">
        <w:rPr>
          <w:rFonts w:eastAsiaTheme="majorEastAsia"/>
          <w:b/>
          <w:bCs/>
          <w:szCs w:val="24"/>
        </w:rPr>
        <w:tab/>
        <w:t>Factors associated with VH in Malaysia</w:t>
      </w:r>
      <w:bookmarkEnd w:id="15"/>
      <w:r w:rsidRPr="00314AEF">
        <w:rPr>
          <w:rFonts w:eastAsiaTheme="majorEastAsia"/>
          <w:b/>
          <w:bCs/>
          <w:szCs w:val="24"/>
        </w:rPr>
        <w:t xml:space="preserve">  </w:t>
      </w:r>
    </w:p>
    <w:p w14:paraId="4A64C678" w14:textId="77777777" w:rsidR="000F5D9D" w:rsidRPr="000F5D9D" w:rsidRDefault="000F5D9D" w:rsidP="00E22C20">
      <w:pPr>
        <w:spacing w:line="360" w:lineRule="auto"/>
        <w:ind w:left="851"/>
        <w:jc w:val="both"/>
        <w:rPr>
          <w:szCs w:val="24"/>
        </w:rPr>
      </w:pPr>
    </w:p>
    <w:p w14:paraId="171EC143" w14:textId="3718A5BF" w:rsidR="000F5D9D" w:rsidRPr="000F5D9D" w:rsidRDefault="000F5D9D" w:rsidP="00E22C20">
      <w:pPr>
        <w:spacing w:line="360" w:lineRule="auto"/>
        <w:ind w:left="851" w:firstLine="720"/>
        <w:jc w:val="both"/>
        <w:rPr>
          <w:szCs w:val="24"/>
        </w:rPr>
      </w:pPr>
      <w:r w:rsidRPr="000F5D9D">
        <w:rPr>
          <w:szCs w:val="24"/>
        </w:rPr>
        <w:t xml:space="preserve">As mentioned earlier, vaccine hesitancy is a </w:t>
      </w:r>
      <w:r w:rsidR="00314AEF" w:rsidRPr="000F5D9D">
        <w:rPr>
          <w:szCs w:val="24"/>
        </w:rPr>
        <w:t>behaviour</w:t>
      </w:r>
      <w:r w:rsidRPr="000F5D9D">
        <w:rPr>
          <w:szCs w:val="24"/>
        </w:rPr>
        <w:t xml:space="preserve"> influenced by a wide range of factors, such as knowledge or past experiences. This refusal is also linked to historical, political and socio-cultural contexts </w:t>
      </w:r>
      <w:r w:rsidRPr="000F5D9D">
        <w:rPr>
          <w:szCs w:val="24"/>
        </w:rPr>
        <w:fldChar w:fldCharType="begin" w:fldLock="1"/>
      </w:r>
      <w:r w:rsidRPr="000F5D9D">
        <w:rPr>
          <w:szCs w:val="24"/>
        </w:rPr>
        <w:instrText>ADDIN CSL_CITATION {"citationItems":[{"id":"ITEM-1","itemData":{"DOI":"10.1186/s12889-018-5103-8","ISSN":"14712458","abstract":"Background: Despite effective national immunisation programmes in Europe, some groups remain incompletely or un-vaccinated ('under-vaccinated'), with underserved minorities and certain religious/ideological groups repeatedly being involved in outbreaks of vaccine preventable diseases (VPD). Gaining insight into factors regarding acceptance of vaccination of 'under-vaccinated groups' (UVGs) might give opportunities to communicate with them in a trusty and reliable manner that respects their belief system and that, maybe, increase vaccination uptake. We aimed to identify and describe UVGs in Europe and to describe beliefs, attitudes and reasons for non-vaccination in the identified UVGs. Methods: We defined a UVG as a group of persons who share the same beliefs and/or live in socially close-knit communities in Europe and who have/had historically low vaccination coverage and/or experienced outbreaks of VPDs since 1950. We searched MEDLINE, EMBASE and PsycINFO databases using specific search term combinations. For the first systematic review, studies that described a group in Europe with an outbreak or low vaccination coverage for a VPD were selected and for the second systematic review, studies that described possible factors that are associated with non-vaccination in these groups were selected. Results: We selected 48 articles out of 606 and 13 articles out of 406 from the first and second search, respectively. Five UVGs were identified in the literature: Orthodox Protestant communities, Anthroposophists, Roma, Irish Travellers, and Orthodox Jewish communities. The main reported factors regarding vaccination were perceived non-severity of traditional \"childhood\" diseases, fear of vaccine side-effects, and need for more information about for example risk of vaccination. Conclusions: Within each UVG identified, there are a variety of health beliefs and objections to vaccination. In addition, similar factors are shared by several of these groups. Communication strategies regarding these similar factors such as educating people about the risks associated with being vaccinated versus not being vaccinated, addressing their concerns, and countering vaccination myths present among members of a specific UVG through a trusted source, can establish a reliable relationship with these groups and increase their vaccination uptake. Furthermore, other interventions such as improving access to health care could certainly increase vaccination uptake in Roma and Irish tra…","author":[{"dropping-particle":"","family":"Fournet","given":"N.","non-dropping-particle":"","parse-names":false,"suffix":""},{"dropping-particle":"","family":"Mollema","given":"L.","non-dropping-particle":"","parse-names":false,"suffix":""},{"dropping-particle":"","family":"Ruijs","given":"W. L.","non-dropping-particle":"","parse-names":false,"suffix":""},{"dropping-particle":"","family":"Harmsen","given":"I. A.","non-dropping-particle":"","parse-names":false,"suffix":""},{"dropping-particle":"","family":"Keck","given":"F.","non-dropping-particle":"","parse-names":false,"suffix":""},{"dropping-particle":"","family":"Durand","given":"J. Y.","non-dropping-particle":"","parse-names":false,"suffix":""},{"dropping-particle":"","family":"Cunha","given":"M. P.","non-dropping-particle":"","parse-names":false,"suffix":""},{"dropping-particle":"","family":"Wamsiedel","given":"M.","non-dropping-particle":"","parse-names":false,"suffix":""},{"dropping-particle":"","family":"Reis","given":"R.","non-dropping-particle":"","parse-names":false,"suffix":""},{"dropping-particle":"","family":"French","given":"J.","non-dropping-particle":"","parse-names":false,"suffix":""},{"dropping-particle":"","family":"Smit","given":"E. G.","non-dropping-particle":"","parse-names":false,"suffix":""},{"dropping-particle":"","family":"Kitching","given":"A.","non-dropping-particle":"","parse-names":false,"suffix":""},{"dropping-particle":"","family":"Steenbergen","given":"J. E.","non-dropping-particle":"Van","parse-names":false,"suffix":""}],"container-title":"BMC Public Health","id":"ITEM-1","issued":{"date-parts":[["2018"]]},"title":"Under-vaccinated groups in Europe and their beliefs, attitudes and reasons for non-vaccination; Two systematic reviews","type":"article-journal"},"uris":["http://www.mendeley.com/documents/?uuid=40947300-33ae-4fcd-a742-51de200b4d83"]}],"mendeley":{"formattedCitation":"(Fournet et al., 2018)","plainTextFormattedCitation":"(Fournet et al., 2018)","previouslyFormattedCitation":"(Fournet et al., 2018)"},"properties":{"noteIndex":0},"schema":"https://github.com/citation-style-language/schema/raw/master/csl-citation.json"}</w:instrText>
      </w:r>
      <w:r w:rsidRPr="000F5D9D">
        <w:rPr>
          <w:szCs w:val="24"/>
        </w:rPr>
        <w:fldChar w:fldCharType="separate"/>
      </w:r>
      <w:r w:rsidRPr="000F5D9D">
        <w:rPr>
          <w:noProof/>
          <w:szCs w:val="24"/>
        </w:rPr>
        <w:t>(Fournet et al., 2018)</w:t>
      </w:r>
      <w:r w:rsidRPr="000F5D9D">
        <w:rPr>
          <w:szCs w:val="24"/>
        </w:rPr>
        <w:fldChar w:fldCharType="end"/>
      </w:r>
      <w:r w:rsidRPr="000F5D9D">
        <w:rPr>
          <w:szCs w:val="24"/>
        </w:rPr>
        <w:fldChar w:fldCharType="begin" w:fldLock="1"/>
      </w:r>
      <w:r w:rsidR="00854604">
        <w:rPr>
          <w:szCs w:val="24"/>
        </w:rPr>
        <w:instrText>ADDIN CSL_CITATION {"citationItems":[{"id":"ITEM-1","itemData":{"DOI":"10.4161/hv.29725","ISSN":"2164554X","abstract":"Public acceptance of vaccination has never been a given. Today there is a set of societal circumstances that may contribute to a growing parental hesitancy about vaccination. These include: increasingly 'crowded' vaccination schedules; lower prevalence of vaccine-preventable diseases; greater access to, and more rapid dissemination of, vaccine-critical messages via digital networks; hyper-vigilance of parents in relation to children and risk; and an increasingly consumerist orientation to healthcare.","author":[{"dropping-particle":"","family":"Leask","given":"Julie","non-dropping-particle":"","parse-names":false,"suffix":""},{"dropping-particle":"","family":"Willaby","given":"Harold W.","non-dropping-particle":"","parse-names":false,"suffix":""},{"dropping-particle":"","family":"Kaufman","given":"Jessica","non-dropping-particle":"","parse-names":false,"suffix":""}],"container-title":"Human Vaccines and Immunotherapeutics","id":"ITEM-1","issue":"9","issued":{"date-parts":[["2014","9","1"]]},"page":"2600-2602","publisher":"Landes Bioscience","title":"The big picture in addressing vaccine hesitancy","type":"article-journal","volume":"10"},"uris":["http://www.mendeley.com/documents/?uuid=e36df937-dcd4-4349-96f7-87004868a5e1"]}],"mendeley":{"formattedCitation":"(Leask, Willaby, &amp; Kaufman, 2014)","plainTextFormattedCitation":"(Leask, Willaby, &amp; Kaufman, 2014)","previouslyFormattedCitation":"(Leask, Willaby, &amp; Kaufman, 2014)"},"properties":{"noteIndex":0},"schema":"https://github.com/citation-style-language/schema/raw/master/csl-citation.json"}</w:instrText>
      </w:r>
      <w:r w:rsidRPr="000F5D9D">
        <w:rPr>
          <w:szCs w:val="24"/>
        </w:rPr>
        <w:fldChar w:fldCharType="separate"/>
      </w:r>
      <w:r w:rsidRPr="000F5D9D">
        <w:rPr>
          <w:noProof/>
          <w:szCs w:val="24"/>
        </w:rPr>
        <w:t>(Leask, Willaby, &amp; Kaufman, 2014)</w:t>
      </w:r>
      <w:r w:rsidRPr="000F5D9D">
        <w:rPr>
          <w:szCs w:val="24"/>
        </w:rPr>
        <w:fldChar w:fldCharType="end"/>
      </w:r>
      <w:r w:rsidRPr="000F5D9D">
        <w:rPr>
          <w:szCs w:val="24"/>
        </w:rPr>
        <w:fldChar w:fldCharType="begin" w:fldLock="1"/>
      </w:r>
      <w:r w:rsidRPr="000F5D9D">
        <w:rPr>
          <w:szCs w:val="24"/>
        </w:rPr>
        <w:instrText>ADDIN CSL_CITATION {"citationItems":[{"id":"ITEM-1","itemData":{"DOI":"10.1016/j.vaccine.2015.04.039","ISSN":"18732518","abstract":"Many countries and communities are dealing with groups and growing numbers of individuals who are delaying or refusing recommended vaccinations for themselves or their children. This has created a need for immunization programs to find approaches and strategies to address vaccine hesitancy. An important source of useful approaches and strategies is found in the frameworks, practices, and principles used by commercial and social marketers, many of which have been used by immunization programs. This review examines how social and commercial marketing principles and practices can be used to help address vaccine hesitancy. It provides an introduction to key marketing and social marketing concepts, identifies some of the major challenges to applying commercial and social marketing approaches to immunization programs, illustrates how immunization advocates and programs can use marketing and social marketing approaches to address vaccine hesitancy, and identifies some of the lessons that commercial and non-immunization sectors have learned that may have relevance for immunization. While the use of commercial and social marketing practices and principles does not guarantee success, the evidence, lessons learned, and applications to date indicate that they have considerable value in fostering vaccine acceptance.","author":[{"dropping-particle":"","family":"Nowak","given":"Glen J.","non-dropping-particle":"","parse-names":false,"suffix":""},{"dropping-particle":"","family":"Gellin","given":"Bruce G.","non-dropping-particle":"","parse-names":false,"suffix":""},{"dropping-particle":"","family":"MacDonald","given":"Noni E.","non-dropping-particle":"","parse-names":false,"suffix":""},{"dropping-particle":"","family":"Butler","given":"Robb","non-dropping-particle":"","parse-names":false,"suffix":""},{"dropping-particle":"","family":"Eskola","given":"Juhani","non-dropping-particle":"","parse-names":false,"suffix":""},{"dropping-particle":"","family":"Liang","given":"Xiaofeng","non-dropping-particle":"","parse-names":false,"suffix":""},{"dropping-particle":"","family":"Chaudhuri","given":"Mohuya","non-dropping-particle":"","parse-names":false,"suffix":""},{"dropping-particle":"","family":"Dube","given":"Evé","non-dropping-particle":"","parse-names":false,"suffix":""},{"dropping-particle":"","family":"Gellin","given":"Bruce","non-dropping-particle":"","parse-names":false,"suffix":""},{"dropping-particle":"","family":"Goldstein","given":"Susan","non-dropping-particle":"","parse-names":false,"suffix":""},{"dropping-particle":"","family":"Larson","given":"Heidi","non-dropping-particle":"","parse-names":false,"suffix":""},{"dropping-particle":"","family":"Manzo","given":"Mahamane Laouali","non-dropping-particle":"","parse-names":false,"suffix":""},{"dropping-particle":"","family":"Reingold","given":"Arthur","non-dropping-particle":"","parse-names":false,"suffix":""},{"dropping-particle":"","family":"Tshering","given":"Kinzang","non-dropping-particle":"","parse-names":false,"suffix":""},{"dropping-particle":"","family":"Zhou","given":"Yuqing","non-dropping-particle":"","parse-names":false,"suffix":""},{"dropping-particle":"","family":"Duclos","given":"Philippe","non-dropping-particle":"","parse-names":false,"suffix":""},{"dropping-particle":"","family":"Guirguis","given":"Sherine","non-dropping-particle":"","parse-names":false,"suffix":""},{"dropping-particle":"","family":"Hickler","given":"Ben","non-dropping-particle":"","parse-names":false,"suffix":""},{"dropping-particle":"","family":"Schuster","given":"Melanie","non-dropping-particle":"","parse-names":false,"suffix":""}],"container-title":"Vaccine","id":"ITEM-1","issued":{"date-parts":[["2015"]]},"title":"Addressing vaccine hesitancy: The potential value of commercial and social marketing principles and practices","type":"article-journal"},"uris":["http://www.mendeley.com/documents/?uuid=ac366f77-66d5-48cc-97fd-d505ed33567f"]}],"mendeley":{"formattedCitation":"(Nowak et al., 2015)","plainTextFormattedCitation":"(Nowak et al., 2015)","previouslyFormattedCitation":"(Nowak et al., 2015)"},"properties":{"noteIndex":0},"schema":"https://github.com/citation-style-language/schema/raw/master/csl-citation.json"}</w:instrText>
      </w:r>
      <w:r w:rsidRPr="000F5D9D">
        <w:rPr>
          <w:szCs w:val="24"/>
        </w:rPr>
        <w:fldChar w:fldCharType="separate"/>
      </w:r>
      <w:r w:rsidRPr="000F5D9D">
        <w:rPr>
          <w:noProof/>
          <w:szCs w:val="24"/>
        </w:rPr>
        <w:t>(Nowak et al., 2015)</w:t>
      </w:r>
      <w:r w:rsidRPr="000F5D9D">
        <w:rPr>
          <w:szCs w:val="24"/>
        </w:rPr>
        <w:fldChar w:fldCharType="end"/>
      </w:r>
      <w:r w:rsidRPr="000F5D9D">
        <w:rPr>
          <w:szCs w:val="24"/>
        </w:rPr>
        <w:t>. There seems to be a case of low awareness regarding the benefits of child vaccination among Malaysian parents as they perceive that those diseases are no longer in existence. These findings were revealed in a cross-sectional study performed by Awadh et al</w:t>
      </w:r>
      <w:r w:rsidR="001756D0">
        <w:rPr>
          <w:szCs w:val="24"/>
        </w:rPr>
        <w:t xml:space="preserve"> </w:t>
      </w:r>
      <w:r w:rsidRPr="000F5D9D">
        <w:rPr>
          <w:szCs w:val="24"/>
        </w:rPr>
        <w:fldChar w:fldCharType="begin" w:fldLock="1"/>
      </w:r>
      <w:r w:rsidRPr="000F5D9D">
        <w:rPr>
          <w:szCs w:val="24"/>
        </w:rPr>
        <w:instrText>ADDIN CSL_CITATION {"citationItems":[{"id":"ITEM-1","itemData":{"DOI":"10.1186/1471-2431-14-254","ISSN":"14712431","abstract":"Background: Parents' knowledge about immunization is an important predictor factor for their children's immunization status. The aims of this study were to assess parents' knowledge and to evaluate the effect of a short educational intervention on improving parents' knowledge of childhood immunization.Methods: A cross-sectional study using a pre- and post-test intervention survey of a single group was conducted among Malaysian parents. Changes in total knowledge score before and after the intervention were measured using a validated questionnaire. The intervention consisted of an animated movie and lecture using simple understandable language. Wilcoxon signed ranks test and the McNemar x2 test were applied to compare the differences in knowledge before and after the intervention.Results: Seventy-three parents were enrolled in this study; the majority were mothers (n = 64, 87.7%). Parents' knowledge about childhood immunization increased significantly after the intervention compared to the baseline results (p &lt; 0.001). There were significant differences between parents' knowledge and their educational level and monthly income (p &lt; 0.001 and p = 0.005), respectively.Conclusions: A short educational intervention designed for parents had a positive effect on their knowledge about immunization. Educational interventions targeting parents with low levels of education and income are needed. Further studies investigating the actual effectiveness of such interventions on immunization rates and statuses are required.","author":[{"dropping-particle":"","family":"Awadh","given":"Ammar I.","non-dropping-particle":"","parse-names":false,"suffix":""},{"dropping-particle":"","family":"Hassali","given":"Mohamed A.","non-dropping-particle":"","parse-names":false,"suffix":""},{"dropping-particle":"","family":"Al-lela","given":"Omer Q.","non-dropping-particle":"","parse-names":false,"suffix":""},{"dropping-particle":"","family":"Bux","given":"Siti H.","non-dropping-particle":"","parse-names":false,"suffix":""},{"dropping-particle":"","family":"Elkalmi","given":"Ramadan M.","non-dropping-particle":"","parse-names":false,"suffix":""},{"dropping-particle":"","family":"Hadi","given":"Hazrina","non-dropping-particle":"","parse-names":false,"suffix":""}],"container-title":"BMC Pediatrics","id":"ITEM-1","issued":{"date-parts":[["2014"]]},"title":"Does an educational intervention improve parents' knowledge about immunization? Experience from Malaysia","type":"article-journal"},"uris":["http://www.mendeley.com/documents/?uuid=2d69e484-9c2b-4309-ab18-bb4c0751a061"]}],"mendeley":{"formattedCitation":"(Awadh et al., 2014)","plainTextFormattedCitation":"(Awadh et al., 2014)","previouslyFormattedCitation":"(Awadh et al., 2014)"},"properties":{"noteIndex":0},"schema":"https://github.com/citation-style-language/schema/raw/master/csl-citation.json"}</w:instrText>
      </w:r>
      <w:r w:rsidRPr="000F5D9D">
        <w:rPr>
          <w:szCs w:val="24"/>
        </w:rPr>
        <w:fldChar w:fldCharType="separate"/>
      </w:r>
      <w:r w:rsidRPr="000F5D9D">
        <w:rPr>
          <w:noProof/>
          <w:szCs w:val="24"/>
        </w:rPr>
        <w:t>(Awadh et al., 2014)</w:t>
      </w:r>
      <w:r w:rsidRPr="000F5D9D">
        <w:rPr>
          <w:szCs w:val="24"/>
        </w:rPr>
        <w:fldChar w:fldCharType="end"/>
      </w:r>
      <w:r w:rsidRPr="000F5D9D">
        <w:rPr>
          <w:szCs w:val="24"/>
        </w:rPr>
        <w:t xml:space="preserve">. </w:t>
      </w:r>
      <w:r w:rsidR="00854604">
        <w:rPr>
          <w:szCs w:val="24"/>
        </w:rPr>
        <w:t xml:space="preserve">In another study it was found that mothers and parents with lower education level are more vaccine hesitant </w:t>
      </w:r>
      <w:r w:rsidR="00854604">
        <w:rPr>
          <w:szCs w:val="24"/>
        </w:rPr>
        <w:fldChar w:fldCharType="begin" w:fldLock="1"/>
      </w:r>
      <w:r w:rsidR="00854604">
        <w:rPr>
          <w:szCs w:val="24"/>
        </w:rPr>
        <w:instrText>ADDIN CSL_CITATION {"citationItems":[{"id":"ITEM-1","itemData":{"DOI":"10.1016/j.vaccine.2017.04.010","ISSN":"18732518","abstract":"Background Vaccine hesitancy is a threat in combating vaccine-preventable diseases. It has been studied extensively in the Western countries but not so among Asian countries. Objectives To assess the test-retest reliability of the Parent Attitudes about Childhood Vaccines (PACV) questionnaire in Malay language; to determine the prevalence of vaccine hesitancy among parents and its associations with parents’ socio-demographic characteristics. Methods Forward and backward translation of PACV in Malay language was carried out. The reliability of the Malay-PACV questionnaire was tested among parents with children. The same questionnaire was used to study vaccine hesitancy among parents in a tertiary hospital in Kuala Lumpur. Information pertaining to socio-demographic characteristics, sources of information regarding vaccination and vaccine hesitancy were collected. Associations between vaccine hesitancy with socio-demographic factors were tested using Multivariable Logistic Regression. Results The Spearman correlation coefficient and Cronbach alpha for total PACV was 0.79 (p &lt; 0.001) and 0.79 respectively. The intra-class correlation coefficients of the subscales ranged from 0.54 to 0.90 demonstrating fair to excellent reliability. A total of 63 (11.6%) parents were noted to be vaccine hesitant. In the univariate analyses, vaccine hesitancy was associated with unemployed parents, parents who were younger, had fewer children and non-Muslim. In the multivariate model, pregnant mothers expecting their first child were four times more likely to be vaccine hesitant compared to those who already had one or more children (aOR: 3.91, 95% CI: 1.74–8.79) and unemployed parents were also more likely to be vaccine hesitant (aOR: 1.97, 95% CI: 1.08–3.59). The internet (65.6%) was the main source of information on vaccination followed by brochures (56.9%). Conclusion The Malay-PACV questionnaire is reliable to be used. The prevalence of vaccine hesitancy among the multi-ethnic Malaysians was comparable with other populations. Pregnant mothers expecting their first child and unemployed parents were found to be more vaccine hesitant.","author":[{"dropping-particle":"","family":"Mohd Azizi","given":"Fatin Shaheera","non-dropping-particle":"","parse-names":false,"suffix":""},{"dropping-particle":"","family":"Kew","given":"Yueting","non-dropping-particle":"","parse-names":false,"suffix":""},{"dropping-particle":"","family":"Moy","given":"Foong Ming","non-dropping-particle":"","parse-names":false,"suffix":""},{"dropping-particle":"","family":"Shaheera","given":"Fatin","non-dropping-particle":"","parse-names":false,"suffix":""},{"dropping-particle":"","family":"Azizi","given":"Mohd","non-dropping-particle":"","parse-names":false,"suffix":""},{"dropping-particle":"","family":"Kew","given":"Yueting","non-dropping-particle":"","parse-names":false,"suffix":""},{"dropping-particle":"","family":"Moy","given":"Foong Ming","non-dropping-particle":"","parse-names":false,"suffix":""}],"container-title":"Vaccine","id":"ITEM-1","issued":{"date-parts":[["2017"]]},"publisher":"Elsevier Ltd","title":"Vaccine hesitancy among parents in a multi-ethnic country, Malaysia","type":"article-journal"},"uris":["http://www.mendeley.com/documents/?uuid=37f58879-825a-4717-a2ab-2d83ffb296f4"]}],"mendeley":{"formattedCitation":"(Mohd Azizi et al., 2017)","plainTextFormattedCitation":"(Mohd Azizi et al., 2017)"},"properties":{"noteIndex":0},"schema":"https://github.com/citation-style-language/schema/raw/master/csl-citation.json"}</w:instrText>
      </w:r>
      <w:r w:rsidR="00854604">
        <w:rPr>
          <w:szCs w:val="24"/>
        </w:rPr>
        <w:fldChar w:fldCharType="separate"/>
      </w:r>
      <w:r w:rsidR="00854604" w:rsidRPr="00854604">
        <w:rPr>
          <w:noProof/>
          <w:szCs w:val="24"/>
        </w:rPr>
        <w:t>(Mohd Azizi et al., 2017)</w:t>
      </w:r>
      <w:r w:rsidR="00854604">
        <w:rPr>
          <w:szCs w:val="24"/>
        </w:rPr>
        <w:fldChar w:fldCharType="end"/>
      </w:r>
      <w:r w:rsidR="00854604">
        <w:rPr>
          <w:szCs w:val="24"/>
        </w:rPr>
        <w:fldChar w:fldCharType="begin" w:fldLock="1"/>
      </w:r>
      <w:r w:rsidR="00854604">
        <w:rPr>
          <w:szCs w:val="24"/>
        </w:rPr>
        <w:instrText>ADDIN CSL_CITATION {"citationItems":[{"id":"ITEM-1","itemData":{"DOI":"10.1016/J.VACCINE.2020.01.043","ISSN":"0264-410X","abstract":"BACKGROUND\nVaccine hesitancy is a complex behaviour which involves various degrees of indecision about specific vaccines or vaccination uptake. Access to antenatal care had been associated with positive vaccine behavior. \n\nOBJECTIVE\nTo determine the prevalence of vaccine hesitancy towards childhood immunisation amongst urban pregnant mothers and the associated socio-demographic factors. \n\nMETHODS\nA cross-sectional study was conducted among 1081 women who received antenatal care at a teaching hospital in Kuala Lumpur. Vaccine hesitancy was assessed using the Parent Attitudes about Childhood Vaccines (PACV) Survey in both English and validated Malay versions. The sociodemographic data of the mothers and their partners, source of vaccine information and reasons for hesitancy were analysed. \n\nRESULTS\nEighty-six (8.0%) pregnant mothers were vaccine hesitant. Ethnicity, religion, number of children, educational level and employment status were significantly associated with vaccine hesitancy. Multivariable analysis showed that a low level of education was the most significant risk factor (p &lt; 0.001), followed by religion (p = 0.03). Health professionals was the main source of information about vaccine. The non-vaccine hesitant women were more likely to seek information from health professionals, and health books and magazine. Fear of adverse side effects of vaccines was the predominant concern for all participants (58%) whilst fear of vaccination pain, preference for alternative medicine and lack of trust in the pharmaceutical industry were significant reasons given by the vaccine hesitant group. Partners’ ethnicity, a low educational level and a low income were significantly associated with vaccine hesitancy amongst pregnant mothers. \n\nCONCLUSION\nPrevalence of vaccine hesitancy amongst urban Malaysian pregnant women was relatively low. Muslim mothers are less likely to be vaccine hesitant. Educational level of mothers and their partners are the common determinant of vaccine hesitancy amongst antenatal mothers.","author":[{"dropping-particle":"","family":"Kalok","given":"Aida","non-dropping-particle":"","parse-names":false,"suffix":""},{"dropping-particle":"","family":"Loh","given":"Sweet Yi Esther","non-dropping-particle":"","parse-names":false,"suffix":""},{"dropping-particle":"","family":"Chew","given":"Kah Teik","non-dropping-particle":"","parse-names":false,"suffix":""},{"dropping-particle":"","family":"Abdul Aziz","given":"Nor Haslinda","non-dropping-particle":"","parse-names":false,"suffix":""},{"dropping-particle":"","family":"Shah","given":"Shamsul Azhar","non-dropping-particle":"","parse-names":false,"suffix":""},{"dropping-particle":"","family":"Ahmad","given":"Shuhaila","non-dropping-particle":"","parse-names":false,"suffix":""},{"dropping-particle":"","family":"Mohamed Ismail","given":"Nor Azlin","non-dropping-particle":"","parse-names":false,"suffix":""},{"dropping-particle":"","family":"Abdullah Mahdy","given":"Zaleha","non-dropping-particle":"","parse-names":false,"suffix":""}],"container-title":"Vaccine","id":"ITEM-1","issued":{"date-parts":[["2020","1","27"]]},"publisher":"Elsevier","title":"Vaccine hesitancy towards childhood immunisation amongst urban pregnant mothers in Malaysia","type":"article-journal"},"uris":["http://www.mendeley.com/documents/?uuid=9592cd4b-bd07-3e4a-b42f-addeefce08f4"]}],"mendeley":{"formattedCitation":"(Kalok et al., 2020)","plainTextFormattedCitation":"(Kalok et al., 2020)","previouslyFormattedCitation":"(Kalok et al., 2020)"},"properties":{"noteIndex":0},"schema":"https://github.com/citation-style-language/schema/raw/master/csl-citation.json"}</w:instrText>
      </w:r>
      <w:r w:rsidR="00854604">
        <w:rPr>
          <w:szCs w:val="24"/>
        </w:rPr>
        <w:fldChar w:fldCharType="separate"/>
      </w:r>
      <w:r w:rsidR="00854604" w:rsidRPr="00854604">
        <w:rPr>
          <w:noProof/>
          <w:szCs w:val="24"/>
        </w:rPr>
        <w:t>(Kalok et al., 2020)</w:t>
      </w:r>
      <w:r w:rsidR="00854604">
        <w:rPr>
          <w:szCs w:val="24"/>
        </w:rPr>
        <w:fldChar w:fldCharType="end"/>
      </w:r>
      <w:r w:rsidR="00854604">
        <w:rPr>
          <w:szCs w:val="24"/>
        </w:rPr>
        <w:t>.</w:t>
      </w:r>
    </w:p>
    <w:p w14:paraId="301BF333" w14:textId="234F5659" w:rsidR="000F5D9D" w:rsidRPr="000F5D9D" w:rsidRDefault="000F5D9D" w:rsidP="00E22C20">
      <w:pPr>
        <w:spacing w:line="360" w:lineRule="auto"/>
        <w:ind w:left="851" w:firstLine="720"/>
        <w:jc w:val="both"/>
        <w:rPr>
          <w:szCs w:val="24"/>
        </w:rPr>
      </w:pPr>
      <w:r w:rsidRPr="001756D0">
        <w:rPr>
          <w:szCs w:val="24"/>
        </w:rPr>
        <w:t>Furthermore</w:t>
      </w:r>
      <w:r w:rsidRPr="000F5D9D">
        <w:rPr>
          <w:szCs w:val="24"/>
        </w:rPr>
        <w:t xml:space="preserve">, in a local study in Kinta </w:t>
      </w:r>
      <w:r w:rsidR="00854604" w:rsidRPr="000F5D9D">
        <w:rPr>
          <w:szCs w:val="24"/>
        </w:rPr>
        <w:fldChar w:fldCharType="begin" w:fldLock="1"/>
      </w:r>
      <w:r w:rsidR="00854604">
        <w:rPr>
          <w:szCs w:val="24"/>
        </w:rPr>
        <w:instrText>ADDIN CSL_CITATION {"citationItems":[{"id":"ITEM-1","itemData":{"DOI":"10.1080/2331205X.2016.1142410","author":[{"dropping-particle":"","family":"Lim","given":"W Y","non-dropping-particle":"","parse-names":false,"suffix":""},{"dropping-particle":"","family":"Jeganathan","given":"Netia","non-dropping-particle":"","parse-names":false,"suffix":""},{"dropping-particle":"","family":"Rahmat","given":"H","non-dropping-particle":"","parse-names":false,"suffix":""},{"dropping-particle":"","family":"Mustafa","given":"N A","non-dropping-particle":"","parse-names":false,"suffix":""}],"container-title":"Cogent Medicine","id":"ITEM-1","issue":"1","issued":{"date-parts":[["2016"]]},"page":"1-8","publisher":"Cogent","title":"Exploring immunisation refusal by parents in the Malaysian context","type":"article-journal","volume":"86"},"uris":["http://www.mendeley.com/documents/?uuid=91c92c0d-414a-4a84-9ee8-34754796d7a3"]}],"mendeley":{"formattedCitation":"(Lim et al., 2016)","plainTextFormattedCitation":"(Lim et al., 2016)","previouslyFormattedCitation":"(Lim et al., 2016)"},"properties":{"noteIndex":0},"schema":"https://github.com/citation-style-language/schema/raw/master/csl-citation.json"}</w:instrText>
      </w:r>
      <w:r w:rsidR="00854604" w:rsidRPr="000F5D9D">
        <w:rPr>
          <w:szCs w:val="24"/>
        </w:rPr>
        <w:fldChar w:fldCharType="separate"/>
      </w:r>
      <w:r w:rsidR="00854604" w:rsidRPr="000F5D9D">
        <w:rPr>
          <w:noProof/>
          <w:szCs w:val="24"/>
        </w:rPr>
        <w:t>(Lim et al., 2016)</w:t>
      </w:r>
      <w:r w:rsidR="00854604" w:rsidRPr="000F5D9D">
        <w:rPr>
          <w:szCs w:val="24"/>
        </w:rPr>
        <w:fldChar w:fldCharType="end"/>
      </w:r>
      <w:r w:rsidRPr="000F5D9D">
        <w:rPr>
          <w:szCs w:val="24"/>
        </w:rPr>
        <w:t>,</w:t>
      </w:r>
      <w:r w:rsidR="001756D0">
        <w:rPr>
          <w:szCs w:val="24"/>
        </w:rPr>
        <w:t xml:space="preserve"> </w:t>
      </w:r>
      <w:r w:rsidRPr="000F5D9D">
        <w:rPr>
          <w:szCs w:val="24"/>
        </w:rPr>
        <w:t xml:space="preserve">it is note that the three most commonly missed vaccines </w:t>
      </w:r>
      <w:r w:rsidR="001756D0">
        <w:rPr>
          <w:szCs w:val="24"/>
        </w:rPr>
        <w:t xml:space="preserve">for both immunization refusal and defaulter </w:t>
      </w:r>
      <w:r w:rsidRPr="000F5D9D">
        <w:rPr>
          <w:szCs w:val="24"/>
        </w:rPr>
        <w:t xml:space="preserve">were same </w:t>
      </w:r>
      <w:r w:rsidR="001756D0">
        <w:rPr>
          <w:szCs w:val="24"/>
        </w:rPr>
        <w:t>which</w:t>
      </w:r>
      <w:r w:rsidRPr="000F5D9D">
        <w:rPr>
          <w:szCs w:val="24"/>
        </w:rPr>
        <w:t xml:space="preserve"> was Measles,</w:t>
      </w:r>
      <w:r w:rsidR="001756D0">
        <w:rPr>
          <w:szCs w:val="24"/>
        </w:rPr>
        <w:t xml:space="preserve"> </w:t>
      </w:r>
      <w:r w:rsidRPr="000F5D9D">
        <w:rPr>
          <w:szCs w:val="24"/>
        </w:rPr>
        <w:t>Mumps and Rubella vaccine (MMR), followed by the third dose of Hepatitis B (</w:t>
      </w:r>
      <w:proofErr w:type="spellStart"/>
      <w:r w:rsidRPr="000F5D9D">
        <w:rPr>
          <w:szCs w:val="24"/>
        </w:rPr>
        <w:t>HepB</w:t>
      </w:r>
      <w:proofErr w:type="spellEnd"/>
      <w:r w:rsidRPr="000F5D9D">
        <w:rPr>
          <w:szCs w:val="24"/>
        </w:rPr>
        <w:t xml:space="preserve">) and third dose of </w:t>
      </w:r>
      <w:proofErr w:type="spellStart"/>
      <w:r w:rsidRPr="000F5D9D">
        <w:rPr>
          <w:szCs w:val="24"/>
        </w:rPr>
        <w:t>Diphteria</w:t>
      </w:r>
      <w:proofErr w:type="spellEnd"/>
      <w:r w:rsidRPr="000F5D9D">
        <w:rPr>
          <w:szCs w:val="24"/>
        </w:rPr>
        <w:t xml:space="preserve">, Tetanus, </w:t>
      </w:r>
      <w:proofErr w:type="spellStart"/>
      <w:r w:rsidRPr="000F5D9D">
        <w:rPr>
          <w:szCs w:val="24"/>
        </w:rPr>
        <w:t>Pertusis</w:t>
      </w:r>
      <w:proofErr w:type="spellEnd"/>
      <w:r w:rsidRPr="000F5D9D">
        <w:rPr>
          <w:szCs w:val="24"/>
        </w:rPr>
        <w:t>, Polio and Haemophilus influenzae vaccine (DTaP/IPV/Hib). The three main reasons for refusing vaccines were a preference for alternative treatment, six (75%), assumption that vaccines have no effect, three (37.5%), and doubt regarding vaccine contents two (25%) while the three main reasons for defaulting vaccines were busy with work, 10 (32.3%), long waiting time at the clinic, 7 (22.6%), and child not well, 7 (22.6%)</w:t>
      </w:r>
      <w:r w:rsidR="00854604">
        <w:rPr>
          <w:szCs w:val="24"/>
        </w:rPr>
        <w:t xml:space="preserve"> </w:t>
      </w:r>
      <w:r w:rsidRPr="000F5D9D">
        <w:rPr>
          <w:szCs w:val="24"/>
        </w:rPr>
        <w:fldChar w:fldCharType="begin" w:fldLock="1"/>
      </w:r>
      <w:r w:rsidR="00854604">
        <w:rPr>
          <w:szCs w:val="24"/>
        </w:rPr>
        <w:instrText>ADDIN CSL_CITATION {"citationItems":[{"id":"ITEM-1","itemData":{"DOI":"10.1080/2331205X.2016.1142410","author":[{"dropping-particle":"","family":"Lim","given":"W Y","non-dropping-particle":"","parse-names":false,"suffix":""},{"dropping-particle":"","family":"Jeganathan","given":"Netia","non-dropping-particle":"","parse-names":false,"suffix":""},{"dropping-particle":"","family":"Rahmat","given":"H","non-dropping-particle":"","parse-names":false,"suffix":""},{"dropping-particle":"","family":"Mustafa","given":"N A","non-dropping-particle":"","parse-names":false,"suffix":""}],"container-title":"Cogent Medicine","id":"ITEM-1","issue":"1","issued":{"date-parts":[["2016"]]},"page":"1-8","publisher":"Cogent","title":"Exploring immunisation refusal by parents in the Malaysian context","type":"article-journal","volume":"86"},"uris":["http://www.mendeley.com/documents/?uuid=91c92c0d-414a-4a84-9ee8-34754796d7a3"]}],"mendeley":{"formattedCitation":"(Lim et al., 2016)","plainTextFormattedCitation":"(Lim et al., 2016)","previouslyFormattedCitation":"(Lim et al., 2016)"},"properties":{"noteIndex":0},"schema":"https://github.com/citation-style-language/schema/raw/master/csl-citation.json"}</w:instrText>
      </w:r>
      <w:r w:rsidRPr="000F5D9D">
        <w:rPr>
          <w:szCs w:val="24"/>
        </w:rPr>
        <w:fldChar w:fldCharType="separate"/>
      </w:r>
      <w:r w:rsidRPr="000F5D9D">
        <w:rPr>
          <w:noProof/>
          <w:szCs w:val="24"/>
        </w:rPr>
        <w:t>(Lim et al., 2016)</w:t>
      </w:r>
      <w:r w:rsidRPr="000F5D9D">
        <w:rPr>
          <w:szCs w:val="24"/>
        </w:rPr>
        <w:fldChar w:fldCharType="end"/>
      </w:r>
      <w:r w:rsidRPr="000F5D9D">
        <w:rPr>
          <w:szCs w:val="24"/>
        </w:rPr>
        <w:t xml:space="preserve">. </w:t>
      </w:r>
    </w:p>
    <w:p w14:paraId="6C212513" w14:textId="77777777" w:rsidR="000F5D9D" w:rsidRDefault="000F5D9D" w:rsidP="00E22C20">
      <w:pPr>
        <w:spacing w:line="360" w:lineRule="auto"/>
        <w:ind w:left="851"/>
        <w:jc w:val="both"/>
        <w:sectPr w:rsidR="000F5D9D" w:rsidSect="000F5D9D">
          <w:pgSz w:w="11906" w:h="16838"/>
          <w:pgMar w:top="1440" w:right="1440" w:bottom="1440" w:left="1440" w:header="708" w:footer="708" w:gutter="0"/>
          <w:cols w:space="708"/>
          <w:docGrid w:linePitch="360"/>
        </w:sectPr>
      </w:pPr>
    </w:p>
    <w:tbl>
      <w:tblPr>
        <w:tblStyle w:val="TableGrid2"/>
        <w:tblpPr w:leftFromText="180" w:rightFromText="180" w:vertAnchor="page" w:horzAnchor="margin" w:tblpY="1401"/>
        <w:tblW w:w="13887" w:type="dxa"/>
        <w:tblLook w:val="04A0" w:firstRow="1" w:lastRow="0" w:firstColumn="1" w:lastColumn="0" w:noHBand="0" w:noVBand="1"/>
      </w:tblPr>
      <w:tblGrid>
        <w:gridCol w:w="701"/>
        <w:gridCol w:w="2216"/>
        <w:gridCol w:w="950"/>
        <w:gridCol w:w="3559"/>
        <w:gridCol w:w="6461"/>
      </w:tblGrid>
      <w:tr w:rsidR="001756D0" w:rsidRPr="00314AEF" w14:paraId="001CFBF6" w14:textId="77777777" w:rsidTr="001756D0">
        <w:tc>
          <w:tcPr>
            <w:tcW w:w="704" w:type="dxa"/>
          </w:tcPr>
          <w:p w14:paraId="68F3277D" w14:textId="77777777" w:rsidR="0054719C" w:rsidRPr="00314AEF" w:rsidRDefault="0054719C" w:rsidP="001756D0">
            <w:pPr>
              <w:jc w:val="center"/>
              <w:rPr>
                <w:sz w:val="20"/>
                <w:szCs w:val="20"/>
              </w:rPr>
            </w:pPr>
            <w:r w:rsidRPr="00314AEF">
              <w:rPr>
                <w:sz w:val="20"/>
                <w:szCs w:val="20"/>
              </w:rPr>
              <w:lastRenderedPageBreak/>
              <w:t>No</w:t>
            </w:r>
          </w:p>
        </w:tc>
        <w:tc>
          <w:tcPr>
            <w:tcW w:w="2228" w:type="dxa"/>
          </w:tcPr>
          <w:p w14:paraId="533ED5FA" w14:textId="77777777" w:rsidR="0054719C" w:rsidRPr="00314AEF" w:rsidRDefault="0054719C" w:rsidP="001756D0">
            <w:pPr>
              <w:jc w:val="center"/>
              <w:rPr>
                <w:sz w:val="20"/>
                <w:szCs w:val="20"/>
              </w:rPr>
            </w:pPr>
            <w:r w:rsidRPr="00314AEF">
              <w:rPr>
                <w:sz w:val="20"/>
                <w:szCs w:val="20"/>
              </w:rPr>
              <w:t>Year / Authors</w:t>
            </w:r>
          </w:p>
        </w:tc>
        <w:tc>
          <w:tcPr>
            <w:tcW w:w="0" w:type="auto"/>
          </w:tcPr>
          <w:p w14:paraId="2CA3C36B" w14:textId="77777777" w:rsidR="0054719C" w:rsidRPr="00314AEF" w:rsidRDefault="0054719C" w:rsidP="001756D0">
            <w:pPr>
              <w:jc w:val="center"/>
              <w:rPr>
                <w:sz w:val="20"/>
                <w:szCs w:val="20"/>
              </w:rPr>
            </w:pPr>
            <w:r w:rsidRPr="00314AEF">
              <w:rPr>
                <w:sz w:val="20"/>
                <w:szCs w:val="20"/>
              </w:rPr>
              <w:t>Country</w:t>
            </w:r>
          </w:p>
        </w:tc>
        <w:tc>
          <w:tcPr>
            <w:tcW w:w="3586" w:type="dxa"/>
          </w:tcPr>
          <w:p w14:paraId="218CB36B" w14:textId="77777777" w:rsidR="0054719C" w:rsidRPr="00314AEF" w:rsidRDefault="0054719C" w:rsidP="001756D0">
            <w:pPr>
              <w:jc w:val="center"/>
              <w:rPr>
                <w:sz w:val="20"/>
                <w:szCs w:val="20"/>
              </w:rPr>
            </w:pPr>
            <w:r w:rsidRPr="00314AEF">
              <w:rPr>
                <w:sz w:val="20"/>
                <w:szCs w:val="20"/>
              </w:rPr>
              <w:t>Sample</w:t>
            </w:r>
          </w:p>
        </w:tc>
        <w:tc>
          <w:tcPr>
            <w:tcW w:w="6521" w:type="dxa"/>
          </w:tcPr>
          <w:p w14:paraId="2DCBD7A7" w14:textId="77777777" w:rsidR="0054719C" w:rsidRPr="00314AEF" w:rsidRDefault="0054719C" w:rsidP="001756D0">
            <w:pPr>
              <w:jc w:val="center"/>
              <w:rPr>
                <w:sz w:val="20"/>
                <w:szCs w:val="20"/>
              </w:rPr>
            </w:pPr>
            <w:r w:rsidRPr="00314AEF">
              <w:rPr>
                <w:sz w:val="20"/>
                <w:szCs w:val="20"/>
              </w:rPr>
              <w:t>Results</w:t>
            </w:r>
          </w:p>
        </w:tc>
      </w:tr>
      <w:tr w:rsidR="001756D0" w:rsidRPr="00314AEF" w14:paraId="030A5D06" w14:textId="77777777" w:rsidTr="0054719C">
        <w:trPr>
          <w:trHeight w:val="1310"/>
        </w:trPr>
        <w:tc>
          <w:tcPr>
            <w:tcW w:w="704" w:type="dxa"/>
          </w:tcPr>
          <w:p w14:paraId="72FABB1F" w14:textId="77777777" w:rsidR="0054719C" w:rsidRPr="00314AEF" w:rsidRDefault="0054719C" w:rsidP="001756D0">
            <w:pPr>
              <w:jc w:val="center"/>
              <w:rPr>
                <w:sz w:val="20"/>
                <w:szCs w:val="20"/>
              </w:rPr>
            </w:pPr>
            <w:r>
              <w:rPr>
                <w:sz w:val="20"/>
                <w:szCs w:val="20"/>
              </w:rPr>
              <w:t>1</w:t>
            </w:r>
          </w:p>
        </w:tc>
        <w:tc>
          <w:tcPr>
            <w:tcW w:w="2228" w:type="dxa"/>
          </w:tcPr>
          <w:p w14:paraId="17E97B4B" w14:textId="77777777" w:rsidR="0054719C" w:rsidRPr="00314AEF" w:rsidRDefault="0054719C" w:rsidP="0054719C">
            <w:pPr>
              <w:jc w:val="center"/>
              <w:rPr>
                <w:sz w:val="20"/>
                <w:szCs w:val="20"/>
              </w:rPr>
            </w:pPr>
            <w:r w:rsidRPr="00314AEF">
              <w:rPr>
                <w:sz w:val="20"/>
                <w:szCs w:val="20"/>
              </w:rPr>
              <w:t>Vaccine hesitancy among parents in a multi-ethnic country, Malaysia</w:t>
            </w:r>
          </w:p>
          <w:p w14:paraId="14674247" w14:textId="77777777" w:rsidR="0054719C" w:rsidRDefault="0054719C" w:rsidP="001756D0">
            <w:pPr>
              <w:rPr>
                <w:sz w:val="20"/>
                <w:szCs w:val="20"/>
              </w:rPr>
            </w:pPr>
          </w:p>
          <w:p w14:paraId="6AD454FD" w14:textId="77777777" w:rsidR="0054719C" w:rsidRDefault="0054719C" w:rsidP="001756D0">
            <w:pPr>
              <w:jc w:val="center"/>
              <w:rPr>
                <w:sz w:val="20"/>
                <w:szCs w:val="20"/>
              </w:rPr>
            </w:pPr>
            <w:proofErr w:type="spellStart"/>
            <w:r w:rsidRPr="00314AEF">
              <w:rPr>
                <w:sz w:val="20"/>
                <w:szCs w:val="20"/>
              </w:rPr>
              <w:t>Shaheera</w:t>
            </w:r>
            <w:proofErr w:type="spellEnd"/>
            <w:r w:rsidRPr="00314AEF">
              <w:rPr>
                <w:sz w:val="20"/>
                <w:szCs w:val="20"/>
              </w:rPr>
              <w:t xml:space="preserve"> et al., 2017</w:t>
            </w:r>
          </w:p>
          <w:p w14:paraId="0ABBAAD9" w14:textId="5B446B46" w:rsidR="0054719C" w:rsidRPr="00314AEF" w:rsidRDefault="0054719C" w:rsidP="001756D0">
            <w:pPr>
              <w:jc w:val="center"/>
              <w:rPr>
                <w:sz w:val="20"/>
                <w:szCs w:val="20"/>
              </w:rPr>
            </w:pPr>
          </w:p>
        </w:tc>
        <w:tc>
          <w:tcPr>
            <w:tcW w:w="0" w:type="auto"/>
          </w:tcPr>
          <w:p w14:paraId="5C95EFD1" w14:textId="77777777" w:rsidR="0054719C" w:rsidRPr="00314AEF" w:rsidRDefault="0054719C" w:rsidP="001756D0">
            <w:pPr>
              <w:rPr>
                <w:sz w:val="20"/>
                <w:szCs w:val="20"/>
              </w:rPr>
            </w:pPr>
            <w:r w:rsidRPr="00314AEF">
              <w:rPr>
                <w:sz w:val="20"/>
                <w:szCs w:val="20"/>
              </w:rPr>
              <w:t>Malaysia</w:t>
            </w:r>
          </w:p>
        </w:tc>
        <w:tc>
          <w:tcPr>
            <w:tcW w:w="3586" w:type="dxa"/>
          </w:tcPr>
          <w:p w14:paraId="7F1E0C79" w14:textId="77777777" w:rsidR="0054719C" w:rsidRPr="0054719C" w:rsidRDefault="0054719C" w:rsidP="00F24855">
            <w:pPr>
              <w:pStyle w:val="ListParagraph"/>
              <w:numPr>
                <w:ilvl w:val="0"/>
                <w:numId w:val="20"/>
              </w:numPr>
              <w:rPr>
                <w:sz w:val="20"/>
                <w:szCs w:val="20"/>
              </w:rPr>
            </w:pPr>
            <w:r w:rsidRPr="0054719C">
              <w:rPr>
                <w:sz w:val="20"/>
                <w:szCs w:val="20"/>
              </w:rPr>
              <w:t>Cross sectional</w:t>
            </w:r>
          </w:p>
          <w:p w14:paraId="3ED17F35" w14:textId="0190465F" w:rsidR="0054719C" w:rsidRPr="0054719C" w:rsidRDefault="0054719C" w:rsidP="00F24855">
            <w:pPr>
              <w:pStyle w:val="ListParagraph"/>
              <w:numPr>
                <w:ilvl w:val="0"/>
                <w:numId w:val="20"/>
              </w:numPr>
              <w:rPr>
                <w:sz w:val="20"/>
                <w:szCs w:val="20"/>
              </w:rPr>
            </w:pPr>
            <w:r w:rsidRPr="0054719C">
              <w:rPr>
                <w:sz w:val="20"/>
                <w:szCs w:val="20"/>
              </w:rPr>
              <w:t>Convenience sampling</w:t>
            </w:r>
          </w:p>
          <w:p w14:paraId="0609FAD6" w14:textId="77777777" w:rsidR="0054719C" w:rsidRPr="0054719C" w:rsidRDefault="0054719C" w:rsidP="00F24855">
            <w:pPr>
              <w:pStyle w:val="ListParagraph"/>
              <w:numPr>
                <w:ilvl w:val="0"/>
                <w:numId w:val="20"/>
              </w:numPr>
              <w:rPr>
                <w:sz w:val="20"/>
                <w:szCs w:val="20"/>
              </w:rPr>
            </w:pPr>
            <w:r w:rsidRPr="0054719C">
              <w:rPr>
                <w:sz w:val="20"/>
                <w:szCs w:val="20"/>
              </w:rPr>
              <w:t>545</w:t>
            </w:r>
          </w:p>
          <w:p w14:paraId="47E88A68" w14:textId="77777777" w:rsidR="0054719C" w:rsidRPr="00314AEF" w:rsidRDefault="0054719C" w:rsidP="001756D0">
            <w:pPr>
              <w:rPr>
                <w:sz w:val="20"/>
                <w:szCs w:val="20"/>
              </w:rPr>
            </w:pPr>
          </w:p>
        </w:tc>
        <w:tc>
          <w:tcPr>
            <w:tcW w:w="6521" w:type="dxa"/>
          </w:tcPr>
          <w:p w14:paraId="3F128721" w14:textId="77777777" w:rsidR="0054719C" w:rsidRPr="001756D0" w:rsidRDefault="0054719C" w:rsidP="00F24855">
            <w:pPr>
              <w:pStyle w:val="ListParagraph"/>
              <w:numPr>
                <w:ilvl w:val="0"/>
                <w:numId w:val="22"/>
              </w:numPr>
              <w:rPr>
                <w:sz w:val="20"/>
                <w:szCs w:val="20"/>
              </w:rPr>
            </w:pPr>
            <w:r w:rsidRPr="001756D0">
              <w:rPr>
                <w:sz w:val="20"/>
                <w:szCs w:val="20"/>
              </w:rPr>
              <w:t xml:space="preserve">Prevalence VH 11.6% of parents </w:t>
            </w:r>
          </w:p>
          <w:p w14:paraId="44D6E48A" w14:textId="77777777" w:rsidR="0054719C" w:rsidRPr="001756D0" w:rsidRDefault="0054719C" w:rsidP="00F24855">
            <w:pPr>
              <w:pStyle w:val="ListParagraph"/>
              <w:numPr>
                <w:ilvl w:val="0"/>
                <w:numId w:val="22"/>
              </w:numPr>
              <w:rPr>
                <w:sz w:val="20"/>
                <w:szCs w:val="20"/>
              </w:rPr>
            </w:pPr>
            <w:r w:rsidRPr="001756D0">
              <w:rPr>
                <w:sz w:val="20"/>
                <w:szCs w:val="20"/>
              </w:rPr>
              <w:t>Associated with unemployed parents, parents who were younger, had fewer children and non-Muslim</w:t>
            </w:r>
          </w:p>
        </w:tc>
      </w:tr>
      <w:tr w:rsidR="001756D0" w:rsidRPr="00314AEF" w14:paraId="626BF25B" w14:textId="77777777" w:rsidTr="0054719C">
        <w:trPr>
          <w:trHeight w:val="1627"/>
        </w:trPr>
        <w:tc>
          <w:tcPr>
            <w:tcW w:w="704" w:type="dxa"/>
          </w:tcPr>
          <w:p w14:paraId="3F9F6F52" w14:textId="77777777" w:rsidR="0054719C" w:rsidRPr="00314AEF" w:rsidRDefault="0054719C" w:rsidP="001756D0">
            <w:pPr>
              <w:jc w:val="center"/>
              <w:rPr>
                <w:sz w:val="20"/>
                <w:szCs w:val="20"/>
              </w:rPr>
            </w:pPr>
            <w:r>
              <w:rPr>
                <w:sz w:val="20"/>
                <w:szCs w:val="20"/>
              </w:rPr>
              <w:t>2</w:t>
            </w:r>
          </w:p>
        </w:tc>
        <w:tc>
          <w:tcPr>
            <w:tcW w:w="2228" w:type="dxa"/>
          </w:tcPr>
          <w:p w14:paraId="627E62D9" w14:textId="77777777" w:rsidR="0054719C" w:rsidRPr="00314AEF" w:rsidRDefault="0054719C" w:rsidP="0054719C">
            <w:pPr>
              <w:jc w:val="center"/>
              <w:rPr>
                <w:color w:val="333333"/>
                <w:sz w:val="20"/>
                <w:szCs w:val="20"/>
                <w:shd w:val="clear" w:color="auto" w:fill="FFFFFF"/>
              </w:rPr>
            </w:pPr>
            <w:r w:rsidRPr="00314AEF">
              <w:rPr>
                <w:color w:val="333333"/>
                <w:sz w:val="20"/>
                <w:szCs w:val="20"/>
                <w:shd w:val="clear" w:color="auto" w:fill="FFFFFF"/>
              </w:rPr>
              <w:t xml:space="preserve">Vaccine hesitancy among parents in Kuala Lumpur: a single </w:t>
            </w:r>
            <w:proofErr w:type="spellStart"/>
            <w:r w:rsidRPr="00314AEF">
              <w:rPr>
                <w:color w:val="333333"/>
                <w:sz w:val="20"/>
                <w:szCs w:val="20"/>
                <w:shd w:val="clear" w:color="auto" w:fill="FFFFFF"/>
              </w:rPr>
              <w:t>center</w:t>
            </w:r>
            <w:proofErr w:type="spellEnd"/>
            <w:r w:rsidRPr="00314AEF">
              <w:rPr>
                <w:color w:val="333333"/>
                <w:sz w:val="20"/>
                <w:szCs w:val="20"/>
                <w:shd w:val="clear" w:color="auto" w:fill="FFFFFF"/>
              </w:rPr>
              <w:t xml:space="preserve"> study</w:t>
            </w:r>
          </w:p>
          <w:p w14:paraId="4DB43BE5" w14:textId="77777777" w:rsidR="0054719C" w:rsidRDefault="0054719C" w:rsidP="001756D0">
            <w:pPr>
              <w:rPr>
                <w:noProof/>
                <w:sz w:val="20"/>
                <w:szCs w:val="20"/>
              </w:rPr>
            </w:pPr>
          </w:p>
          <w:p w14:paraId="6AD81F4B" w14:textId="77777777" w:rsidR="0054719C" w:rsidRDefault="0054719C" w:rsidP="001756D0">
            <w:pPr>
              <w:jc w:val="center"/>
              <w:rPr>
                <w:noProof/>
                <w:sz w:val="20"/>
                <w:szCs w:val="20"/>
              </w:rPr>
            </w:pPr>
            <w:r w:rsidRPr="00314AEF">
              <w:rPr>
                <w:noProof/>
                <w:sz w:val="20"/>
                <w:szCs w:val="20"/>
              </w:rPr>
              <w:t>Musa, Soni, Cheong, &amp; Nordin, 2019</w:t>
            </w:r>
          </w:p>
          <w:p w14:paraId="25A3094F" w14:textId="1F892188" w:rsidR="0054719C" w:rsidRPr="00314AEF" w:rsidRDefault="0054719C" w:rsidP="001756D0">
            <w:pPr>
              <w:rPr>
                <w:sz w:val="20"/>
                <w:szCs w:val="20"/>
              </w:rPr>
            </w:pPr>
          </w:p>
        </w:tc>
        <w:tc>
          <w:tcPr>
            <w:tcW w:w="0" w:type="auto"/>
          </w:tcPr>
          <w:p w14:paraId="7AA8D371" w14:textId="77777777" w:rsidR="0054719C" w:rsidRPr="00314AEF" w:rsidRDefault="0054719C" w:rsidP="001756D0">
            <w:pPr>
              <w:rPr>
                <w:sz w:val="20"/>
                <w:szCs w:val="20"/>
              </w:rPr>
            </w:pPr>
            <w:r w:rsidRPr="00314AEF">
              <w:rPr>
                <w:sz w:val="20"/>
                <w:szCs w:val="20"/>
              </w:rPr>
              <w:t>Malaysia</w:t>
            </w:r>
          </w:p>
        </w:tc>
        <w:tc>
          <w:tcPr>
            <w:tcW w:w="3586" w:type="dxa"/>
          </w:tcPr>
          <w:p w14:paraId="39C49BA6" w14:textId="77777777" w:rsidR="0054719C" w:rsidRPr="0054719C" w:rsidRDefault="0054719C" w:rsidP="00F24855">
            <w:pPr>
              <w:pStyle w:val="ListParagraph"/>
              <w:numPr>
                <w:ilvl w:val="0"/>
                <w:numId w:val="19"/>
              </w:numPr>
              <w:rPr>
                <w:sz w:val="20"/>
                <w:szCs w:val="20"/>
              </w:rPr>
            </w:pPr>
            <w:r w:rsidRPr="0054719C">
              <w:rPr>
                <w:sz w:val="20"/>
                <w:szCs w:val="20"/>
              </w:rPr>
              <w:t>Cross sectional</w:t>
            </w:r>
          </w:p>
          <w:p w14:paraId="4694040C" w14:textId="35B2984A" w:rsidR="0054719C" w:rsidRPr="0054719C" w:rsidRDefault="0054719C" w:rsidP="00F24855">
            <w:pPr>
              <w:pStyle w:val="ListParagraph"/>
              <w:numPr>
                <w:ilvl w:val="0"/>
                <w:numId w:val="19"/>
              </w:numPr>
              <w:rPr>
                <w:sz w:val="20"/>
                <w:szCs w:val="20"/>
              </w:rPr>
            </w:pPr>
            <w:r>
              <w:rPr>
                <w:sz w:val="20"/>
                <w:szCs w:val="20"/>
              </w:rPr>
              <w:t>Random sampling</w:t>
            </w:r>
          </w:p>
          <w:p w14:paraId="376C2AE9" w14:textId="77777777" w:rsidR="0054719C" w:rsidRPr="0054719C" w:rsidRDefault="0054719C" w:rsidP="00F24855">
            <w:pPr>
              <w:pStyle w:val="ListParagraph"/>
              <w:numPr>
                <w:ilvl w:val="0"/>
                <w:numId w:val="19"/>
              </w:numPr>
              <w:rPr>
                <w:sz w:val="20"/>
                <w:szCs w:val="20"/>
              </w:rPr>
            </w:pPr>
            <w:r w:rsidRPr="0054719C">
              <w:rPr>
                <w:sz w:val="20"/>
                <w:szCs w:val="20"/>
              </w:rPr>
              <w:t xml:space="preserve">314 parents </w:t>
            </w:r>
          </w:p>
          <w:p w14:paraId="4BB6EB5C" w14:textId="77777777" w:rsidR="0054719C" w:rsidRPr="0054719C" w:rsidRDefault="0054719C" w:rsidP="00F24855">
            <w:pPr>
              <w:pStyle w:val="ListParagraph"/>
              <w:numPr>
                <w:ilvl w:val="0"/>
                <w:numId w:val="19"/>
              </w:numPr>
              <w:rPr>
                <w:sz w:val="20"/>
                <w:szCs w:val="20"/>
              </w:rPr>
            </w:pPr>
            <w:r w:rsidRPr="0054719C">
              <w:rPr>
                <w:color w:val="333333"/>
                <w:sz w:val="20"/>
                <w:szCs w:val="20"/>
                <w:shd w:val="clear" w:color="auto" w:fill="FFFFFF"/>
              </w:rPr>
              <w:t>From December 2016 to May 2017</w:t>
            </w:r>
          </w:p>
        </w:tc>
        <w:tc>
          <w:tcPr>
            <w:tcW w:w="6521" w:type="dxa"/>
          </w:tcPr>
          <w:p w14:paraId="3A262D30" w14:textId="77777777" w:rsidR="0054719C" w:rsidRPr="0054719C" w:rsidRDefault="0054719C" w:rsidP="00F24855">
            <w:pPr>
              <w:pStyle w:val="ListParagraph"/>
              <w:numPr>
                <w:ilvl w:val="0"/>
                <w:numId w:val="18"/>
              </w:numPr>
              <w:rPr>
                <w:sz w:val="20"/>
                <w:szCs w:val="20"/>
              </w:rPr>
            </w:pPr>
            <w:r w:rsidRPr="0054719C">
              <w:rPr>
                <w:sz w:val="20"/>
                <w:szCs w:val="20"/>
              </w:rPr>
              <w:t xml:space="preserve">Prevalence of VH of 14.5% </w:t>
            </w:r>
          </w:p>
          <w:p w14:paraId="4C1BD29F" w14:textId="570B3441" w:rsidR="0054719C" w:rsidRPr="0054719C" w:rsidRDefault="0054719C" w:rsidP="00F24855">
            <w:pPr>
              <w:pStyle w:val="ListParagraph"/>
              <w:numPr>
                <w:ilvl w:val="0"/>
                <w:numId w:val="18"/>
              </w:numPr>
              <w:rPr>
                <w:sz w:val="20"/>
                <w:szCs w:val="20"/>
              </w:rPr>
            </w:pPr>
            <w:r w:rsidRPr="0054719C">
              <w:rPr>
                <w:sz w:val="20"/>
                <w:szCs w:val="20"/>
              </w:rPr>
              <w:t>Statistically significant (p&lt; 0.05) predictors of VH among parents in KL. The five factors were introduction to a new vaccine, negative past experiences of vaccinations, distrust of the pharmaceutical industry, distrust of health systems and providers and being male.</w:t>
            </w:r>
          </w:p>
        </w:tc>
      </w:tr>
      <w:tr w:rsidR="001756D0" w:rsidRPr="00314AEF" w14:paraId="16BF1679" w14:textId="77777777" w:rsidTr="001756D0">
        <w:trPr>
          <w:trHeight w:val="1618"/>
        </w:trPr>
        <w:tc>
          <w:tcPr>
            <w:tcW w:w="704" w:type="dxa"/>
          </w:tcPr>
          <w:p w14:paraId="623D69AB" w14:textId="77777777" w:rsidR="0054719C" w:rsidRPr="00314AEF" w:rsidRDefault="0054719C" w:rsidP="001756D0">
            <w:pPr>
              <w:jc w:val="center"/>
              <w:rPr>
                <w:sz w:val="20"/>
                <w:szCs w:val="20"/>
              </w:rPr>
            </w:pPr>
            <w:r>
              <w:rPr>
                <w:sz w:val="20"/>
                <w:szCs w:val="20"/>
              </w:rPr>
              <w:t>3</w:t>
            </w:r>
          </w:p>
        </w:tc>
        <w:tc>
          <w:tcPr>
            <w:tcW w:w="2228" w:type="dxa"/>
          </w:tcPr>
          <w:p w14:paraId="690BB270" w14:textId="77777777" w:rsidR="0054719C" w:rsidRPr="00314AEF" w:rsidRDefault="0054719C" w:rsidP="0054719C">
            <w:pPr>
              <w:jc w:val="center"/>
              <w:rPr>
                <w:sz w:val="20"/>
                <w:szCs w:val="20"/>
              </w:rPr>
            </w:pPr>
            <w:r w:rsidRPr="00314AEF">
              <w:rPr>
                <w:sz w:val="20"/>
                <w:szCs w:val="20"/>
              </w:rPr>
              <w:t>Vaccine Hesitancy toward Childhood Immunisation among</w:t>
            </w:r>
          </w:p>
          <w:p w14:paraId="00C9736B" w14:textId="77777777" w:rsidR="0054719C" w:rsidRPr="00314AEF" w:rsidRDefault="0054719C" w:rsidP="0054719C">
            <w:pPr>
              <w:jc w:val="center"/>
              <w:rPr>
                <w:sz w:val="20"/>
                <w:szCs w:val="20"/>
              </w:rPr>
            </w:pPr>
            <w:r w:rsidRPr="00314AEF">
              <w:rPr>
                <w:sz w:val="20"/>
                <w:szCs w:val="20"/>
              </w:rPr>
              <w:t>Antenatal Mothers at National University Hospital Kuala</w:t>
            </w:r>
          </w:p>
          <w:p w14:paraId="4B5D8598" w14:textId="77777777" w:rsidR="0054719C" w:rsidRPr="00314AEF" w:rsidRDefault="0054719C" w:rsidP="0054719C">
            <w:pPr>
              <w:jc w:val="center"/>
              <w:rPr>
                <w:sz w:val="20"/>
                <w:szCs w:val="20"/>
              </w:rPr>
            </w:pPr>
            <w:r w:rsidRPr="00314AEF">
              <w:rPr>
                <w:sz w:val="20"/>
                <w:szCs w:val="20"/>
              </w:rPr>
              <w:t>Lumpur</w:t>
            </w:r>
          </w:p>
          <w:p w14:paraId="0141A860" w14:textId="77777777" w:rsidR="001756D0" w:rsidRDefault="001756D0" w:rsidP="001756D0">
            <w:pPr>
              <w:rPr>
                <w:sz w:val="20"/>
                <w:szCs w:val="20"/>
              </w:rPr>
            </w:pPr>
          </w:p>
          <w:p w14:paraId="5DDAFB20" w14:textId="2BC6B605" w:rsidR="0054719C" w:rsidRPr="00314AEF" w:rsidRDefault="0054719C" w:rsidP="001756D0">
            <w:pPr>
              <w:jc w:val="center"/>
              <w:rPr>
                <w:sz w:val="20"/>
                <w:szCs w:val="20"/>
              </w:rPr>
            </w:pPr>
            <w:proofErr w:type="spellStart"/>
            <w:r w:rsidRPr="00314AEF">
              <w:rPr>
                <w:sz w:val="20"/>
                <w:szCs w:val="20"/>
              </w:rPr>
              <w:t>Kalok</w:t>
            </w:r>
            <w:proofErr w:type="spellEnd"/>
            <w:r w:rsidRPr="00314AEF">
              <w:rPr>
                <w:sz w:val="20"/>
                <w:szCs w:val="20"/>
              </w:rPr>
              <w:t xml:space="preserve"> et al., 2017</w:t>
            </w:r>
          </w:p>
          <w:p w14:paraId="34E0D6F0" w14:textId="77777777" w:rsidR="0054719C" w:rsidRPr="00314AEF" w:rsidRDefault="0054719C" w:rsidP="001756D0">
            <w:pPr>
              <w:rPr>
                <w:sz w:val="20"/>
                <w:szCs w:val="20"/>
              </w:rPr>
            </w:pPr>
          </w:p>
          <w:p w14:paraId="30A286A3" w14:textId="77777777" w:rsidR="0054719C" w:rsidRPr="00314AEF" w:rsidRDefault="0054719C" w:rsidP="001756D0">
            <w:pPr>
              <w:rPr>
                <w:sz w:val="20"/>
                <w:szCs w:val="20"/>
              </w:rPr>
            </w:pPr>
            <w:r w:rsidRPr="00314AEF">
              <w:rPr>
                <w:sz w:val="20"/>
                <w:szCs w:val="20"/>
              </w:rPr>
              <w:t xml:space="preserve"> </w:t>
            </w:r>
          </w:p>
        </w:tc>
        <w:tc>
          <w:tcPr>
            <w:tcW w:w="0" w:type="auto"/>
          </w:tcPr>
          <w:p w14:paraId="6613DFB3" w14:textId="77777777" w:rsidR="0054719C" w:rsidRPr="00314AEF" w:rsidRDefault="0054719C" w:rsidP="001756D0">
            <w:pPr>
              <w:rPr>
                <w:sz w:val="20"/>
                <w:szCs w:val="20"/>
              </w:rPr>
            </w:pPr>
            <w:r w:rsidRPr="00314AEF">
              <w:rPr>
                <w:sz w:val="20"/>
                <w:szCs w:val="20"/>
              </w:rPr>
              <w:t>Malaysia</w:t>
            </w:r>
          </w:p>
        </w:tc>
        <w:tc>
          <w:tcPr>
            <w:tcW w:w="3586" w:type="dxa"/>
          </w:tcPr>
          <w:p w14:paraId="2379B09E" w14:textId="77777777" w:rsidR="0054719C" w:rsidRPr="001756D0" w:rsidRDefault="0054719C" w:rsidP="00F24855">
            <w:pPr>
              <w:pStyle w:val="ListParagraph"/>
              <w:numPr>
                <w:ilvl w:val="0"/>
                <w:numId w:val="21"/>
              </w:numPr>
              <w:rPr>
                <w:sz w:val="20"/>
                <w:szCs w:val="20"/>
              </w:rPr>
            </w:pPr>
            <w:r w:rsidRPr="001756D0">
              <w:rPr>
                <w:rFonts w:eastAsia="StoneInformalStd-Medium"/>
                <w:sz w:val="20"/>
                <w:szCs w:val="20"/>
              </w:rPr>
              <w:t>Cross-sectional study of 1081 antenatal mother</w:t>
            </w:r>
          </w:p>
        </w:tc>
        <w:tc>
          <w:tcPr>
            <w:tcW w:w="6521" w:type="dxa"/>
          </w:tcPr>
          <w:p w14:paraId="0E796808" w14:textId="77777777" w:rsidR="0054719C" w:rsidRPr="001756D0" w:rsidRDefault="0054719C" w:rsidP="00F24855">
            <w:pPr>
              <w:pStyle w:val="ListParagraph"/>
              <w:numPr>
                <w:ilvl w:val="0"/>
                <w:numId w:val="21"/>
              </w:numPr>
              <w:rPr>
                <w:rFonts w:eastAsia="StoneInformalStd-Medium"/>
                <w:sz w:val="20"/>
                <w:szCs w:val="20"/>
              </w:rPr>
            </w:pPr>
            <w:r w:rsidRPr="001756D0">
              <w:rPr>
                <w:rFonts w:eastAsia="StoneInformalStd-Medium"/>
                <w:sz w:val="20"/>
                <w:szCs w:val="20"/>
              </w:rPr>
              <w:t>Eighty-five (7.9%) antenatal mothers were vaccine hesitant</w:t>
            </w:r>
          </w:p>
          <w:p w14:paraId="6298AB15" w14:textId="77777777" w:rsidR="0054719C" w:rsidRPr="001756D0" w:rsidRDefault="0054719C" w:rsidP="00F24855">
            <w:pPr>
              <w:pStyle w:val="ListParagraph"/>
              <w:numPr>
                <w:ilvl w:val="0"/>
                <w:numId w:val="21"/>
              </w:numPr>
              <w:rPr>
                <w:rFonts w:eastAsia="StoneInformalStd-Medium"/>
                <w:sz w:val="20"/>
                <w:szCs w:val="20"/>
              </w:rPr>
            </w:pPr>
            <w:r w:rsidRPr="001756D0">
              <w:rPr>
                <w:rFonts w:eastAsia="StoneInformalStd-Medium"/>
                <w:sz w:val="20"/>
                <w:szCs w:val="20"/>
              </w:rPr>
              <w:t>Non-Muslim antenatal mothers were 7 times more likely to be vaccine hesitant compared to Muslims</w:t>
            </w:r>
          </w:p>
          <w:p w14:paraId="15E83CF7" w14:textId="77777777" w:rsidR="0054719C" w:rsidRPr="001756D0" w:rsidRDefault="0054719C" w:rsidP="00F24855">
            <w:pPr>
              <w:pStyle w:val="ListParagraph"/>
              <w:numPr>
                <w:ilvl w:val="0"/>
                <w:numId w:val="21"/>
              </w:numPr>
              <w:rPr>
                <w:rFonts w:eastAsia="StoneInformalStd-Medium"/>
                <w:sz w:val="20"/>
                <w:szCs w:val="20"/>
              </w:rPr>
            </w:pPr>
            <w:r w:rsidRPr="001756D0">
              <w:rPr>
                <w:rFonts w:eastAsia="StoneInformalStd-Medium"/>
                <w:sz w:val="20"/>
                <w:szCs w:val="20"/>
              </w:rPr>
              <w:t>Antenatal mothers with lower education levels (primary and secondary school) were 4 times more likely to be vaccine hesitant</w:t>
            </w:r>
          </w:p>
          <w:p w14:paraId="09779EA2" w14:textId="77777777" w:rsidR="0054719C" w:rsidRPr="001756D0" w:rsidRDefault="0054719C" w:rsidP="00F24855">
            <w:pPr>
              <w:pStyle w:val="ListParagraph"/>
              <w:numPr>
                <w:ilvl w:val="0"/>
                <w:numId w:val="21"/>
              </w:numPr>
              <w:rPr>
                <w:rFonts w:eastAsia="StoneInformalStd-Medium"/>
                <w:sz w:val="20"/>
                <w:szCs w:val="20"/>
              </w:rPr>
            </w:pPr>
            <w:r w:rsidRPr="001756D0">
              <w:rPr>
                <w:rFonts w:eastAsia="StoneInformalStd-Medium"/>
                <w:sz w:val="20"/>
                <w:szCs w:val="20"/>
              </w:rPr>
              <w:t>Employed mothers were less likely to be vaccine hesitant</w:t>
            </w:r>
          </w:p>
          <w:p w14:paraId="4D0D6A98" w14:textId="77777777" w:rsidR="0054719C" w:rsidRPr="001756D0" w:rsidRDefault="0054719C" w:rsidP="00F24855">
            <w:pPr>
              <w:pStyle w:val="ListParagraph"/>
              <w:numPr>
                <w:ilvl w:val="0"/>
                <w:numId w:val="21"/>
              </w:numPr>
              <w:rPr>
                <w:rFonts w:eastAsia="StoneInformalStd-Medium"/>
                <w:sz w:val="20"/>
                <w:szCs w:val="20"/>
              </w:rPr>
            </w:pPr>
            <w:r w:rsidRPr="001756D0">
              <w:rPr>
                <w:rFonts w:eastAsia="StoneInformalStd-Medium"/>
                <w:sz w:val="20"/>
                <w:szCs w:val="20"/>
              </w:rPr>
              <w:t>The fear of adverse side effects of vaccines was the predominant reason given for those who were vaccine-hesitant</w:t>
            </w:r>
          </w:p>
        </w:tc>
      </w:tr>
      <w:tr w:rsidR="001756D0" w:rsidRPr="00314AEF" w14:paraId="5E0A4AFF" w14:textId="77777777" w:rsidTr="001756D0">
        <w:trPr>
          <w:trHeight w:val="1986"/>
        </w:trPr>
        <w:tc>
          <w:tcPr>
            <w:tcW w:w="704" w:type="dxa"/>
          </w:tcPr>
          <w:p w14:paraId="3BCDDDD9" w14:textId="77777777" w:rsidR="0054719C" w:rsidRPr="00314AEF" w:rsidRDefault="0054719C" w:rsidP="001756D0">
            <w:pPr>
              <w:jc w:val="center"/>
              <w:rPr>
                <w:sz w:val="20"/>
                <w:szCs w:val="20"/>
              </w:rPr>
            </w:pPr>
            <w:r>
              <w:rPr>
                <w:sz w:val="20"/>
                <w:szCs w:val="20"/>
              </w:rPr>
              <w:t>4</w:t>
            </w:r>
          </w:p>
        </w:tc>
        <w:tc>
          <w:tcPr>
            <w:tcW w:w="2228" w:type="dxa"/>
          </w:tcPr>
          <w:p w14:paraId="03FC7792" w14:textId="77777777" w:rsidR="001756D0" w:rsidRPr="00314AEF" w:rsidRDefault="001756D0" w:rsidP="001756D0">
            <w:pPr>
              <w:rPr>
                <w:sz w:val="20"/>
                <w:szCs w:val="20"/>
              </w:rPr>
            </w:pPr>
            <w:r w:rsidRPr="00314AEF">
              <w:rPr>
                <w:sz w:val="20"/>
                <w:szCs w:val="20"/>
              </w:rPr>
              <w:t>Factors affecting timeliness of immunization in Malaysia</w:t>
            </w:r>
          </w:p>
          <w:p w14:paraId="0783C195" w14:textId="77777777" w:rsidR="001756D0" w:rsidRDefault="001756D0" w:rsidP="001756D0">
            <w:pPr>
              <w:rPr>
                <w:noProof/>
                <w:sz w:val="20"/>
                <w:szCs w:val="20"/>
              </w:rPr>
            </w:pPr>
          </w:p>
          <w:p w14:paraId="0A9500D5" w14:textId="64A624AD" w:rsidR="0054719C" w:rsidRPr="00314AEF" w:rsidRDefault="001756D0" w:rsidP="001756D0">
            <w:pPr>
              <w:rPr>
                <w:sz w:val="20"/>
                <w:szCs w:val="20"/>
              </w:rPr>
            </w:pPr>
            <w:r w:rsidRPr="00314AEF">
              <w:rPr>
                <w:noProof/>
                <w:sz w:val="20"/>
                <w:szCs w:val="20"/>
              </w:rPr>
              <w:t>Awadh et al., 2014</w:t>
            </w:r>
          </w:p>
          <w:p w14:paraId="114DA0F5" w14:textId="77777777" w:rsidR="0054719C" w:rsidRPr="00314AEF" w:rsidRDefault="0054719C" w:rsidP="001756D0">
            <w:pPr>
              <w:rPr>
                <w:sz w:val="20"/>
                <w:szCs w:val="20"/>
              </w:rPr>
            </w:pPr>
          </w:p>
        </w:tc>
        <w:tc>
          <w:tcPr>
            <w:tcW w:w="0" w:type="auto"/>
          </w:tcPr>
          <w:p w14:paraId="12CDEF69" w14:textId="77777777" w:rsidR="001756D0" w:rsidRPr="00314AEF" w:rsidRDefault="001756D0" w:rsidP="001756D0">
            <w:pPr>
              <w:rPr>
                <w:sz w:val="20"/>
                <w:szCs w:val="20"/>
              </w:rPr>
            </w:pPr>
            <w:r w:rsidRPr="00314AEF">
              <w:rPr>
                <w:sz w:val="20"/>
                <w:szCs w:val="20"/>
              </w:rPr>
              <w:t>Kuantan</w:t>
            </w:r>
          </w:p>
          <w:p w14:paraId="6A24859B" w14:textId="01664B8A" w:rsidR="0054719C" w:rsidRPr="00314AEF" w:rsidRDefault="001756D0" w:rsidP="001756D0">
            <w:pPr>
              <w:rPr>
                <w:sz w:val="20"/>
                <w:szCs w:val="20"/>
              </w:rPr>
            </w:pPr>
            <w:r w:rsidRPr="00314AEF">
              <w:rPr>
                <w:sz w:val="20"/>
                <w:szCs w:val="20"/>
              </w:rPr>
              <w:t>Malaysia</w:t>
            </w:r>
          </w:p>
        </w:tc>
        <w:tc>
          <w:tcPr>
            <w:tcW w:w="3586" w:type="dxa"/>
          </w:tcPr>
          <w:p w14:paraId="16268AC4" w14:textId="77777777" w:rsidR="0054719C" w:rsidRPr="00314AEF" w:rsidRDefault="0054719C" w:rsidP="001756D0">
            <w:pPr>
              <w:rPr>
                <w:sz w:val="20"/>
                <w:szCs w:val="20"/>
              </w:rPr>
            </w:pPr>
            <w:r w:rsidRPr="00314AEF">
              <w:rPr>
                <w:sz w:val="20"/>
                <w:szCs w:val="20"/>
              </w:rPr>
              <w:t>Cross-</w:t>
            </w:r>
            <w:proofErr w:type="gramStart"/>
            <w:r w:rsidRPr="00314AEF">
              <w:rPr>
                <w:sz w:val="20"/>
                <w:szCs w:val="20"/>
              </w:rPr>
              <w:t>sectional ,survey</w:t>
            </w:r>
            <w:proofErr w:type="gramEnd"/>
            <w:r w:rsidRPr="00314AEF">
              <w:rPr>
                <w:sz w:val="20"/>
                <w:szCs w:val="20"/>
              </w:rPr>
              <w:t xml:space="preserve"> sample was selected by simple random sampling from a birth cohort of 19–35 month old singleton children born</w:t>
            </w:r>
          </w:p>
          <w:p w14:paraId="5FA6338E" w14:textId="77777777" w:rsidR="0054719C" w:rsidRPr="00314AEF" w:rsidRDefault="0054719C" w:rsidP="001756D0">
            <w:pPr>
              <w:rPr>
                <w:sz w:val="20"/>
                <w:szCs w:val="20"/>
              </w:rPr>
            </w:pPr>
            <w:r w:rsidRPr="00314AEF">
              <w:rPr>
                <w:sz w:val="20"/>
                <w:szCs w:val="20"/>
              </w:rPr>
              <w:t xml:space="preserve">between April 2007 and August </w:t>
            </w:r>
            <w:proofErr w:type="gramStart"/>
            <w:r w:rsidRPr="00314AEF">
              <w:rPr>
                <w:sz w:val="20"/>
                <w:szCs w:val="20"/>
              </w:rPr>
              <w:t>2008 ,</w:t>
            </w:r>
            <w:proofErr w:type="gramEnd"/>
          </w:p>
          <w:p w14:paraId="0614AAD4" w14:textId="77777777" w:rsidR="0054719C" w:rsidRPr="00314AEF" w:rsidRDefault="0054719C" w:rsidP="001756D0">
            <w:pPr>
              <w:rPr>
                <w:sz w:val="20"/>
                <w:szCs w:val="20"/>
              </w:rPr>
            </w:pPr>
          </w:p>
          <w:p w14:paraId="61EA2B21" w14:textId="77777777" w:rsidR="0054719C" w:rsidRPr="00314AEF" w:rsidRDefault="0054719C" w:rsidP="001756D0">
            <w:pPr>
              <w:rPr>
                <w:sz w:val="20"/>
                <w:szCs w:val="20"/>
              </w:rPr>
            </w:pPr>
            <w:r w:rsidRPr="00314AEF">
              <w:rPr>
                <w:sz w:val="20"/>
                <w:szCs w:val="20"/>
              </w:rPr>
              <w:t>Response rate was 46% (N = 230).</w:t>
            </w:r>
          </w:p>
        </w:tc>
        <w:tc>
          <w:tcPr>
            <w:tcW w:w="6521" w:type="dxa"/>
          </w:tcPr>
          <w:p w14:paraId="3730967F" w14:textId="26BF144D" w:rsidR="0054719C" w:rsidRPr="00314AEF" w:rsidRDefault="001756D0" w:rsidP="001756D0">
            <w:pPr>
              <w:pStyle w:val="ListParagraph"/>
              <w:rPr>
                <w:sz w:val="20"/>
                <w:szCs w:val="20"/>
              </w:rPr>
            </w:pPr>
            <w:r w:rsidRPr="00314AEF">
              <w:rPr>
                <w:sz w:val="20"/>
                <w:szCs w:val="20"/>
                <w:shd w:val="clear" w:color="auto" w:fill="FFFFFF"/>
              </w:rPr>
              <w:t>A total of 479 children immunization records were screened and their parents were interviewed. High immunization coverage (&gt;95%) for each of the recommended vaccine has been found in this study. However, 63.5% (n=304) of the children had overall age appropriate immunization status. Parent’s education, employment status, family size, and place of living were identified as risk factors for not having age appropriate immunization. Born in larger family size and having low educated parent were predictors for not being age appropriately immunized</w:t>
            </w:r>
          </w:p>
        </w:tc>
      </w:tr>
    </w:tbl>
    <w:p w14:paraId="6C2A22DF" w14:textId="4E983965" w:rsidR="000F5D9D" w:rsidRDefault="000F5D9D" w:rsidP="00E22C20">
      <w:pPr>
        <w:spacing w:line="360" w:lineRule="auto"/>
        <w:ind w:left="851"/>
        <w:jc w:val="both"/>
      </w:pPr>
    </w:p>
    <w:p w14:paraId="40DEBC52" w14:textId="3BEB6D75" w:rsidR="000F5D9D" w:rsidRDefault="000F5D9D" w:rsidP="00E22C20">
      <w:pPr>
        <w:spacing w:line="360" w:lineRule="auto"/>
        <w:ind w:left="851"/>
        <w:jc w:val="both"/>
      </w:pPr>
    </w:p>
    <w:p w14:paraId="51D2E8E9" w14:textId="233E1075" w:rsidR="000F5D9D" w:rsidRDefault="000F5D9D" w:rsidP="00E22C20">
      <w:pPr>
        <w:spacing w:line="360" w:lineRule="auto"/>
        <w:ind w:left="851"/>
        <w:jc w:val="both"/>
      </w:pPr>
    </w:p>
    <w:p w14:paraId="1F0A1BDE" w14:textId="61DBD270" w:rsidR="000F5D9D" w:rsidRDefault="000F5D9D" w:rsidP="00E22C20">
      <w:pPr>
        <w:spacing w:line="360" w:lineRule="auto"/>
        <w:ind w:left="851"/>
        <w:jc w:val="both"/>
      </w:pPr>
    </w:p>
    <w:tbl>
      <w:tblPr>
        <w:tblStyle w:val="TableGrid21"/>
        <w:tblpPr w:leftFromText="180" w:rightFromText="180" w:vertAnchor="page" w:horzAnchor="margin" w:tblpY="1071"/>
        <w:tblW w:w="13462" w:type="dxa"/>
        <w:tblLook w:val="04A0" w:firstRow="1" w:lastRow="0" w:firstColumn="1" w:lastColumn="0" w:noHBand="0" w:noVBand="1"/>
      </w:tblPr>
      <w:tblGrid>
        <w:gridCol w:w="562"/>
        <w:gridCol w:w="2552"/>
        <w:gridCol w:w="1003"/>
        <w:gridCol w:w="9345"/>
      </w:tblGrid>
      <w:tr w:rsidR="0054719C" w:rsidRPr="00314AEF" w14:paraId="6911E962" w14:textId="77777777" w:rsidTr="0054719C">
        <w:tc>
          <w:tcPr>
            <w:tcW w:w="562" w:type="dxa"/>
          </w:tcPr>
          <w:p w14:paraId="64BD77F7" w14:textId="77777777" w:rsidR="0054719C" w:rsidRPr="00314AEF" w:rsidRDefault="0054719C" w:rsidP="0054719C">
            <w:pPr>
              <w:rPr>
                <w:sz w:val="20"/>
                <w:szCs w:val="20"/>
              </w:rPr>
            </w:pPr>
            <w:r w:rsidRPr="00314AEF">
              <w:rPr>
                <w:sz w:val="20"/>
                <w:szCs w:val="20"/>
              </w:rPr>
              <w:t>No</w:t>
            </w:r>
          </w:p>
        </w:tc>
        <w:tc>
          <w:tcPr>
            <w:tcW w:w="2552" w:type="dxa"/>
          </w:tcPr>
          <w:p w14:paraId="53B03737" w14:textId="77777777" w:rsidR="0054719C" w:rsidRPr="00314AEF" w:rsidRDefault="0054719C" w:rsidP="0054719C">
            <w:pPr>
              <w:rPr>
                <w:sz w:val="20"/>
                <w:szCs w:val="20"/>
              </w:rPr>
            </w:pPr>
            <w:r w:rsidRPr="00314AEF">
              <w:rPr>
                <w:sz w:val="20"/>
                <w:szCs w:val="20"/>
              </w:rPr>
              <w:t>Year / Authors</w:t>
            </w:r>
          </w:p>
        </w:tc>
        <w:tc>
          <w:tcPr>
            <w:tcW w:w="0" w:type="auto"/>
          </w:tcPr>
          <w:p w14:paraId="2A4315D1" w14:textId="77777777" w:rsidR="0054719C" w:rsidRPr="00314AEF" w:rsidRDefault="0054719C" w:rsidP="0054719C">
            <w:pPr>
              <w:rPr>
                <w:sz w:val="20"/>
                <w:szCs w:val="20"/>
              </w:rPr>
            </w:pPr>
            <w:r w:rsidRPr="00314AEF">
              <w:rPr>
                <w:sz w:val="20"/>
                <w:szCs w:val="20"/>
              </w:rPr>
              <w:t>Country</w:t>
            </w:r>
          </w:p>
        </w:tc>
        <w:tc>
          <w:tcPr>
            <w:tcW w:w="9345" w:type="dxa"/>
          </w:tcPr>
          <w:p w14:paraId="6AA8CEC9" w14:textId="77777777" w:rsidR="0054719C" w:rsidRPr="00314AEF" w:rsidRDefault="0054719C" w:rsidP="0054719C">
            <w:pPr>
              <w:rPr>
                <w:sz w:val="20"/>
                <w:szCs w:val="20"/>
              </w:rPr>
            </w:pPr>
            <w:r w:rsidRPr="00314AEF">
              <w:rPr>
                <w:sz w:val="20"/>
                <w:szCs w:val="20"/>
              </w:rPr>
              <w:t>Results</w:t>
            </w:r>
          </w:p>
        </w:tc>
      </w:tr>
      <w:tr w:rsidR="0054719C" w:rsidRPr="00314AEF" w14:paraId="28E8710E" w14:textId="77777777" w:rsidTr="0054719C">
        <w:trPr>
          <w:trHeight w:val="1737"/>
        </w:trPr>
        <w:tc>
          <w:tcPr>
            <w:tcW w:w="562" w:type="dxa"/>
          </w:tcPr>
          <w:p w14:paraId="241C76B3" w14:textId="48914CEC" w:rsidR="0054719C" w:rsidRPr="00314AEF" w:rsidRDefault="00854604" w:rsidP="0054719C">
            <w:pPr>
              <w:rPr>
                <w:sz w:val="20"/>
                <w:szCs w:val="20"/>
              </w:rPr>
            </w:pPr>
            <w:r>
              <w:rPr>
                <w:sz w:val="20"/>
                <w:szCs w:val="20"/>
              </w:rPr>
              <w:t>5</w:t>
            </w:r>
          </w:p>
        </w:tc>
        <w:tc>
          <w:tcPr>
            <w:tcW w:w="2552" w:type="dxa"/>
          </w:tcPr>
          <w:p w14:paraId="730277E8" w14:textId="77777777" w:rsidR="0054719C" w:rsidRPr="00314AEF" w:rsidRDefault="0054719C" w:rsidP="0054719C">
            <w:pPr>
              <w:rPr>
                <w:sz w:val="20"/>
                <w:szCs w:val="20"/>
              </w:rPr>
            </w:pPr>
            <w:r w:rsidRPr="00314AEF">
              <w:rPr>
                <w:sz w:val="20"/>
                <w:szCs w:val="20"/>
              </w:rPr>
              <w:t>Exploring immunisation refusal by parents in the Malaysian context</w:t>
            </w:r>
          </w:p>
          <w:p w14:paraId="40BEF90A" w14:textId="77777777" w:rsidR="0054719C" w:rsidRDefault="0054719C" w:rsidP="0054719C">
            <w:pPr>
              <w:rPr>
                <w:rFonts w:eastAsia="Times New Roman"/>
                <w:sz w:val="20"/>
                <w:szCs w:val="20"/>
                <w:lang w:eastAsia="en-MY"/>
              </w:rPr>
            </w:pPr>
          </w:p>
          <w:p w14:paraId="7964D4EA" w14:textId="77777777" w:rsidR="0054719C" w:rsidRPr="00314AEF" w:rsidRDefault="0054719C" w:rsidP="0054719C">
            <w:pPr>
              <w:rPr>
                <w:rFonts w:eastAsia="Times New Roman"/>
                <w:sz w:val="20"/>
                <w:szCs w:val="20"/>
                <w:lang w:eastAsia="en-MY"/>
              </w:rPr>
            </w:pPr>
            <w:r w:rsidRPr="00314AEF">
              <w:rPr>
                <w:rFonts w:eastAsia="Times New Roman"/>
                <w:sz w:val="20"/>
                <w:szCs w:val="20"/>
                <w:lang w:eastAsia="en-MY"/>
              </w:rPr>
              <w:t>Lim, W Y</w:t>
            </w:r>
            <w:r>
              <w:rPr>
                <w:rFonts w:eastAsia="Times New Roman"/>
                <w:sz w:val="20"/>
                <w:szCs w:val="20"/>
                <w:lang w:eastAsia="en-MY"/>
              </w:rPr>
              <w:t xml:space="preserve"> </w:t>
            </w:r>
            <w:proofErr w:type="spellStart"/>
            <w:r w:rsidRPr="00314AEF">
              <w:rPr>
                <w:rFonts w:eastAsia="Times New Roman"/>
                <w:sz w:val="20"/>
                <w:szCs w:val="20"/>
                <w:lang w:eastAsia="en-MY"/>
              </w:rPr>
              <w:t>Jeganathan</w:t>
            </w:r>
            <w:proofErr w:type="spellEnd"/>
            <w:r w:rsidRPr="00314AEF">
              <w:rPr>
                <w:rFonts w:eastAsia="Times New Roman"/>
                <w:sz w:val="20"/>
                <w:szCs w:val="20"/>
                <w:lang w:eastAsia="en-MY"/>
              </w:rPr>
              <w:t xml:space="preserve">, </w:t>
            </w:r>
            <w:proofErr w:type="spellStart"/>
            <w:r w:rsidRPr="00314AEF">
              <w:rPr>
                <w:rFonts w:eastAsia="Times New Roman"/>
                <w:sz w:val="20"/>
                <w:szCs w:val="20"/>
                <w:lang w:eastAsia="en-MY"/>
              </w:rPr>
              <w:t>Netia</w:t>
            </w:r>
            <w:proofErr w:type="spellEnd"/>
          </w:p>
          <w:p w14:paraId="2C48FE82" w14:textId="77777777" w:rsidR="0054719C" w:rsidRPr="00314AEF" w:rsidRDefault="0054719C" w:rsidP="0054719C">
            <w:pPr>
              <w:rPr>
                <w:i/>
                <w:iCs/>
                <w:sz w:val="20"/>
                <w:szCs w:val="20"/>
              </w:rPr>
            </w:pPr>
            <w:proofErr w:type="spellStart"/>
            <w:r w:rsidRPr="00314AEF">
              <w:rPr>
                <w:rFonts w:eastAsia="Times New Roman"/>
                <w:sz w:val="20"/>
                <w:szCs w:val="20"/>
                <w:lang w:eastAsia="en-MY"/>
              </w:rPr>
              <w:t>Rahmat</w:t>
            </w:r>
            <w:proofErr w:type="spellEnd"/>
            <w:r w:rsidRPr="00314AEF">
              <w:rPr>
                <w:rFonts w:eastAsia="Times New Roman"/>
                <w:sz w:val="20"/>
                <w:szCs w:val="20"/>
                <w:lang w:eastAsia="en-MY"/>
              </w:rPr>
              <w:t>, H</w:t>
            </w:r>
            <w:r>
              <w:rPr>
                <w:rFonts w:eastAsia="Times New Roman"/>
                <w:sz w:val="20"/>
                <w:szCs w:val="20"/>
                <w:lang w:eastAsia="en-MY"/>
              </w:rPr>
              <w:t xml:space="preserve"> </w:t>
            </w:r>
            <w:r w:rsidRPr="00314AEF">
              <w:rPr>
                <w:rFonts w:eastAsia="Times New Roman"/>
                <w:sz w:val="20"/>
                <w:szCs w:val="20"/>
                <w:lang w:eastAsia="en-MY"/>
              </w:rPr>
              <w:t>Mustafa, N A</w:t>
            </w:r>
          </w:p>
        </w:tc>
        <w:tc>
          <w:tcPr>
            <w:tcW w:w="0" w:type="auto"/>
          </w:tcPr>
          <w:p w14:paraId="0758917B" w14:textId="77777777" w:rsidR="0054719C" w:rsidRPr="00314AEF" w:rsidRDefault="0054719C" w:rsidP="0054719C">
            <w:pPr>
              <w:rPr>
                <w:sz w:val="20"/>
                <w:szCs w:val="20"/>
              </w:rPr>
            </w:pPr>
            <w:proofErr w:type="spellStart"/>
            <w:r w:rsidRPr="00314AEF">
              <w:rPr>
                <w:sz w:val="20"/>
                <w:szCs w:val="20"/>
              </w:rPr>
              <w:t>Preak</w:t>
            </w:r>
            <w:proofErr w:type="spellEnd"/>
            <w:r w:rsidRPr="00314AEF">
              <w:rPr>
                <w:sz w:val="20"/>
                <w:szCs w:val="20"/>
              </w:rPr>
              <w:t>,</w:t>
            </w:r>
          </w:p>
          <w:p w14:paraId="6BD1BD66" w14:textId="77777777" w:rsidR="0054719C" w:rsidRPr="00314AEF" w:rsidRDefault="0054719C" w:rsidP="0054719C">
            <w:pPr>
              <w:rPr>
                <w:sz w:val="20"/>
                <w:szCs w:val="20"/>
              </w:rPr>
            </w:pPr>
            <w:r w:rsidRPr="00314AEF">
              <w:rPr>
                <w:sz w:val="20"/>
                <w:szCs w:val="20"/>
              </w:rPr>
              <w:t>Malaysia</w:t>
            </w:r>
          </w:p>
        </w:tc>
        <w:tc>
          <w:tcPr>
            <w:tcW w:w="9345" w:type="dxa"/>
          </w:tcPr>
          <w:p w14:paraId="685BE837" w14:textId="77777777" w:rsidR="0054719C" w:rsidRPr="00314AEF" w:rsidRDefault="0054719C" w:rsidP="0054719C">
            <w:pPr>
              <w:rPr>
                <w:sz w:val="20"/>
                <w:szCs w:val="20"/>
              </w:rPr>
            </w:pPr>
            <w:r w:rsidRPr="00314AEF">
              <w:rPr>
                <w:sz w:val="20"/>
                <w:szCs w:val="20"/>
                <w:shd w:val="clear" w:color="auto" w:fill="FFFFFF"/>
              </w:rPr>
              <w:t xml:space="preserve">Of 10,189 </w:t>
            </w:r>
            <w:proofErr w:type="spellStart"/>
            <w:r w:rsidRPr="00314AEF">
              <w:rPr>
                <w:sz w:val="20"/>
                <w:szCs w:val="20"/>
                <w:shd w:val="clear" w:color="auto" w:fill="FFFFFF"/>
              </w:rPr>
              <w:t>immunisable</w:t>
            </w:r>
            <w:proofErr w:type="spellEnd"/>
            <w:r w:rsidRPr="00314AEF">
              <w:rPr>
                <w:sz w:val="20"/>
                <w:szCs w:val="20"/>
                <w:shd w:val="clear" w:color="auto" w:fill="FFFFFF"/>
              </w:rPr>
              <w:t xml:space="preserve"> children, 95 missed primary immunisation. Contact was established with 52 and 44 completed telephone interviews. Of these, 8 (18.2%) refused immunisation, while 31 (70.5%) defaulted immunisation. The immunisation refusal and defaulter rates per 10,000 children immunised per year were 8 and 30, respectively. The main reason for refusing </w:t>
            </w:r>
            <w:proofErr w:type="spellStart"/>
            <w:r w:rsidRPr="00314AEF">
              <w:rPr>
                <w:sz w:val="20"/>
                <w:szCs w:val="20"/>
                <w:shd w:val="clear" w:color="auto" w:fill="FFFFFF"/>
              </w:rPr>
              <w:t>im</w:t>
            </w:r>
            <w:proofErr w:type="spellEnd"/>
            <w:r w:rsidRPr="00314AEF">
              <w:rPr>
                <w:sz w:val="20"/>
                <w:szCs w:val="20"/>
                <w:shd w:val="clear" w:color="auto" w:fill="FFFFFF"/>
              </w:rPr>
              <w:t xml:space="preserve">- </w:t>
            </w:r>
            <w:proofErr w:type="spellStart"/>
            <w:r w:rsidRPr="00314AEF">
              <w:rPr>
                <w:sz w:val="20"/>
                <w:szCs w:val="20"/>
                <w:shd w:val="clear" w:color="auto" w:fill="FFFFFF"/>
              </w:rPr>
              <w:t>munisation</w:t>
            </w:r>
            <w:proofErr w:type="spellEnd"/>
            <w:r w:rsidRPr="00314AEF">
              <w:rPr>
                <w:sz w:val="20"/>
                <w:szCs w:val="20"/>
                <w:shd w:val="clear" w:color="auto" w:fill="FFFFFF"/>
              </w:rPr>
              <w:t xml:space="preserve"> was a preference for alternative treatment 6 (75.0).</w:t>
            </w:r>
          </w:p>
        </w:tc>
      </w:tr>
      <w:tr w:rsidR="0054719C" w:rsidRPr="00314AEF" w14:paraId="1DCFF274" w14:textId="77777777" w:rsidTr="0054719C">
        <w:tc>
          <w:tcPr>
            <w:tcW w:w="562" w:type="dxa"/>
          </w:tcPr>
          <w:p w14:paraId="7845EF36" w14:textId="14A01B7F" w:rsidR="0054719C" w:rsidRPr="00314AEF" w:rsidRDefault="00854604" w:rsidP="0054719C">
            <w:pPr>
              <w:rPr>
                <w:sz w:val="20"/>
                <w:szCs w:val="20"/>
              </w:rPr>
            </w:pPr>
            <w:r>
              <w:rPr>
                <w:sz w:val="20"/>
                <w:szCs w:val="20"/>
              </w:rPr>
              <w:t>6</w:t>
            </w:r>
          </w:p>
        </w:tc>
        <w:tc>
          <w:tcPr>
            <w:tcW w:w="2552" w:type="dxa"/>
          </w:tcPr>
          <w:p w14:paraId="2DF6F59C" w14:textId="77777777" w:rsidR="0054719C" w:rsidRPr="00314AEF" w:rsidRDefault="0054719C" w:rsidP="0054719C">
            <w:pPr>
              <w:rPr>
                <w:rFonts w:eastAsia="Times New Roman"/>
                <w:kern w:val="36"/>
                <w:sz w:val="20"/>
                <w:szCs w:val="20"/>
                <w:lang w:eastAsia="en-MY"/>
              </w:rPr>
            </w:pPr>
            <w:r w:rsidRPr="00314AEF">
              <w:rPr>
                <w:rFonts w:eastAsia="Times New Roman"/>
                <w:kern w:val="36"/>
                <w:sz w:val="20"/>
                <w:szCs w:val="20"/>
                <w:lang w:eastAsia="en-MY"/>
              </w:rPr>
              <w:t>Refusal towards vaccination: A survey among Malay parents</w:t>
            </w:r>
          </w:p>
          <w:p w14:paraId="76393969" w14:textId="77777777" w:rsidR="0054719C" w:rsidRDefault="0054719C" w:rsidP="0054719C">
            <w:pPr>
              <w:rPr>
                <w:rFonts w:eastAsia="Times New Roman"/>
                <w:kern w:val="36"/>
                <w:sz w:val="20"/>
                <w:szCs w:val="20"/>
                <w:lang w:eastAsia="en-MY"/>
              </w:rPr>
            </w:pPr>
          </w:p>
          <w:p w14:paraId="0C5C65E3" w14:textId="77777777" w:rsidR="0054719C" w:rsidRPr="00314AEF" w:rsidRDefault="0054719C" w:rsidP="0054719C">
            <w:pPr>
              <w:rPr>
                <w:rFonts w:eastAsia="Times New Roman"/>
                <w:kern w:val="36"/>
                <w:sz w:val="20"/>
                <w:szCs w:val="20"/>
                <w:lang w:eastAsia="en-MY"/>
              </w:rPr>
            </w:pPr>
            <w:proofErr w:type="spellStart"/>
            <w:r w:rsidRPr="00314AEF">
              <w:rPr>
                <w:rFonts w:eastAsia="Times New Roman"/>
                <w:kern w:val="36"/>
                <w:sz w:val="20"/>
                <w:szCs w:val="20"/>
                <w:lang w:eastAsia="en-MY"/>
              </w:rPr>
              <w:t>Nurazzura</w:t>
            </w:r>
            <w:proofErr w:type="spellEnd"/>
            <w:r w:rsidRPr="00314AEF">
              <w:rPr>
                <w:rFonts w:eastAsia="Times New Roman"/>
                <w:kern w:val="36"/>
                <w:sz w:val="20"/>
                <w:szCs w:val="20"/>
                <w:lang w:eastAsia="en-MY"/>
              </w:rPr>
              <w:t xml:space="preserve"> et al.,2019</w:t>
            </w:r>
          </w:p>
          <w:p w14:paraId="4FBD68F1" w14:textId="77777777" w:rsidR="0054719C" w:rsidRPr="00314AEF" w:rsidRDefault="0054719C" w:rsidP="0054719C">
            <w:pPr>
              <w:rPr>
                <w:sz w:val="20"/>
                <w:szCs w:val="20"/>
              </w:rPr>
            </w:pPr>
            <w:r w:rsidRPr="00314AEF">
              <w:rPr>
                <w:sz w:val="20"/>
                <w:szCs w:val="20"/>
              </w:rPr>
              <w:t xml:space="preserve"> </w:t>
            </w:r>
          </w:p>
        </w:tc>
        <w:tc>
          <w:tcPr>
            <w:tcW w:w="0" w:type="auto"/>
          </w:tcPr>
          <w:p w14:paraId="306FB739" w14:textId="77777777" w:rsidR="0054719C" w:rsidRPr="00314AEF" w:rsidRDefault="0054719C" w:rsidP="0054719C">
            <w:pPr>
              <w:rPr>
                <w:sz w:val="20"/>
                <w:szCs w:val="20"/>
              </w:rPr>
            </w:pPr>
            <w:r w:rsidRPr="00314AEF">
              <w:rPr>
                <w:sz w:val="20"/>
                <w:szCs w:val="20"/>
              </w:rPr>
              <w:t>Kuantan</w:t>
            </w:r>
          </w:p>
          <w:p w14:paraId="48D4DF19" w14:textId="77777777" w:rsidR="0054719C" w:rsidRPr="00314AEF" w:rsidRDefault="0054719C" w:rsidP="0054719C">
            <w:pPr>
              <w:rPr>
                <w:sz w:val="20"/>
                <w:szCs w:val="20"/>
              </w:rPr>
            </w:pPr>
            <w:r w:rsidRPr="00314AEF">
              <w:rPr>
                <w:sz w:val="20"/>
                <w:szCs w:val="20"/>
              </w:rPr>
              <w:t>Malaysia</w:t>
            </w:r>
          </w:p>
        </w:tc>
        <w:tc>
          <w:tcPr>
            <w:tcW w:w="9345" w:type="dxa"/>
          </w:tcPr>
          <w:p w14:paraId="297F904F" w14:textId="546B07FA" w:rsidR="0054719C" w:rsidRPr="00314AEF" w:rsidRDefault="0054719C" w:rsidP="0054719C">
            <w:pPr>
              <w:rPr>
                <w:rFonts w:eastAsia="StoneInformalStd-Medium"/>
                <w:sz w:val="20"/>
                <w:szCs w:val="20"/>
              </w:rPr>
            </w:pPr>
            <w:r w:rsidRPr="00314AEF">
              <w:rPr>
                <w:sz w:val="20"/>
                <w:szCs w:val="20"/>
                <w:shd w:val="clear" w:color="auto" w:fill="FFFFFF"/>
              </w:rPr>
              <w:t>The results indicate that 58% of parents refused to vaccinate their children. Although parents are aware of the importance of vaccines, they refused to adopt them due to the perception that vaccination is unhygienic in nature and is considered unhealthy for their children. They also believed that other preventive methods are better than vaccination. The findings also illustrate significant positive correlation between parents’ educational level and their attitude towards vaccine refusa</w:t>
            </w:r>
            <w:r w:rsidR="00854604">
              <w:rPr>
                <w:sz w:val="20"/>
                <w:szCs w:val="20"/>
                <w:shd w:val="clear" w:color="auto" w:fill="FFFFFF"/>
              </w:rPr>
              <w:t>l</w:t>
            </w:r>
          </w:p>
        </w:tc>
      </w:tr>
      <w:tr w:rsidR="0054719C" w:rsidRPr="00314AEF" w14:paraId="3013A92B" w14:textId="77777777" w:rsidTr="0054719C">
        <w:trPr>
          <w:trHeight w:val="1986"/>
        </w:trPr>
        <w:tc>
          <w:tcPr>
            <w:tcW w:w="562" w:type="dxa"/>
          </w:tcPr>
          <w:p w14:paraId="4D95181E" w14:textId="34B2CA7C" w:rsidR="0054719C" w:rsidRPr="00314AEF" w:rsidRDefault="00854604" w:rsidP="0054719C">
            <w:pPr>
              <w:rPr>
                <w:sz w:val="20"/>
                <w:szCs w:val="20"/>
              </w:rPr>
            </w:pPr>
            <w:r>
              <w:rPr>
                <w:sz w:val="20"/>
                <w:szCs w:val="20"/>
              </w:rPr>
              <w:t>7</w:t>
            </w:r>
          </w:p>
        </w:tc>
        <w:tc>
          <w:tcPr>
            <w:tcW w:w="2552" w:type="dxa"/>
          </w:tcPr>
          <w:p w14:paraId="6BCB17C7" w14:textId="77777777" w:rsidR="0054719C" w:rsidRPr="00314AEF" w:rsidRDefault="0054719C" w:rsidP="0054719C">
            <w:pPr>
              <w:rPr>
                <w:sz w:val="20"/>
                <w:szCs w:val="20"/>
              </w:rPr>
            </w:pPr>
            <w:r w:rsidRPr="00314AEF">
              <w:rPr>
                <w:sz w:val="20"/>
                <w:szCs w:val="20"/>
              </w:rPr>
              <w:t>Trends in Vaccination Refusal in Children Under 2 Years of Age in Kedah, Malaysia: A 4-Year Review From 2013 to 2016</w:t>
            </w:r>
          </w:p>
          <w:p w14:paraId="695C282C" w14:textId="77777777" w:rsidR="0054719C" w:rsidRDefault="0054719C" w:rsidP="0054719C">
            <w:pPr>
              <w:rPr>
                <w:sz w:val="20"/>
                <w:szCs w:val="20"/>
              </w:rPr>
            </w:pPr>
          </w:p>
          <w:p w14:paraId="0F7E1BFE" w14:textId="77777777" w:rsidR="0054719C" w:rsidRPr="00314AEF" w:rsidRDefault="0054719C" w:rsidP="0054719C">
            <w:pPr>
              <w:rPr>
                <w:sz w:val="20"/>
                <w:szCs w:val="20"/>
              </w:rPr>
            </w:pPr>
            <w:proofErr w:type="spellStart"/>
            <w:r w:rsidRPr="00314AEF">
              <w:rPr>
                <w:sz w:val="20"/>
                <w:szCs w:val="20"/>
              </w:rPr>
              <w:t>Huah</w:t>
            </w:r>
            <w:proofErr w:type="spellEnd"/>
            <w:r w:rsidRPr="00314AEF">
              <w:rPr>
                <w:sz w:val="20"/>
                <w:szCs w:val="20"/>
              </w:rPr>
              <w:t xml:space="preserve"> et al., 2016</w:t>
            </w:r>
          </w:p>
        </w:tc>
        <w:tc>
          <w:tcPr>
            <w:tcW w:w="0" w:type="auto"/>
          </w:tcPr>
          <w:p w14:paraId="7404AA59" w14:textId="77777777" w:rsidR="0054719C" w:rsidRPr="00314AEF" w:rsidRDefault="0054719C" w:rsidP="0054719C">
            <w:pPr>
              <w:rPr>
                <w:sz w:val="20"/>
                <w:szCs w:val="20"/>
              </w:rPr>
            </w:pPr>
            <w:r w:rsidRPr="00314AEF">
              <w:rPr>
                <w:sz w:val="20"/>
                <w:szCs w:val="20"/>
              </w:rPr>
              <w:t>Kedah</w:t>
            </w:r>
          </w:p>
          <w:p w14:paraId="720818AE" w14:textId="77777777" w:rsidR="0054719C" w:rsidRPr="00314AEF" w:rsidRDefault="0054719C" w:rsidP="0054719C">
            <w:pPr>
              <w:rPr>
                <w:sz w:val="20"/>
                <w:szCs w:val="20"/>
              </w:rPr>
            </w:pPr>
            <w:r w:rsidRPr="00314AEF">
              <w:rPr>
                <w:sz w:val="20"/>
                <w:szCs w:val="20"/>
              </w:rPr>
              <w:t>Malaysia</w:t>
            </w:r>
          </w:p>
        </w:tc>
        <w:tc>
          <w:tcPr>
            <w:tcW w:w="9345" w:type="dxa"/>
          </w:tcPr>
          <w:p w14:paraId="3BA7D142" w14:textId="77777777" w:rsidR="0054719C" w:rsidRPr="00314AEF" w:rsidRDefault="0054719C" w:rsidP="0054719C">
            <w:pPr>
              <w:rPr>
                <w:sz w:val="20"/>
                <w:szCs w:val="20"/>
              </w:rPr>
            </w:pPr>
            <w:r w:rsidRPr="00314AEF">
              <w:rPr>
                <w:sz w:val="20"/>
                <w:szCs w:val="20"/>
              </w:rPr>
              <w:t xml:space="preserve">Data contributed by 60 public health </w:t>
            </w:r>
            <w:proofErr w:type="spellStart"/>
            <w:r w:rsidRPr="00314AEF">
              <w:rPr>
                <w:sz w:val="20"/>
                <w:szCs w:val="20"/>
              </w:rPr>
              <w:t>centers</w:t>
            </w:r>
            <w:proofErr w:type="spellEnd"/>
            <w:r w:rsidRPr="00314AEF">
              <w:rPr>
                <w:sz w:val="20"/>
                <w:szCs w:val="20"/>
              </w:rPr>
              <w:t xml:space="preserve"> were used to determine the annual incidence rates (per 1000 </w:t>
            </w:r>
            <w:proofErr w:type="spellStart"/>
            <w:r w:rsidRPr="00314AEF">
              <w:rPr>
                <w:sz w:val="20"/>
                <w:szCs w:val="20"/>
              </w:rPr>
              <w:t>newborns</w:t>
            </w:r>
            <w:proofErr w:type="spellEnd"/>
            <w:r w:rsidRPr="00314AEF">
              <w:rPr>
                <w:sz w:val="20"/>
                <w:szCs w:val="20"/>
              </w:rPr>
              <w:t>) of vaccination refusal, and to identify the reasons for refusal among the mothers. The trend analysis revealed a 2.2-times increment in the incidence rates of vaccination refusal from 4.72 in 2013 to 10.51 in 2015, followed by a 52.2% reduction to 5.02 in 2016 (P = .046). Besides, the proportion of mothers who refused vaccination because of religious belief reduced from 78% between 2013 and 2015 to 67.1% in 2016 (P = .005). Overall, the finding confirms the positive impact of the educational and religious interventions introduced by the State Health Department of Kedah since January 2016; nonetheless, efforts to strengthen the existing strategies and thereby to maximize the vaccination coverage in Kedah are warranted.</w:t>
            </w:r>
          </w:p>
        </w:tc>
      </w:tr>
    </w:tbl>
    <w:p w14:paraId="20DB1C4B" w14:textId="77777777" w:rsidR="001756D0" w:rsidRDefault="001756D0" w:rsidP="001756D0">
      <w:pPr>
        <w:spacing w:line="360" w:lineRule="auto"/>
        <w:jc w:val="both"/>
        <w:sectPr w:rsidR="001756D0" w:rsidSect="000F5D9D">
          <w:pgSz w:w="16838" w:h="11906" w:orient="landscape"/>
          <w:pgMar w:top="1440" w:right="1440" w:bottom="1440" w:left="1440" w:header="708" w:footer="708" w:gutter="0"/>
          <w:cols w:space="708"/>
          <w:docGrid w:linePitch="360"/>
        </w:sectPr>
      </w:pPr>
    </w:p>
    <w:p w14:paraId="1C632716" w14:textId="77777777" w:rsidR="000F5D9D" w:rsidRPr="000F5D9D" w:rsidRDefault="000F5D9D" w:rsidP="00E22C20">
      <w:pPr>
        <w:keepNext/>
        <w:keepLines/>
        <w:spacing w:before="40" w:after="0" w:line="360" w:lineRule="auto"/>
        <w:ind w:left="851"/>
        <w:jc w:val="both"/>
        <w:outlineLvl w:val="1"/>
        <w:rPr>
          <w:rFonts w:eastAsiaTheme="majorEastAsia"/>
          <w:b/>
          <w:bCs/>
          <w:szCs w:val="24"/>
        </w:rPr>
      </w:pPr>
      <w:bookmarkStart w:id="16" w:name="_Toc31400956"/>
      <w:r w:rsidRPr="000F5D9D">
        <w:rPr>
          <w:rFonts w:eastAsiaTheme="majorEastAsia"/>
          <w:b/>
          <w:bCs/>
          <w:szCs w:val="24"/>
        </w:rPr>
        <w:lastRenderedPageBreak/>
        <w:t>2.6 Vaccine uptake and Autism Spectrum Disorder (ASD)</w:t>
      </w:r>
      <w:bookmarkEnd w:id="16"/>
    </w:p>
    <w:p w14:paraId="22DF3C14" w14:textId="77777777" w:rsidR="000F5D9D" w:rsidRPr="000F5D9D" w:rsidRDefault="000F5D9D" w:rsidP="00E22C20">
      <w:pPr>
        <w:spacing w:line="360" w:lineRule="auto"/>
        <w:ind w:left="851" w:firstLine="720"/>
        <w:jc w:val="both"/>
        <w:rPr>
          <w:szCs w:val="24"/>
        </w:rPr>
      </w:pPr>
    </w:p>
    <w:p w14:paraId="691090DF" w14:textId="4910B1C4" w:rsidR="000F5D9D" w:rsidRPr="000F5D9D" w:rsidRDefault="000F5D9D" w:rsidP="00E22C20">
      <w:pPr>
        <w:spacing w:line="360" w:lineRule="auto"/>
        <w:ind w:left="851" w:firstLine="720"/>
        <w:jc w:val="both"/>
        <w:rPr>
          <w:szCs w:val="24"/>
        </w:rPr>
      </w:pPr>
      <w:r w:rsidRPr="000F5D9D">
        <w:rPr>
          <w:szCs w:val="24"/>
        </w:rPr>
        <w:t xml:space="preserve">Prevalence rate of VH among the subpopulation of children with ASD have not been fully investigated. According to a study conducted in USA, researchers found that vaccine uptake was high, but following an ASD diagnosis, children including siblings of those with ASD were less likely to be vaccinated. A survey conducted among 98 parents of children with ASD and 65 parents of children without ASD in Canada found that a lower proportion of children with ASD received their measles, mumps, and rubella (MMR) or diphtheria and tetanus toxoids and acellular pertussis and inactivated poliovirus (DTaP-IPV) vaccines compared with children without ASD </w:t>
      </w:r>
      <w:r w:rsidRPr="000F5D9D">
        <w:rPr>
          <w:szCs w:val="24"/>
        </w:rPr>
        <w:fldChar w:fldCharType="begin" w:fldLock="1"/>
      </w:r>
      <w:r w:rsidRPr="000F5D9D">
        <w:rPr>
          <w:szCs w:val="24"/>
        </w:rPr>
        <w:instrText>ADDIN CSL_CITATION {"citationItems":[{"id":"ITEM-1","itemData":{"DOI":"10.1177/1362361312459111","ISSN":"13623613","abstract":"Background: Parental concerns persist that immunization increases the risk of autism spectrum disorder, resulting in the potential for reduced uptake by parents of younger siblings of children with autism spectrum disorder (\"younger sibs\"). Objective: To compare immunization uptake by parents for their younger child relative to their older child with autism spectrum disorder (\"proband\") and controls. Design: Immunization status was obtained for 98 \"younger sibs,\" 98 \"probands,\" and 65 controls. Results: A significant group difference emerged for overall immunization status (Fisher's exact test = 62.70, p.001). One or more immunizations in 59/98 younger sibs were delayed (47/98; 48%) or declined (12/98; 12.2%); immunizations were delayed in 16/98 probands (16.3%) and declined in only one. All controls were fully immunized, with only 6 (9.2%) delayed. Within the \"younger sibs\" group, 25/98 received an autism spectrum disorder diagnosis; 7 of whom (28%) were fully immunized. The rates of autism spectrum disorder diagnosis did not differ between immunized and nonimmunized younger sib groups, although small sample size limits interpretability of this result. Conclusion: Parents who already have one child with autism spectrum disorder may delay or decline immunization for their younger children, potentially placing them at increased risk of preventable infectious diseases.©The Author(s) 2012.","author":[{"dropping-particle":"","family":"Kuwaik","given":"Ghassan Abu","non-dropping-particle":"","parse-names":false,"suffix":""},{"dropping-particle":"","family":"Roberts","given":"Wendy","non-dropping-particle":"","parse-names":false,"suffix":""},{"dropping-particle":"","family":"Zwaigenbaum","given":"Lonnie","non-dropping-particle":"","parse-names":false,"suffix":""},{"dropping-particle":"","family":"Bryson","given":"Susan","non-dropping-particle":"","parse-names":false,"suffix":""},{"dropping-particle":"","family":"Smith","given":"Isabel M.","non-dropping-particle":"","parse-names":false,"suffix":""},{"dropping-particle":"","family":"Szatmari","given":"Peter","non-dropping-particle":"","parse-names":false,"suffix":""},{"dropping-particle":"","family":"Modi","given":"Bonnie M.","non-dropping-particle":"","parse-names":false,"suffix":""},{"dropping-particle":"","family":"Tanel","given":"Nadia","non-dropping-particle":"","parse-names":false,"suffix":""},{"dropping-particle":"","family":"Brian","given":"Jessica","non-dropping-particle":"","parse-names":false,"suffix":""}],"container-title":"Autism","id":"ITEM-1","issued":{"date-parts":[["2014"]]},"title":"Immunization uptake in younger siblings of children with autism spectrum disorder","type":"article-journal"},"uris":["http://www.mendeley.com/documents/?uuid=d5f0aa88-3421-4feb-8af9-2fbdad57611f"]}],"mendeley":{"formattedCitation":"(Kuwaik et al., 2014)","plainTextFormattedCitation":"(Kuwaik et al., 2014)","previouslyFormattedCitation":"(Kuwaik et al., 2014)"},"properties":{"noteIndex":0},"schema":"https://github.com/citation-style-language/schema/raw/master/csl-citation.json"}</w:instrText>
      </w:r>
      <w:r w:rsidRPr="000F5D9D">
        <w:rPr>
          <w:szCs w:val="24"/>
        </w:rPr>
        <w:fldChar w:fldCharType="separate"/>
      </w:r>
      <w:r w:rsidRPr="000F5D9D">
        <w:rPr>
          <w:noProof/>
          <w:szCs w:val="24"/>
        </w:rPr>
        <w:t>(Kuwaik et al., 2014)</w:t>
      </w:r>
      <w:r w:rsidRPr="000F5D9D">
        <w:rPr>
          <w:szCs w:val="24"/>
        </w:rPr>
        <w:fldChar w:fldCharType="end"/>
      </w:r>
      <w:r w:rsidRPr="000F5D9D">
        <w:rPr>
          <w:szCs w:val="24"/>
        </w:rPr>
        <w:t>. Another study reported no significant difference between rates of vaccination of 71 children with ASD and those of 135 children without ASD but, they found that families with children with ASD were less likely to vaccinate subsequent children</w:t>
      </w:r>
      <w:r w:rsidR="00854604">
        <w:rPr>
          <w:szCs w:val="24"/>
        </w:rPr>
        <w:t xml:space="preserve"> </w:t>
      </w:r>
      <w:r w:rsidRPr="000F5D9D">
        <w:rPr>
          <w:szCs w:val="24"/>
        </w:rPr>
        <w:fldChar w:fldCharType="begin" w:fldLock="1"/>
      </w:r>
      <w:r w:rsidRPr="000F5D9D">
        <w:rPr>
          <w:szCs w:val="24"/>
        </w:rPr>
        <w:instrText>ADDIN CSL_CITATION {"citationItems":[{"id":"ITEM-1","itemData":{"DOI":"10.1056/NEJMc1708223","ISSN":"15334406","author":[{"dropping-particle":"","family":"Glickman","given":"Gena","non-dropping-particle":"","parse-names":false,"suffix":""},{"dropping-particle":"","family":"Harrison","given":"Elizabeth","non-dropping-particle":"","parse-names":false,"suffix":""},{"dropping-particle":"","family":"Dobkins","given":"Karen","non-dropping-particle":"","parse-names":false,"suffix":""}],"container-title":"New England Journal of Medicine","id":"ITEM-1","issued":{"date-parts":[["2017"]]},"title":"Vaccination rates among younger siblings of children with autism","type":"article"},"uris":["http://www.mendeley.com/documents/?uuid=e010e8fb-4088-4bec-90da-4de3f141fe52"]}],"mendeley":{"formattedCitation":"(Glickman, Harrison, &amp; Dobkins, 2017)","plainTextFormattedCitation":"(Glickman, Harrison, &amp; Dobkins, 2017)","previouslyFormattedCitation":"(Glickman, Harrison, &amp; Dobkins, 2017)"},"properties":{"noteIndex":0},"schema":"https://github.com/citation-style-language/schema/raw/master/csl-citation.json"}</w:instrText>
      </w:r>
      <w:r w:rsidRPr="000F5D9D">
        <w:rPr>
          <w:szCs w:val="24"/>
        </w:rPr>
        <w:fldChar w:fldCharType="separate"/>
      </w:r>
      <w:r w:rsidRPr="000F5D9D">
        <w:rPr>
          <w:noProof/>
          <w:szCs w:val="24"/>
        </w:rPr>
        <w:t>(Glickman, Harrison, &amp; Dobkins, 2017)</w:t>
      </w:r>
      <w:r w:rsidRPr="000F5D9D">
        <w:rPr>
          <w:szCs w:val="24"/>
        </w:rPr>
        <w:fldChar w:fldCharType="end"/>
      </w:r>
      <w:r w:rsidRPr="000F5D9D">
        <w:rPr>
          <w:szCs w:val="24"/>
        </w:rPr>
        <w:t xml:space="preserve">. In a survey of 197 parents, the researchers found that half of the parents of children with ASD changed vaccination practices for their younger children because of beliefs that vaccines contributed to their child’s ASD </w:t>
      </w:r>
      <w:r w:rsidRPr="000F5D9D">
        <w:rPr>
          <w:szCs w:val="24"/>
        </w:rPr>
        <w:fldChar w:fldCharType="begin" w:fldLock="1"/>
      </w:r>
      <w:r w:rsidRPr="000F5D9D">
        <w:rPr>
          <w:szCs w:val="24"/>
        </w:rPr>
        <w:instrText>ADDIN CSL_CITATION {"citationItems":[{"id":"ITEM-1","itemData":{"DOI":"10.1352/1944-7558-117.3.233","ISSN":"19447515","abstract":"Although the assertion of a link between vaccines and autism has been scientifically rejected, the theory continues to be popular and may influence the attitudes of parents of children with autism spectrum disorders. The authors sought to assess how often parents change or discontinue their child's vaccine schedule after autism spectrum disorder diagnosis and whether beliefs about the etiology of autism affect their decision to do so. The authors surveyed 197 (43%) of 460 eligible parents of children under 18 years of age with autism spectrum disorders who were enrolled in a state-funded agency that provides services to those with developmental disabilities in western Los Angeles County. Half of the parents discontinued or changed vaccination practices, and this was associated with a belief that vaccines contributed to autism spectrum disorders, indicating a potential subset of undervaccinated children. Educational tools should be designed to assist physicians when talking to parents of children with autism spectrum disorders about vaccination. Copyright © 2012 American Association on Allen Press, Inc.","author":[{"dropping-particle":"","family":"Bazzano","given":"Alicia","non-dropping-particle":"","parse-names":false,"suffix":""},{"dropping-particle":"","family":"Zeldin","given":"Ari","non-dropping-particle":"","parse-names":false,"suffix":""},{"dropping-particle":"","family":"Schuster","given":"Erica","non-dropping-particle":"","parse-names":false,"suffix":""},{"dropping-particle":"","family":"Barrett","given":"Christopher","non-dropping-particle":"","parse-names":false,"suffix":""},{"dropping-particle":"","family":"Lehrer","given":"Danise","non-dropping-particle":"","parse-names":false,"suffix":""}],"container-title":"American Journal on Intellectual and Developmental Disabilities","id":"ITEM-1","issued":{"date-parts":[["2012"]]},"title":"Vaccine-related beliefs and practices of parents of children with autism spectrum disorders","type":"article-journal"},"uris":["http://www.mendeley.com/documents/?uuid=27d4cf9e-9e94-4844-bb80-e2a1f1965086"]}],"mendeley":{"formattedCitation":"(Bazzano, Zeldin, Schuster, Barrett, &amp; Lehrer, 2012)","plainTextFormattedCitation":"(Bazzano, Zeldin, Schuster, Barrett, &amp; Lehrer, 2012)","previouslyFormattedCitation":"(Bazzano, Zeldin, Schuster, Barrett, &amp; Lehrer, 2012)"},"properties":{"noteIndex":0},"schema":"https://github.com/citation-style-language/schema/raw/master/csl-citation.json"}</w:instrText>
      </w:r>
      <w:r w:rsidRPr="000F5D9D">
        <w:rPr>
          <w:szCs w:val="24"/>
        </w:rPr>
        <w:fldChar w:fldCharType="separate"/>
      </w:r>
      <w:r w:rsidRPr="000F5D9D">
        <w:rPr>
          <w:noProof/>
          <w:szCs w:val="24"/>
        </w:rPr>
        <w:t>(Bazzano, Zeldin, Schuster, Barrett, &amp; Lehrer, 2012)</w:t>
      </w:r>
      <w:r w:rsidRPr="000F5D9D">
        <w:rPr>
          <w:szCs w:val="24"/>
        </w:rPr>
        <w:fldChar w:fldCharType="end"/>
      </w:r>
      <w:r w:rsidRPr="000F5D9D">
        <w:rPr>
          <w:szCs w:val="24"/>
        </w:rPr>
        <w:t>. After surveying 486 parents of children with ASD, Rosenberg and colleagues found that almost 20% of parents declined or delayed MMR immunization in the younger siblings of children with ASD</w:t>
      </w:r>
      <w:r w:rsidR="00854604">
        <w:rPr>
          <w:szCs w:val="24"/>
        </w:rPr>
        <w:t xml:space="preserve"> </w:t>
      </w:r>
      <w:r w:rsidRPr="000F5D9D">
        <w:rPr>
          <w:szCs w:val="24"/>
        </w:rPr>
        <w:fldChar w:fldCharType="begin" w:fldLock="1"/>
      </w:r>
      <w:r w:rsidRPr="000F5D9D">
        <w:rPr>
          <w:szCs w:val="24"/>
        </w:rPr>
        <w:instrText>ADDIN CSL_CITATION {"citationItems":[{"id":"ITEM-1","itemData":{"DOI":"10.1177/0009922812438435","ISSN":"00099228","author":[{"dropping-particle":"","family":"Rosenberg","given":"Rebecca E.","non-dropping-particle":"","parse-names":false,"suffix":""},{"dropping-particle":"","family":"Law","given":"J. Kiely","non-dropping-particle":"","parse-names":false,"suffix":""},{"dropping-particle":"","family":"Anderson","given":"Connie","non-dropping-particle":"","parse-names":false,"suffix":""},{"dropping-particle":"","family":"Samango-Sprouse","given":"Carole","non-dropping-particle":"","parse-names":false,"suffix":""},{"dropping-particle":"","family":"Law","given":"Paul A.","non-dropping-particle":"","parse-names":false,"suffix":""}],"container-title":"Clinical Pediatrics","id":"ITEM-1","issued":{"date-parts":[["2013"]]},"title":"Survey of vaccine beliefs and practices among families affected by autism spectrum disorders","type":"article"},"uris":["http://www.mendeley.com/documents/?uuid=45009cc3-3c8a-46f3-8ee8-8c099a08a8ce"]}],"mendeley":{"formattedCitation":"(Rosenberg, Law, Anderson, Samango-Sprouse, &amp; Law, 2013)","plainTextFormattedCitation":"(Rosenberg, Law, Anderson, Samango-Sprouse, &amp; Law, 2013)","previouslyFormattedCitation":"(Rosenberg, Law, Anderson, Samango-Sprouse, &amp; Law, 2013)"},"properties":{"noteIndex":0},"schema":"https://github.com/citation-style-language/schema/raw/master/csl-citation.json"}</w:instrText>
      </w:r>
      <w:r w:rsidRPr="000F5D9D">
        <w:rPr>
          <w:szCs w:val="24"/>
        </w:rPr>
        <w:fldChar w:fldCharType="separate"/>
      </w:r>
      <w:r w:rsidRPr="000F5D9D">
        <w:rPr>
          <w:noProof/>
          <w:szCs w:val="24"/>
        </w:rPr>
        <w:t>(Rosenberg, Law, Anderson, Samango-Sprouse, &amp; Law, 2013)</w:t>
      </w:r>
      <w:r w:rsidRPr="000F5D9D">
        <w:rPr>
          <w:szCs w:val="24"/>
        </w:rPr>
        <w:fldChar w:fldCharType="end"/>
      </w:r>
      <w:r w:rsidRPr="000F5D9D">
        <w:rPr>
          <w:szCs w:val="24"/>
        </w:rPr>
        <w:t xml:space="preserve">. </w:t>
      </w:r>
    </w:p>
    <w:p w14:paraId="3B92B166" w14:textId="77777777" w:rsidR="000F5D9D" w:rsidRPr="000F5D9D" w:rsidRDefault="000F5D9D" w:rsidP="00E22C20">
      <w:pPr>
        <w:spacing w:line="360" w:lineRule="auto"/>
        <w:ind w:left="851"/>
        <w:jc w:val="both"/>
        <w:rPr>
          <w:szCs w:val="24"/>
        </w:rPr>
      </w:pPr>
    </w:p>
    <w:p w14:paraId="05AC6F99" w14:textId="77777777" w:rsidR="000F5D9D" w:rsidRPr="000F5D9D" w:rsidRDefault="000F5D9D" w:rsidP="00E22C20">
      <w:pPr>
        <w:spacing w:line="360" w:lineRule="auto"/>
        <w:ind w:left="851"/>
        <w:jc w:val="both"/>
        <w:rPr>
          <w:szCs w:val="24"/>
        </w:rPr>
      </w:pPr>
    </w:p>
    <w:p w14:paraId="4341F661" w14:textId="77777777" w:rsidR="000F5D9D" w:rsidRPr="000F5D9D" w:rsidRDefault="000F5D9D" w:rsidP="00E22C20">
      <w:pPr>
        <w:spacing w:line="360" w:lineRule="auto"/>
        <w:ind w:left="851"/>
        <w:jc w:val="both"/>
        <w:rPr>
          <w:szCs w:val="24"/>
        </w:rPr>
      </w:pPr>
    </w:p>
    <w:p w14:paraId="142B1397" w14:textId="539B412D" w:rsidR="000F5D9D" w:rsidRDefault="000F5D9D" w:rsidP="00E22C20">
      <w:pPr>
        <w:spacing w:line="360" w:lineRule="auto"/>
        <w:ind w:left="851"/>
        <w:jc w:val="both"/>
      </w:pPr>
    </w:p>
    <w:p w14:paraId="439E30C4" w14:textId="26C1957D" w:rsidR="000F5D9D" w:rsidRDefault="000F5D9D" w:rsidP="00E22C20">
      <w:pPr>
        <w:spacing w:line="360" w:lineRule="auto"/>
        <w:ind w:left="851"/>
        <w:jc w:val="both"/>
      </w:pPr>
    </w:p>
    <w:p w14:paraId="6B909E6B" w14:textId="261A700D" w:rsidR="000F5D9D" w:rsidRDefault="000F5D9D" w:rsidP="00E22C20">
      <w:pPr>
        <w:spacing w:line="360" w:lineRule="auto"/>
        <w:ind w:left="851"/>
        <w:jc w:val="both"/>
      </w:pPr>
    </w:p>
    <w:p w14:paraId="585CCB6C" w14:textId="7AF4DD33" w:rsidR="000F5D9D" w:rsidRDefault="000F5D9D" w:rsidP="00E22C20">
      <w:pPr>
        <w:spacing w:line="360" w:lineRule="auto"/>
        <w:ind w:left="851"/>
        <w:jc w:val="both"/>
      </w:pPr>
    </w:p>
    <w:p w14:paraId="1ED6EE1B" w14:textId="36794FF6" w:rsidR="000F5D9D" w:rsidRDefault="000F5D9D" w:rsidP="00E22C20">
      <w:pPr>
        <w:spacing w:line="360" w:lineRule="auto"/>
        <w:ind w:left="851"/>
        <w:jc w:val="both"/>
      </w:pPr>
    </w:p>
    <w:p w14:paraId="5138AC62" w14:textId="77777777" w:rsidR="000F5D9D" w:rsidRDefault="000F5D9D" w:rsidP="00366E94">
      <w:pPr>
        <w:spacing w:line="360" w:lineRule="auto"/>
        <w:jc w:val="both"/>
        <w:sectPr w:rsidR="000F5D9D" w:rsidSect="000F5D9D">
          <w:pgSz w:w="11906" w:h="16838"/>
          <w:pgMar w:top="1440" w:right="1440" w:bottom="1440" w:left="1440" w:header="708" w:footer="708" w:gutter="0"/>
          <w:cols w:space="708"/>
          <w:docGrid w:linePitch="360"/>
        </w:sectPr>
      </w:pPr>
    </w:p>
    <w:tbl>
      <w:tblPr>
        <w:tblStyle w:val="TableGrid22"/>
        <w:tblpPr w:leftFromText="180" w:rightFromText="180" w:vertAnchor="page" w:horzAnchor="margin" w:tblpY="1091"/>
        <w:tblW w:w="13745" w:type="dxa"/>
        <w:tblLook w:val="04A0" w:firstRow="1" w:lastRow="0" w:firstColumn="1" w:lastColumn="0" w:noHBand="0" w:noVBand="1"/>
      </w:tblPr>
      <w:tblGrid>
        <w:gridCol w:w="696"/>
        <w:gridCol w:w="2203"/>
        <w:gridCol w:w="1190"/>
        <w:gridCol w:w="9656"/>
      </w:tblGrid>
      <w:tr w:rsidR="00366E94" w:rsidRPr="00854604" w14:paraId="02BCCF37" w14:textId="77777777" w:rsidTr="00366E94">
        <w:tc>
          <w:tcPr>
            <w:tcW w:w="696" w:type="dxa"/>
          </w:tcPr>
          <w:p w14:paraId="488C0C5D" w14:textId="77777777" w:rsidR="00366E94" w:rsidRPr="00854604" w:rsidRDefault="00366E94" w:rsidP="00366E94">
            <w:pPr>
              <w:pStyle w:val="NoSpacing"/>
              <w:rPr>
                <w:sz w:val="20"/>
                <w:szCs w:val="20"/>
              </w:rPr>
            </w:pPr>
            <w:r w:rsidRPr="00854604">
              <w:rPr>
                <w:sz w:val="20"/>
                <w:szCs w:val="20"/>
              </w:rPr>
              <w:lastRenderedPageBreak/>
              <w:t>No</w:t>
            </w:r>
          </w:p>
        </w:tc>
        <w:tc>
          <w:tcPr>
            <w:tcW w:w="2203" w:type="dxa"/>
          </w:tcPr>
          <w:p w14:paraId="3FC3227A" w14:textId="77777777" w:rsidR="00366E94" w:rsidRPr="00854604" w:rsidRDefault="00366E94" w:rsidP="00366E94">
            <w:pPr>
              <w:pStyle w:val="NoSpacing"/>
              <w:rPr>
                <w:sz w:val="20"/>
                <w:szCs w:val="20"/>
              </w:rPr>
            </w:pPr>
            <w:r w:rsidRPr="00854604">
              <w:rPr>
                <w:sz w:val="20"/>
                <w:szCs w:val="20"/>
              </w:rPr>
              <w:t>Year / Authors</w:t>
            </w:r>
          </w:p>
        </w:tc>
        <w:tc>
          <w:tcPr>
            <w:tcW w:w="0" w:type="auto"/>
          </w:tcPr>
          <w:p w14:paraId="3C0E823B" w14:textId="77777777" w:rsidR="00366E94" w:rsidRPr="00854604" w:rsidRDefault="00366E94" w:rsidP="00366E94">
            <w:pPr>
              <w:pStyle w:val="NoSpacing"/>
              <w:rPr>
                <w:sz w:val="20"/>
                <w:szCs w:val="20"/>
              </w:rPr>
            </w:pPr>
            <w:r w:rsidRPr="00854604">
              <w:rPr>
                <w:sz w:val="20"/>
                <w:szCs w:val="20"/>
              </w:rPr>
              <w:t>Country</w:t>
            </w:r>
          </w:p>
        </w:tc>
        <w:tc>
          <w:tcPr>
            <w:tcW w:w="9656" w:type="dxa"/>
          </w:tcPr>
          <w:p w14:paraId="13A6D818" w14:textId="77777777" w:rsidR="00366E94" w:rsidRPr="00854604" w:rsidRDefault="00366E94" w:rsidP="00366E94">
            <w:pPr>
              <w:pStyle w:val="NoSpacing"/>
              <w:rPr>
                <w:sz w:val="20"/>
                <w:szCs w:val="20"/>
              </w:rPr>
            </w:pPr>
            <w:r w:rsidRPr="00854604">
              <w:rPr>
                <w:sz w:val="20"/>
                <w:szCs w:val="20"/>
              </w:rPr>
              <w:t>Results</w:t>
            </w:r>
          </w:p>
        </w:tc>
      </w:tr>
      <w:tr w:rsidR="00366E94" w:rsidRPr="00854604" w14:paraId="7FA8886D" w14:textId="77777777" w:rsidTr="00366E94">
        <w:trPr>
          <w:trHeight w:val="940"/>
        </w:trPr>
        <w:tc>
          <w:tcPr>
            <w:tcW w:w="696" w:type="dxa"/>
          </w:tcPr>
          <w:p w14:paraId="206610D4" w14:textId="77777777" w:rsidR="00366E94" w:rsidRPr="00854604" w:rsidRDefault="00366E94" w:rsidP="00366E94">
            <w:pPr>
              <w:pStyle w:val="NoSpacing"/>
              <w:rPr>
                <w:sz w:val="20"/>
                <w:szCs w:val="20"/>
              </w:rPr>
            </w:pPr>
            <w:r w:rsidRPr="00854604">
              <w:rPr>
                <w:sz w:val="20"/>
                <w:szCs w:val="20"/>
              </w:rPr>
              <w:t>1</w:t>
            </w:r>
          </w:p>
        </w:tc>
        <w:tc>
          <w:tcPr>
            <w:tcW w:w="2203" w:type="dxa"/>
          </w:tcPr>
          <w:p w14:paraId="06A05011" w14:textId="77777777" w:rsidR="00366E94" w:rsidRPr="00854604" w:rsidRDefault="00366E94" w:rsidP="00366E94">
            <w:pPr>
              <w:pStyle w:val="NoSpacing"/>
              <w:rPr>
                <w:sz w:val="20"/>
                <w:szCs w:val="20"/>
              </w:rPr>
            </w:pPr>
            <w:r w:rsidRPr="00854604">
              <w:rPr>
                <w:sz w:val="20"/>
                <w:szCs w:val="20"/>
              </w:rPr>
              <w:t>Immunization uptake in younger siblings of children with autism spectrum disorder.</w:t>
            </w:r>
          </w:p>
          <w:p w14:paraId="4F2C4563" w14:textId="77777777" w:rsidR="00366E94" w:rsidRPr="00854604" w:rsidRDefault="00366E94" w:rsidP="00366E94">
            <w:pPr>
              <w:pStyle w:val="NoSpacing"/>
              <w:rPr>
                <w:sz w:val="20"/>
                <w:szCs w:val="20"/>
              </w:rPr>
            </w:pPr>
            <w:r w:rsidRPr="00854604">
              <w:rPr>
                <w:noProof/>
                <w:sz w:val="20"/>
                <w:szCs w:val="20"/>
              </w:rPr>
              <w:t>Kuwaik et al., 2014</w:t>
            </w:r>
          </w:p>
        </w:tc>
        <w:tc>
          <w:tcPr>
            <w:tcW w:w="0" w:type="auto"/>
          </w:tcPr>
          <w:p w14:paraId="706EBD0E" w14:textId="77777777" w:rsidR="00366E94" w:rsidRPr="00854604" w:rsidRDefault="00366E94" w:rsidP="00366E94">
            <w:pPr>
              <w:pStyle w:val="NoSpacing"/>
              <w:rPr>
                <w:sz w:val="20"/>
                <w:szCs w:val="20"/>
              </w:rPr>
            </w:pPr>
            <w:r w:rsidRPr="00854604">
              <w:rPr>
                <w:sz w:val="20"/>
                <w:szCs w:val="20"/>
              </w:rPr>
              <w:t>Canada</w:t>
            </w:r>
          </w:p>
        </w:tc>
        <w:tc>
          <w:tcPr>
            <w:tcW w:w="9656" w:type="dxa"/>
          </w:tcPr>
          <w:p w14:paraId="6357B6F9" w14:textId="77777777" w:rsidR="00366E94" w:rsidRPr="00854604" w:rsidRDefault="00366E94" w:rsidP="00366E94">
            <w:pPr>
              <w:pStyle w:val="NoSpacing"/>
              <w:rPr>
                <w:sz w:val="20"/>
                <w:szCs w:val="20"/>
              </w:rPr>
            </w:pPr>
            <w:r w:rsidRPr="00854604">
              <w:rPr>
                <w:sz w:val="20"/>
                <w:szCs w:val="20"/>
              </w:rPr>
              <w:t xml:space="preserve">A significant group difference emerged for overall immunization status (Fisher's exact test = 62.70, p &lt; .001). </w:t>
            </w:r>
          </w:p>
          <w:p w14:paraId="37135615" w14:textId="77777777" w:rsidR="00366E94" w:rsidRPr="00854604" w:rsidRDefault="00366E94" w:rsidP="00366E94">
            <w:pPr>
              <w:pStyle w:val="NoSpacing"/>
              <w:rPr>
                <w:sz w:val="20"/>
                <w:szCs w:val="20"/>
              </w:rPr>
            </w:pPr>
            <w:r w:rsidRPr="00854604">
              <w:rPr>
                <w:sz w:val="20"/>
                <w:szCs w:val="20"/>
              </w:rPr>
              <w:t>One or more immunizations in 59/98 younger sibs were delayed (47/98; 48%) or declined (12/98; 12.2%); immunizations were delayed in 16/98 probands (16.3%) and declined in only one. All controls were fully immunized, with only 6 (9.2%) delayed.</w:t>
            </w:r>
          </w:p>
          <w:p w14:paraId="7BDA457B" w14:textId="77777777" w:rsidR="00366E94" w:rsidRPr="00854604" w:rsidRDefault="00366E94" w:rsidP="00366E94">
            <w:pPr>
              <w:pStyle w:val="NoSpacing"/>
              <w:rPr>
                <w:sz w:val="20"/>
                <w:szCs w:val="20"/>
              </w:rPr>
            </w:pPr>
            <w:r w:rsidRPr="00854604">
              <w:rPr>
                <w:sz w:val="20"/>
                <w:szCs w:val="20"/>
              </w:rPr>
              <w:t xml:space="preserve">Within the "younger sibs" group, 25/98 received an autism spectrum disorder diagnosis; 7 of whom (28%) were fully immunized. </w:t>
            </w:r>
          </w:p>
        </w:tc>
      </w:tr>
      <w:tr w:rsidR="00366E94" w:rsidRPr="00854604" w14:paraId="6FF65B63" w14:textId="77777777" w:rsidTr="00366E94">
        <w:trPr>
          <w:trHeight w:val="981"/>
        </w:trPr>
        <w:tc>
          <w:tcPr>
            <w:tcW w:w="696" w:type="dxa"/>
          </w:tcPr>
          <w:p w14:paraId="7F86AA77" w14:textId="77777777" w:rsidR="00366E94" w:rsidRPr="00854604" w:rsidRDefault="00366E94" w:rsidP="00366E94">
            <w:pPr>
              <w:pStyle w:val="NoSpacing"/>
              <w:rPr>
                <w:sz w:val="20"/>
                <w:szCs w:val="20"/>
              </w:rPr>
            </w:pPr>
            <w:r w:rsidRPr="00854604">
              <w:rPr>
                <w:sz w:val="20"/>
                <w:szCs w:val="20"/>
              </w:rPr>
              <w:t>2</w:t>
            </w:r>
          </w:p>
        </w:tc>
        <w:tc>
          <w:tcPr>
            <w:tcW w:w="2203" w:type="dxa"/>
          </w:tcPr>
          <w:p w14:paraId="6C469495" w14:textId="77777777" w:rsidR="00366E94" w:rsidRPr="00854604" w:rsidRDefault="00366E94" w:rsidP="00366E94">
            <w:pPr>
              <w:pStyle w:val="NoSpacing"/>
              <w:rPr>
                <w:sz w:val="20"/>
                <w:szCs w:val="20"/>
                <w:lang w:eastAsia="en-MY"/>
              </w:rPr>
            </w:pPr>
            <w:r w:rsidRPr="00854604">
              <w:rPr>
                <w:sz w:val="20"/>
                <w:szCs w:val="20"/>
                <w:bdr w:val="none" w:sz="0" w:space="0" w:color="auto" w:frame="1"/>
                <w:lang w:eastAsia="en-MY"/>
              </w:rPr>
              <w:t>Vaccination Rates among Younger Siblings of Children with Autism</w:t>
            </w:r>
          </w:p>
          <w:p w14:paraId="6ABF13FC" w14:textId="77777777" w:rsidR="00366E94" w:rsidRPr="00854604" w:rsidRDefault="00366E94" w:rsidP="00366E94">
            <w:pPr>
              <w:pStyle w:val="NoSpacing"/>
              <w:rPr>
                <w:sz w:val="20"/>
                <w:szCs w:val="20"/>
              </w:rPr>
            </w:pPr>
            <w:r w:rsidRPr="00854604">
              <w:rPr>
                <w:noProof/>
                <w:sz w:val="20"/>
                <w:szCs w:val="20"/>
              </w:rPr>
              <w:t>Glickman, Harrison, &amp; Dobkins, 2017</w:t>
            </w:r>
          </w:p>
        </w:tc>
        <w:tc>
          <w:tcPr>
            <w:tcW w:w="0" w:type="auto"/>
          </w:tcPr>
          <w:p w14:paraId="3F6E8E20" w14:textId="77777777" w:rsidR="00366E94" w:rsidRPr="00854604" w:rsidRDefault="00366E94" w:rsidP="00366E94">
            <w:pPr>
              <w:pStyle w:val="NoSpacing"/>
              <w:rPr>
                <w:sz w:val="20"/>
                <w:szCs w:val="20"/>
              </w:rPr>
            </w:pPr>
            <w:r w:rsidRPr="00854604">
              <w:rPr>
                <w:sz w:val="20"/>
                <w:szCs w:val="20"/>
              </w:rPr>
              <w:t>California USA</w:t>
            </w:r>
          </w:p>
        </w:tc>
        <w:tc>
          <w:tcPr>
            <w:tcW w:w="9656" w:type="dxa"/>
          </w:tcPr>
          <w:p w14:paraId="0F4F4AD4" w14:textId="77777777" w:rsidR="00366E94" w:rsidRPr="00854604" w:rsidRDefault="00366E94" w:rsidP="00366E94">
            <w:pPr>
              <w:pStyle w:val="NoSpacing"/>
              <w:rPr>
                <w:sz w:val="20"/>
                <w:szCs w:val="20"/>
              </w:rPr>
            </w:pPr>
            <w:r w:rsidRPr="00854604">
              <w:rPr>
                <w:sz w:val="20"/>
                <w:szCs w:val="20"/>
                <w:shd w:val="clear" w:color="auto" w:fill="FFFFFF"/>
              </w:rPr>
              <w:t>Families with children who had autism spectrum disorder were less likely to vaccinate subsequent children. Specifically, the rate of vaccination among full biologic infant siblings of children with autism spectrum disorder was 83.1%, as compared with 97.0% among low-risk infants (Pearson chi-square value with one degree of freedom, 12.62; P&lt;0.001)</w:t>
            </w:r>
          </w:p>
        </w:tc>
      </w:tr>
      <w:tr w:rsidR="00366E94" w:rsidRPr="00854604" w14:paraId="337A5AC1" w14:textId="77777777" w:rsidTr="00366E94">
        <w:tc>
          <w:tcPr>
            <w:tcW w:w="696" w:type="dxa"/>
          </w:tcPr>
          <w:p w14:paraId="591CE3E4" w14:textId="77777777" w:rsidR="00366E94" w:rsidRPr="00854604" w:rsidRDefault="00366E94" w:rsidP="00366E94">
            <w:pPr>
              <w:pStyle w:val="NoSpacing"/>
              <w:rPr>
                <w:sz w:val="20"/>
                <w:szCs w:val="20"/>
              </w:rPr>
            </w:pPr>
            <w:r w:rsidRPr="00854604">
              <w:rPr>
                <w:sz w:val="20"/>
                <w:szCs w:val="20"/>
              </w:rPr>
              <w:t>3</w:t>
            </w:r>
          </w:p>
        </w:tc>
        <w:tc>
          <w:tcPr>
            <w:tcW w:w="2203" w:type="dxa"/>
          </w:tcPr>
          <w:p w14:paraId="445F96A4" w14:textId="77777777" w:rsidR="00366E94" w:rsidRPr="00854604" w:rsidRDefault="00366E94" w:rsidP="00366E94">
            <w:pPr>
              <w:pStyle w:val="NoSpacing"/>
              <w:rPr>
                <w:rFonts w:eastAsia="Times New Roman"/>
                <w:kern w:val="36"/>
                <w:sz w:val="20"/>
                <w:szCs w:val="20"/>
                <w:lang w:eastAsia="en-MY"/>
              </w:rPr>
            </w:pPr>
            <w:r w:rsidRPr="00854604">
              <w:rPr>
                <w:rFonts w:eastAsia="Times New Roman"/>
                <w:kern w:val="36"/>
                <w:sz w:val="20"/>
                <w:szCs w:val="20"/>
                <w:lang w:eastAsia="en-MY"/>
              </w:rPr>
              <w:t>Vaccine-related beliefs and practices of parents of children with autism spectrum disorders</w:t>
            </w:r>
          </w:p>
          <w:p w14:paraId="2222F23D" w14:textId="77777777" w:rsidR="00366E94" w:rsidRPr="00854604" w:rsidRDefault="00366E94" w:rsidP="00366E94">
            <w:pPr>
              <w:pStyle w:val="NoSpacing"/>
              <w:rPr>
                <w:sz w:val="20"/>
                <w:szCs w:val="20"/>
              </w:rPr>
            </w:pPr>
            <w:r w:rsidRPr="00854604">
              <w:rPr>
                <w:noProof/>
                <w:sz w:val="20"/>
                <w:szCs w:val="20"/>
              </w:rPr>
              <w:t>Bazzano, Zeldin, Schuster, Barrett, &amp; Lehrer, 2012</w:t>
            </w:r>
          </w:p>
          <w:p w14:paraId="31B3CDC7" w14:textId="77777777" w:rsidR="00366E94" w:rsidRPr="00854604" w:rsidRDefault="00366E94" w:rsidP="00366E94">
            <w:pPr>
              <w:pStyle w:val="NoSpacing"/>
              <w:rPr>
                <w:sz w:val="20"/>
                <w:szCs w:val="20"/>
              </w:rPr>
            </w:pPr>
            <w:r w:rsidRPr="00854604">
              <w:rPr>
                <w:sz w:val="20"/>
                <w:szCs w:val="20"/>
              </w:rPr>
              <w:t xml:space="preserve"> </w:t>
            </w:r>
          </w:p>
        </w:tc>
        <w:tc>
          <w:tcPr>
            <w:tcW w:w="0" w:type="auto"/>
          </w:tcPr>
          <w:p w14:paraId="59EA06EF" w14:textId="77777777" w:rsidR="00366E94" w:rsidRPr="00854604" w:rsidRDefault="00366E94" w:rsidP="00366E94">
            <w:pPr>
              <w:pStyle w:val="NoSpacing"/>
              <w:rPr>
                <w:sz w:val="20"/>
                <w:szCs w:val="20"/>
              </w:rPr>
            </w:pPr>
            <w:r w:rsidRPr="00854604">
              <w:rPr>
                <w:sz w:val="20"/>
                <w:szCs w:val="20"/>
              </w:rPr>
              <w:t>Los Angeles</w:t>
            </w:r>
          </w:p>
          <w:p w14:paraId="0218EF25" w14:textId="77777777" w:rsidR="00366E94" w:rsidRPr="00854604" w:rsidRDefault="00366E94" w:rsidP="00366E94">
            <w:pPr>
              <w:pStyle w:val="NoSpacing"/>
              <w:rPr>
                <w:sz w:val="20"/>
                <w:szCs w:val="20"/>
              </w:rPr>
            </w:pPr>
            <w:r w:rsidRPr="00854604">
              <w:rPr>
                <w:sz w:val="20"/>
                <w:szCs w:val="20"/>
              </w:rPr>
              <w:t>USA</w:t>
            </w:r>
          </w:p>
        </w:tc>
        <w:tc>
          <w:tcPr>
            <w:tcW w:w="9656" w:type="dxa"/>
          </w:tcPr>
          <w:p w14:paraId="119B1CA3" w14:textId="77777777" w:rsidR="00366E94" w:rsidRPr="00854604" w:rsidRDefault="00366E94" w:rsidP="00366E94">
            <w:pPr>
              <w:pStyle w:val="NoSpacing"/>
              <w:rPr>
                <w:rFonts w:eastAsia="StoneInformalStd-Medium"/>
                <w:sz w:val="20"/>
                <w:szCs w:val="20"/>
              </w:rPr>
            </w:pPr>
            <w:r w:rsidRPr="00854604">
              <w:rPr>
                <w:sz w:val="20"/>
                <w:szCs w:val="20"/>
                <w:shd w:val="clear" w:color="auto" w:fill="FFFFFF"/>
              </w:rPr>
              <w:t>43% of 460 eligible parents of children under 18 years of age with autism spectrum disorders</w:t>
            </w:r>
          </w:p>
          <w:p w14:paraId="06A6438E" w14:textId="77777777" w:rsidR="00366E94" w:rsidRPr="00854604" w:rsidRDefault="00366E94" w:rsidP="00366E94">
            <w:pPr>
              <w:pStyle w:val="NoSpacing"/>
              <w:rPr>
                <w:rFonts w:eastAsia="StoneInformalStd-Medium"/>
                <w:sz w:val="20"/>
                <w:szCs w:val="20"/>
              </w:rPr>
            </w:pPr>
            <w:r w:rsidRPr="00854604">
              <w:rPr>
                <w:sz w:val="20"/>
                <w:szCs w:val="20"/>
                <w:shd w:val="clear" w:color="auto" w:fill="FFFFFF"/>
              </w:rPr>
              <w:t xml:space="preserve">Half of the parents discontinued or changed vaccination practices, and this was associated with a belief that vaccines contributed to autism spectrum disorders, indicating a potential subset of </w:t>
            </w:r>
            <w:proofErr w:type="spellStart"/>
            <w:r w:rsidRPr="00854604">
              <w:rPr>
                <w:sz w:val="20"/>
                <w:szCs w:val="20"/>
                <w:shd w:val="clear" w:color="auto" w:fill="FFFFFF"/>
              </w:rPr>
              <w:t>undervaccinated</w:t>
            </w:r>
            <w:proofErr w:type="spellEnd"/>
            <w:r w:rsidRPr="00854604">
              <w:rPr>
                <w:sz w:val="20"/>
                <w:szCs w:val="20"/>
                <w:shd w:val="clear" w:color="auto" w:fill="FFFFFF"/>
              </w:rPr>
              <w:t xml:space="preserve"> children.</w:t>
            </w:r>
          </w:p>
        </w:tc>
      </w:tr>
      <w:tr w:rsidR="00366E94" w:rsidRPr="00854604" w14:paraId="5426852E" w14:textId="77777777" w:rsidTr="00366E94">
        <w:trPr>
          <w:trHeight w:val="1986"/>
        </w:trPr>
        <w:tc>
          <w:tcPr>
            <w:tcW w:w="696" w:type="dxa"/>
          </w:tcPr>
          <w:p w14:paraId="77F8727B" w14:textId="77777777" w:rsidR="00366E94" w:rsidRPr="00854604" w:rsidRDefault="00366E94" w:rsidP="00366E94">
            <w:pPr>
              <w:pStyle w:val="NoSpacing"/>
              <w:rPr>
                <w:sz w:val="20"/>
                <w:szCs w:val="20"/>
              </w:rPr>
            </w:pPr>
            <w:r w:rsidRPr="00854604">
              <w:rPr>
                <w:sz w:val="20"/>
                <w:szCs w:val="20"/>
              </w:rPr>
              <w:t>4</w:t>
            </w:r>
          </w:p>
        </w:tc>
        <w:tc>
          <w:tcPr>
            <w:tcW w:w="2203" w:type="dxa"/>
          </w:tcPr>
          <w:p w14:paraId="114CC6C2" w14:textId="77777777" w:rsidR="00366E94" w:rsidRPr="00854604" w:rsidRDefault="00366E94" w:rsidP="00366E94">
            <w:pPr>
              <w:pStyle w:val="NoSpacing"/>
              <w:rPr>
                <w:sz w:val="20"/>
                <w:szCs w:val="20"/>
              </w:rPr>
            </w:pPr>
            <w:r w:rsidRPr="00854604">
              <w:rPr>
                <w:sz w:val="20"/>
                <w:szCs w:val="20"/>
              </w:rPr>
              <w:t>Survey of Vaccine Beliefs and Practices Among Families Affected by Autism Spectrum Disorders</w:t>
            </w:r>
          </w:p>
          <w:p w14:paraId="4971AD82" w14:textId="77777777" w:rsidR="00366E94" w:rsidRPr="00854604" w:rsidRDefault="00366E94" w:rsidP="00366E94">
            <w:pPr>
              <w:pStyle w:val="NoSpacing"/>
              <w:rPr>
                <w:sz w:val="20"/>
                <w:szCs w:val="20"/>
              </w:rPr>
            </w:pPr>
          </w:p>
          <w:p w14:paraId="291A3470" w14:textId="77777777" w:rsidR="00366E94" w:rsidRPr="00854604" w:rsidRDefault="00366E94" w:rsidP="00366E94">
            <w:pPr>
              <w:pStyle w:val="NoSpacing"/>
              <w:rPr>
                <w:sz w:val="20"/>
                <w:szCs w:val="20"/>
              </w:rPr>
            </w:pPr>
            <w:r w:rsidRPr="00854604">
              <w:rPr>
                <w:sz w:val="20"/>
                <w:szCs w:val="20"/>
              </w:rPr>
              <w:fldChar w:fldCharType="begin" w:fldLock="1"/>
            </w:r>
            <w:r w:rsidRPr="00854604">
              <w:rPr>
                <w:sz w:val="20"/>
                <w:szCs w:val="20"/>
              </w:rPr>
              <w:instrText>ADDIN CSL_CITATION {"citationItems":[{"id":"ITEM-1","itemData":{"DOI":"10.1177/0009922812438435","ISSN":"00099228","author":[{"dropping-particle":"","family":"Rosenberg","given":"Rebecca E.","non-dropping-particle":"","parse-names":false,"suffix":""},{"dropping-particle":"","family":"Law","given":"J. Kiely","non-dropping-particle":"","parse-names":false,"suffix":""},{"dropping-particle":"","family":"Anderson","given":"Connie","non-dropping-particle":"","parse-names":false,"suffix":""},{"dropping-particle":"","family":"Samango-Sprouse","given":"Carole","non-dropping-particle":"","parse-names":false,"suffix":""},{"dropping-particle":"","family":"Law","given":"Paul A.","non-dropping-particle":"","parse-names":false,"suffix":""}],"container-title":"Clinical Pediatrics","id":"ITEM-1","issued":{"date-parts":[["2013"]]},"title":"Survey of vaccine beliefs and practices among families affected by autism spectrum disorders","type":"article"},"uris":["http://www.mendeley.com/documents/?uuid=45009cc3-3c8a-46f3-8ee8-8c099a08a8ce"]}],"mendeley":{"formattedCitation":"(Rosenberg et al., 2013)","manualFormatting":"Rosenberg, Law, Anderson, Samango-Sprouse, &amp; Law, 2013","plainTextFormattedCitation":"(Rosenberg et al., 2013)","previouslyFormattedCitation":"(Rosenberg et al., 2013)"},"properties":{"noteIndex":0},"schema":"https://github.com/citation-style-language/schema/raw/master/csl-citation.json"}</w:instrText>
            </w:r>
            <w:r w:rsidRPr="00854604">
              <w:rPr>
                <w:sz w:val="20"/>
                <w:szCs w:val="20"/>
              </w:rPr>
              <w:fldChar w:fldCharType="separate"/>
            </w:r>
            <w:r w:rsidRPr="00854604">
              <w:rPr>
                <w:noProof/>
                <w:sz w:val="20"/>
                <w:szCs w:val="20"/>
              </w:rPr>
              <w:t>Rosenberg, Law, Anderson, Samango-Sprouse, &amp; Law, 2013</w:t>
            </w:r>
            <w:r w:rsidRPr="00854604">
              <w:rPr>
                <w:sz w:val="20"/>
                <w:szCs w:val="20"/>
              </w:rPr>
              <w:fldChar w:fldCharType="end"/>
            </w:r>
          </w:p>
        </w:tc>
        <w:tc>
          <w:tcPr>
            <w:tcW w:w="0" w:type="auto"/>
          </w:tcPr>
          <w:p w14:paraId="6D5A68DA" w14:textId="77777777" w:rsidR="00366E94" w:rsidRPr="00854604" w:rsidRDefault="00366E94" w:rsidP="00366E94">
            <w:pPr>
              <w:pStyle w:val="NoSpacing"/>
              <w:rPr>
                <w:sz w:val="20"/>
                <w:szCs w:val="20"/>
              </w:rPr>
            </w:pPr>
            <w:r w:rsidRPr="00854604">
              <w:rPr>
                <w:sz w:val="20"/>
                <w:szCs w:val="20"/>
              </w:rPr>
              <w:t>US</w:t>
            </w:r>
          </w:p>
        </w:tc>
        <w:tc>
          <w:tcPr>
            <w:tcW w:w="9656" w:type="dxa"/>
          </w:tcPr>
          <w:p w14:paraId="40756DEE" w14:textId="77777777" w:rsidR="00366E94" w:rsidRPr="00854604" w:rsidRDefault="00366E94" w:rsidP="00366E94">
            <w:pPr>
              <w:pStyle w:val="NoSpacing"/>
              <w:rPr>
                <w:sz w:val="20"/>
                <w:szCs w:val="20"/>
              </w:rPr>
            </w:pPr>
            <w:r w:rsidRPr="00854604">
              <w:rPr>
                <w:sz w:val="20"/>
                <w:szCs w:val="20"/>
              </w:rPr>
              <w:t>The highest proportion of delaying or omitting vaccines occurred for MMR (19.6%; 95% CI = 16.2-23.4), followed by varicella (14.5%) and DTP/DTaP (11.7%)</w:t>
            </w:r>
          </w:p>
          <w:p w14:paraId="74070B50" w14:textId="77777777" w:rsidR="00366E94" w:rsidRPr="00854604" w:rsidRDefault="00366E94" w:rsidP="00366E94">
            <w:pPr>
              <w:pStyle w:val="NoSpacing"/>
              <w:rPr>
                <w:sz w:val="20"/>
                <w:szCs w:val="20"/>
              </w:rPr>
            </w:pPr>
            <w:r w:rsidRPr="00854604">
              <w:rPr>
                <w:sz w:val="20"/>
                <w:szCs w:val="20"/>
              </w:rPr>
              <w:t>Odds of delaying or omitting any vaccine in the series, compared with receiving the full series, were much higher among those endorsing a “definitely did” belief in an autism–vaccine link in their older index child (</w:t>
            </w:r>
            <w:proofErr w:type="spellStart"/>
            <w:r w:rsidRPr="00854604">
              <w:rPr>
                <w:sz w:val="20"/>
                <w:szCs w:val="20"/>
              </w:rPr>
              <w:t>mOR</w:t>
            </w:r>
            <w:proofErr w:type="spellEnd"/>
            <w:r w:rsidRPr="00854604">
              <w:rPr>
                <w:sz w:val="20"/>
                <w:szCs w:val="20"/>
              </w:rPr>
              <w:t xml:space="preserve"> 4.77 and </w:t>
            </w:r>
            <w:proofErr w:type="spellStart"/>
            <w:r w:rsidRPr="00854604">
              <w:rPr>
                <w:sz w:val="20"/>
                <w:szCs w:val="20"/>
              </w:rPr>
              <w:t>mOR</w:t>
            </w:r>
            <w:proofErr w:type="spellEnd"/>
            <w:r w:rsidRPr="00854604">
              <w:rPr>
                <w:sz w:val="20"/>
                <w:szCs w:val="20"/>
              </w:rPr>
              <w:t xml:space="preserve"> 21.2, respectively). </w:t>
            </w:r>
          </w:p>
          <w:p w14:paraId="4D4A03AF" w14:textId="77777777" w:rsidR="00366E94" w:rsidRPr="00854604" w:rsidRDefault="00366E94" w:rsidP="00366E94">
            <w:pPr>
              <w:pStyle w:val="NoSpacing"/>
              <w:rPr>
                <w:sz w:val="20"/>
                <w:szCs w:val="20"/>
              </w:rPr>
            </w:pPr>
            <w:r w:rsidRPr="00854604">
              <w:rPr>
                <w:sz w:val="20"/>
                <w:szCs w:val="20"/>
              </w:rPr>
              <w:t xml:space="preserve">Being in the youngest cohort of siblings (born between 2003 and 2005) was associated with significantly higher </w:t>
            </w:r>
            <w:proofErr w:type="spellStart"/>
            <w:r w:rsidRPr="00854604">
              <w:rPr>
                <w:sz w:val="20"/>
                <w:szCs w:val="20"/>
              </w:rPr>
              <w:t>mOR</w:t>
            </w:r>
            <w:proofErr w:type="spellEnd"/>
            <w:r w:rsidRPr="00854604">
              <w:rPr>
                <w:sz w:val="20"/>
                <w:szCs w:val="20"/>
              </w:rPr>
              <w:t xml:space="preserve"> for delayed (</w:t>
            </w:r>
            <w:proofErr w:type="spellStart"/>
            <w:r w:rsidRPr="00854604">
              <w:rPr>
                <w:sz w:val="20"/>
                <w:szCs w:val="20"/>
              </w:rPr>
              <w:t>mOR</w:t>
            </w:r>
            <w:proofErr w:type="spellEnd"/>
            <w:r w:rsidRPr="00854604">
              <w:rPr>
                <w:sz w:val="20"/>
                <w:szCs w:val="20"/>
              </w:rPr>
              <w:t xml:space="preserve"> 2.9; 95% CI = 1.3-6.5), but not omitted, receipt.</w:t>
            </w:r>
          </w:p>
          <w:p w14:paraId="2B7C21B9" w14:textId="77777777" w:rsidR="00366E94" w:rsidRPr="00854604" w:rsidRDefault="00366E94" w:rsidP="00366E94">
            <w:pPr>
              <w:pStyle w:val="NoSpacing"/>
              <w:rPr>
                <w:sz w:val="20"/>
                <w:szCs w:val="20"/>
              </w:rPr>
            </w:pPr>
            <w:r w:rsidRPr="00854604">
              <w:rPr>
                <w:sz w:val="20"/>
                <w:szCs w:val="20"/>
              </w:rPr>
              <w:t>Highest maternal education was significantly correlated with delaying (</w:t>
            </w:r>
            <w:proofErr w:type="spellStart"/>
            <w:r w:rsidRPr="00854604">
              <w:rPr>
                <w:sz w:val="20"/>
                <w:szCs w:val="20"/>
              </w:rPr>
              <w:t>mOR</w:t>
            </w:r>
            <w:proofErr w:type="spellEnd"/>
            <w:r w:rsidRPr="00854604">
              <w:rPr>
                <w:sz w:val="20"/>
                <w:szCs w:val="20"/>
              </w:rPr>
              <w:t xml:space="preserve"> 3.1; 95% CI = 1.1-8.6) or omitting (</w:t>
            </w:r>
            <w:proofErr w:type="spellStart"/>
            <w:r w:rsidRPr="00854604">
              <w:rPr>
                <w:sz w:val="20"/>
                <w:szCs w:val="20"/>
              </w:rPr>
              <w:t>mOR</w:t>
            </w:r>
            <w:proofErr w:type="spellEnd"/>
            <w:r w:rsidRPr="00854604">
              <w:rPr>
                <w:sz w:val="20"/>
                <w:szCs w:val="20"/>
              </w:rPr>
              <w:t xml:space="preserve"> 4.4; 95% CI = 1.2-15.5) early-childhood vaccination series in younger siblings, independent of belief in a vaccine– autism link</w:t>
            </w:r>
          </w:p>
        </w:tc>
      </w:tr>
    </w:tbl>
    <w:p w14:paraId="66FD5526" w14:textId="063A0525" w:rsidR="000F5D9D" w:rsidRDefault="000F5D9D" w:rsidP="00366E94">
      <w:pPr>
        <w:spacing w:line="360" w:lineRule="auto"/>
        <w:jc w:val="both"/>
      </w:pPr>
    </w:p>
    <w:p w14:paraId="7AE4123D" w14:textId="1A9C9809" w:rsidR="000F5D9D" w:rsidRDefault="000F5D9D" w:rsidP="00E22C20">
      <w:pPr>
        <w:spacing w:line="360" w:lineRule="auto"/>
        <w:ind w:left="851"/>
        <w:jc w:val="both"/>
      </w:pPr>
    </w:p>
    <w:p w14:paraId="04815E13" w14:textId="7202B958" w:rsidR="000F5D9D" w:rsidRDefault="000F5D9D" w:rsidP="00E22C20">
      <w:pPr>
        <w:spacing w:line="360" w:lineRule="auto"/>
        <w:ind w:left="851"/>
        <w:jc w:val="both"/>
      </w:pPr>
    </w:p>
    <w:p w14:paraId="17ED740A" w14:textId="77777777" w:rsidR="00854604" w:rsidRDefault="00854604" w:rsidP="00E22C20">
      <w:pPr>
        <w:spacing w:line="360" w:lineRule="auto"/>
        <w:ind w:left="851"/>
        <w:jc w:val="both"/>
        <w:sectPr w:rsidR="00854604" w:rsidSect="000F5D9D">
          <w:pgSz w:w="16838" w:h="11906" w:orient="landscape"/>
          <w:pgMar w:top="1440" w:right="1440" w:bottom="1440" w:left="1440" w:header="708" w:footer="708" w:gutter="0"/>
          <w:cols w:space="708"/>
          <w:docGrid w:linePitch="360"/>
        </w:sectPr>
      </w:pPr>
    </w:p>
    <w:p w14:paraId="40EB5483" w14:textId="77777777" w:rsidR="000F5D9D" w:rsidRPr="00366E94" w:rsidRDefault="000F5D9D" w:rsidP="00366E94">
      <w:pPr>
        <w:spacing w:line="360" w:lineRule="auto"/>
        <w:jc w:val="both"/>
        <w:rPr>
          <w:b/>
          <w:bCs/>
          <w:szCs w:val="24"/>
        </w:rPr>
      </w:pPr>
    </w:p>
    <w:p w14:paraId="1F15EC8D" w14:textId="1F868827" w:rsidR="000F5D9D" w:rsidRPr="00366E94" w:rsidRDefault="000F5D9D" w:rsidP="00E22C20">
      <w:pPr>
        <w:keepNext/>
        <w:keepLines/>
        <w:spacing w:before="40" w:after="0" w:line="360" w:lineRule="auto"/>
        <w:ind w:left="851"/>
        <w:jc w:val="both"/>
        <w:outlineLvl w:val="1"/>
        <w:rPr>
          <w:rFonts w:eastAsiaTheme="majorEastAsia"/>
          <w:b/>
          <w:bCs/>
          <w:szCs w:val="24"/>
        </w:rPr>
      </w:pPr>
      <w:bookmarkStart w:id="17" w:name="_Toc31400957"/>
      <w:r w:rsidRPr="00366E94">
        <w:rPr>
          <w:rFonts w:eastAsiaTheme="majorEastAsia"/>
          <w:b/>
          <w:bCs/>
          <w:szCs w:val="24"/>
        </w:rPr>
        <w:t xml:space="preserve">2.7 </w:t>
      </w:r>
      <w:r w:rsidRPr="00366E94">
        <w:rPr>
          <w:rFonts w:eastAsiaTheme="majorEastAsia"/>
          <w:b/>
          <w:bCs/>
          <w:szCs w:val="24"/>
        </w:rPr>
        <w:tab/>
        <w:t>Theoretical Frameworks of Vaccine Hesitancy</w:t>
      </w:r>
      <w:bookmarkEnd w:id="17"/>
      <w:r w:rsidRPr="00366E94">
        <w:rPr>
          <w:rFonts w:eastAsiaTheme="majorEastAsia"/>
          <w:b/>
          <w:bCs/>
          <w:szCs w:val="24"/>
        </w:rPr>
        <w:t xml:space="preserve"> </w:t>
      </w:r>
    </w:p>
    <w:p w14:paraId="2720913A" w14:textId="77777777" w:rsidR="000F5D9D" w:rsidRPr="000F5D9D" w:rsidRDefault="000F5D9D" w:rsidP="00E22C20">
      <w:pPr>
        <w:spacing w:line="360" w:lineRule="auto"/>
        <w:ind w:left="851"/>
        <w:jc w:val="both"/>
        <w:rPr>
          <w:szCs w:val="24"/>
        </w:rPr>
      </w:pPr>
    </w:p>
    <w:p w14:paraId="277013CC" w14:textId="0B896426" w:rsidR="000F5D9D" w:rsidRPr="000F5D9D" w:rsidRDefault="000F5D9D" w:rsidP="00E22C20">
      <w:pPr>
        <w:spacing w:line="360" w:lineRule="auto"/>
        <w:ind w:left="851" w:firstLine="720"/>
        <w:jc w:val="both"/>
        <w:rPr>
          <w:szCs w:val="24"/>
          <w:highlight w:val="lightGray"/>
        </w:rPr>
      </w:pPr>
      <w:r w:rsidRPr="000F5D9D">
        <w:rPr>
          <w:szCs w:val="24"/>
        </w:rPr>
        <w:t xml:space="preserve">As mentioned earlier, </w:t>
      </w:r>
      <w:r w:rsidR="00366E94">
        <w:rPr>
          <w:szCs w:val="24"/>
        </w:rPr>
        <w:t>at</w:t>
      </w:r>
      <w:r w:rsidRPr="000F5D9D">
        <w:rPr>
          <w:szCs w:val="24"/>
        </w:rPr>
        <w:t xml:space="preserve"> its fundamental, VH is an outcome of </w:t>
      </w:r>
      <w:r w:rsidR="00366E94" w:rsidRPr="000F5D9D">
        <w:rPr>
          <w:szCs w:val="24"/>
        </w:rPr>
        <w:t>behaviour</w:t>
      </w:r>
      <w:r w:rsidRPr="000F5D9D">
        <w:rPr>
          <w:szCs w:val="24"/>
        </w:rPr>
        <w:t xml:space="preserve"> that results from a dynamic decision-making process that can theoretically be affected by a wide range of factors. In further refining the definition of VH, few conceptual models are being assessed by the </w:t>
      </w:r>
      <w:r w:rsidRPr="000F5D9D">
        <w:rPr>
          <w:rFonts w:eastAsia="Times New Roman"/>
          <w:szCs w:val="24"/>
          <w:lang w:eastAsia="en-MY"/>
        </w:rPr>
        <w:t xml:space="preserve">WHO’s Strategic Advisory Group of Experts (SAGE) </w:t>
      </w:r>
      <w:r w:rsidRPr="000F5D9D">
        <w:rPr>
          <w:szCs w:val="24"/>
        </w:rPr>
        <w:t xml:space="preserve">Working Group of Vaccine Hesitancy (WG) for understanding and grouping VH determinants (Figure 4) </w:t>
      </w:r>
      <w:r w:rsidRPr="000F5D9D">
        <w:rPr>
          <w:szCs w:val="24"/>
        </w:rPr>
        <w:fldChar w:fldCharType="begin" w:fldLock="1"/>
      </w:r>
      <w:r w:rsidRPr="000F5D9D">
        <w:rPr>
          <w:szCs w:val="24"/>
        </w:rPr>
        <w:instrText>ADDIN CSL_CITATION {"citationItems":[{"id":"ITEM-1","itemData":{"DOI":"10.1016/j.vaccine.2015.04.036","author":[{"dropping-particle":"","family":"Macdonald","given":"Noni E","non-dropping-particle":"","parse-names":false,"suffix":""},{"dropping-particle":"","family":"Group","given":"Working","non-dropping-particle":"","parse-names":false,"suffix":""}],"id":"ITEM-1","issued":{"date-parts":[["2015"]]},"page":"4161-4164","title":"Vaccine hesitancy : Definition , scope and determinants","type":"article-journal","volume":"33"},"uris":["http://www.mendeley.com/documents/?uuid=f020b823-1ddd-4343-9c14-6502886a8781"]}],"mendeley":{"formattedCitation":"(Macdonald &amp; Group, 2015)","plainTextFormattedCitation":"(Macdonald &amp; Group, 2015)","previouslyFormattedCitation":"(Macdonald &amp; Group, 2015)"},"properties":{"noteIndex":0},"schema":"https://github.com/citation-style-language/schema/raw/master/csl-citation.json"}</w:instrText>
      </w:r>
      <w:r w:rsidRPr="000F5D9D">
        <w:rPr>
          <w:szCs w:val="24"/>
        </w:rPr>
        <w:fldChar w:fldCharType="separate"/>
      </w:r>
      <w:r w:rsidRPr="000F5D9D">
        <w:rPr>
          <w:noProof/>
          <w:szCs w:val="24"/>
        </w:rPr>
        <w:t>(Macdonald &amp; Group, 2015)</w:t>
      </w:r>
      <w:r w:rsidRPr="000F5D9D">
        <w:rPr>
          <w:szCs w:val="24"/>
        </w:rPr>
        <w:fldChar w:fldCharType="end"/>
      </w:r>
      <w:r w:rsidRPr="000F5D9D">
        <w:rPr>
          <w:szCs w:val="24"/>
        </w:rPr>
        <w:t>. The conceptual models have been considered and evaluated for flexibility and global applicability. These factors were considered and tested for possible use in facilitating the establishment of vaccine hesitancy indicators survey questions and interventions at both international and local level. For this study only</w:t>
      </w:r>
      <w:r w:rsidR="00366E94">
        <w:rPr>
          <w:szCs w:val="24"/>
        </w:rPr>
        <w:t xml:space="preserve"> one </w:t>
      </w:r>
      <w:r w:rsidRPr="000F5D9D">
        <w:rPr>
          <w:szCs w:val="24"/>
        </w:rPr>
        <w:t xml:space="preserve">conceptual model will be highlighted - The “3 Cs” model. This model was chosen because it was considered to be the most readily interpreted, furthermore the aspects have been integrated into the definition of VH. The "3 Cs" model was first developed by the WHO EURO Vaccine Communications Working Group in 2011. It emphasizes three categories: complacency, comfort and trust. </w:t>
      </w:r>
    </w:p>
    <w:p w14:paraId="11B435A8" w14:textId="73E135C9" w:rsidR="000F5D9D" w:rsidRPr="000F5D9D" w:rsidRDefault="00366E94" w:rsidP="00366E94">
      <w:pPr>
        <w:spacing w:line="360" w:lineRule="auto"/>
        <w:ind w:left="851"/>
        <w:jc w:val="center"/>
        <w:rPr>
          <w:szCs w:val="24"/>
          <w:highlight w:val="lightGray"/>
        </w:rPr>
      </w:pPr>
      <w:r w:rsidRPr="000F5D9D">
        <w:rPr>
          <w:noProof/>
          <w:szCs w:val="24"/>
        </w:rPr>
        <w:drawing>
          <wp:inline distT="0" distB="0" distL="0" distR="0" wp14:anchorId="21D95030" wp14:editId="28E61822">
            <wp:extent cx="2825750" cy="2543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_9ef90835-7462-43a8-95cd-fb8854d8089b.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37719" cy="2553947"/>
                    </a:xfrm>
                    <a:prstGeom prst="rect">
                      <a:avLst/>
                    </a:prstGeom>
                  </pic:spPr>
                </pic:pic>
              </a:graphicData>
            </a:graphic>
          </wp:inline>
        </w:drawing>
      </w:r>
    </w:p>
    <w:p w14:paraId="1268596C" w14:textId="77777777" w:rsidR="000F5D9D" w:rsidRPr="000F5D9D" w:rsidRDefault="000F5D9D" w:rsidP="00E22C20">
      <w:pPr>
        <w:spacing w:line="360" w:lineRule="auto"/>
        <w:ind w:left="851"/>
        <w:jc w:val="both"/>
        <w:rPr>
          <w:szCs w:val="24"/>
        </w:rPr>
      </w:pPr>
      <w:r w:rsidRPr="000F5D9D">
        <w:rPr>
          <w:szCs w:val="24"/>
        </w:rPr>
        <w:t>Figure 2.5: Confidence, Complacency, Convenience Model of Vaccine Hesitancy</w:t>
      </w:r>
    </w:p>
    <w:p w14:paraId="2E31038D" w14:textId="30D3C858" w:rsidR="000F5D9D" w:rsidRDefault="00366E94" w:rsidP="00366E94">
      <w:pPr>
        <w:spacing w:line="360" w:lineRule="auto"/>
        <w:ind w:left="720"/>
        <w:jc w:val="both"/>
        <w:rPr>
          <w:szCs w:val="24"/>
        </w:rPr>
      </w:pPr>
      <w:r>
        <w:rPr>
          <w:szCs w:val="24"/>
        </w:rPr>
        <w:lastRenderedPageBreak/>
        <w:t xml:space="preserve">Further </w:t>
      </w:r>
      <w:proofErr w:type="spellStart"/>
      <w:r>
        <w:rPr>
          <w:szCs w:val="24"/>
        </w:rPr>
        <w:t>explaination</w:t>
      </w:r>
      <w:proofErr w:type="spellEnd"/>
      <w:r>
        <w:rPr>
          <w:szCs w:val="24"/>
        </w:rPr>
        <w:t xml:space="preserve"> on the </w:t>
      </w:r>
      <w:r w:rsidR="000F5D9D" w:rsidRPr="000F5D9D">
        <w:rPr>
          <w:szCs w:val="24"/>
        </w:rPr>
        <w:t>“3 Cs” model</w:t>
      </w:r>
      <w:r>
        <w:rPr>
          <w:szCs w:val="24"/>
        </w:rPr>
        <w:t xml:space="preserve"> </w:t>
      </w:r>
      <w:proofErr w:type="gramStart"/>
      <w:r>
        <w:rPr>
          <w:szCs w:val="24"/>
        </w:rPr>
        <w:t>are</w:t>
      </w:r>
      <w:proofErr w:type="gramEnd"/>
      <w:r>
        <w:rPr>
          <w:szCs w:val="24"/>
        </w:rPr>
        <w:t xml:space="preserve"> described below:</w:t>
      </w:r>
    </w:p>
    <w:tbl>
      <w:tblPr>
        <w:tblStyle w:val="TableGrid"/>
        <w:tblpPr w:leftFromText="180" w:rightFromText="180" w:vertAnchor="text" w:horzAnchor="margin" w:tblpX="704" w:tblpY="400"/>
        <w:tblW w:w="0" w:type="auto"/>
        <w:tblLook w:val="04A0" w:firstRow="1" w:lastRow="0" w:firstColumn="1" w:lastColumn="0" w:noHBand="0" w:noVBand="1"/>
      </w:tblPr>
      <w:tblGrid>
        <w:gridCol w:w="1536"/>
        <w:gridCol w:w="6535"/>
      </w:tblGrid>
      <w:tr w:rsidR="00366E94" w14:paraId="28C4D6F9" w14:textId="77777777" w:rsidTr="00366E94">
        <w:tc>
          <w:tcPr>
            <w:tcW w:w="1418" w:type="dxa"/>
          </w:tcPr>
          <w:p w14:paraId="317B0E1E" w14:textId="1474DE67" w:rsidR="00366E94" w:rsidRDefault="00366E94" w:rsidP="00366E94">
            <w:pPr>
              <w:spacing w:line="360" w:lineRule="auto"/>
              <w:jc w:val="both"/>
              <w:rPr>
                <w:szCs w:val="24"/>
              </w:rPr>
            </w:pPr>
            <w:r>
              <w:rPr>
                <w:szCs w:val="24"/>
              </w:rPr>
              <w:t xml:space="preserve">Confidence </w:t>
            </w:r>
          </w:p>
        </w:tc>
        <w:tc>
          <w:tcPr>
            <w:tcW w:w="6535" w:type="dxa"/>
          </w:tcPr>
          <w:p w14:paraId="76202B39" w14:textId="785C0DC0" w:rsidR="00366E94" w:rsidRDefault="00366E94" w:rsidP="00366E94">
            <w:pPr>
              <w:spacing w:line="360" w:lineRule="auto"/>
              <w:jc w:val="both"/>
              <w:rPr>
                <w:szCs w:val="24"/>
              </w:rPr>
            </w:pPr>
            <w:r>
              <w:rPr>
                <w:szCs w:val="24"/>
              </w:rPr>
              <w:t>Trust in:</w:t>
            </w:r>
          </w:p>
          <w:p w14:paraId="4B271E5F" w14:textId="77777777" w:rsidR="00366E94" w:rsidRPr="00366E94" w:rsidRDefault="00366E94" w:rsidP="00F24855">
            <w:pPr>
              <w:pStyle w:val="ListParagraph"/>
              <w:numPr>
                <w:ilvl w:val="0"/>
                <w:numId w:val="10"/>
              </w:numPr>
              <w:spacing w:line="360" w:lineRule="auto"/>
              <w:jc w:val="both"/>
              <w:rPr>
                <w:szCs w:val="24"/>
              </w:rPr>
            </w:pPr>
            <w:r w:rsidRPr="00366E94">
              <w:rPr>
                <w:szCs w:val="24"/>
              </w:rPr>
              <w:t>The effectiveness and safety of vaccines</w:t>
            </w:r>
          </w:p>
          <w:p w14:paraId="36C4F54F" w14:textId="77777777" w:rsidR="00366E94" w:rsidRPr="00366E94" w:rsidRDefault="00366E94" w:rsidP="00F24855">
            <w:pPr>
              <w:pStyle w:val="ListParagraph"/>
              <w:numPr>
                <w:ilvl w:val="0"/>
                <w:numId w:val="10"/>
              </w:numPr>
              <w:spacing w:line="360" w:lineRule="auto"/>
              <w:jc w:val="both"/>
              <w:rPr>
                <w:szCs w:val="24"/>
              </w:rPr>
            </w:pPr>
            <w:r w:rsidRPr="00366E94">
              <w:rPr>
                <w:szCs w:val="24"/>
              </w:rPr>
              <w:t xml:space="preserve">The system that delivers them, including the reliability and competence of the health services and health professionals and </w:t>
            </w:r>
          </w:p>
          <w:p w14:paraId="58D970AF" w14:textId="6FFA820D" w:rsidR="00366E94" w:rsidRPr="00366E94" w:rsidRDefault="00366E94" w:rsidP="00F24855">
            <w:pPr>
              <w:pStyle w:val="ListParagraph"/>
              <w:numPr>
                <w:ilvl w:val="0"/>
                <w:numId w:val="10"/>
              </w:numPr>
              <w:spacing w:line="360" w:lineRule="auto"/>
              <w:jc w:val="both"/>
              <w:rPr>
                <w:szCs w:val="24"/>
              </w:rPr>
            </w:pPr>
            <w:r w:rsidRPr="00366E94">
              <w:rPr>
                <w:szCs w:val="24"/>
              </w:rPr>
              <w:t>The motivations of policy-makers who decide on the needed vaccines</w:t>
            </w:r>
          </w:p>
        </w:tc>
      </w:tr>
      <w:tr w:rsidR="00366E94" w14:paraId="3FDBA198" w14:textId="77777777" w:rsidTr="00366E94">
        <w:tc>
          <w:tcPr>
            <w:tcW w:w="1418" w:type="dxa"/>
          </w:tcPr>
          <w:p w14:paraId="2277C96D" w14:textId="41E31822" w:rsidR="00366E94" w:rsidRDefault="00366E94" w:rsidP="00366E94">
            <w:pPr>
              <w:spacing w:line="360" w:lineRule="auto"/>
              <w:jc w:val="both"/>
              <w:rPr>
                <w:szCs w:val="24"/>
              </w:rPr>
            </w:pPr>
            <w:r>
              <w:rPr>
                <w:szCs w:val="24"/>
              </w:rPr>
              <w:t>Complacency</w:t>
            </w:r>
          </w:p>
        </w:tc>
        <w:tc>
          <w:tcPr>
            <w:tcW w:w="6535" w:type="dxa"/>
          </w:tcPr>
          <w:p w14:paraId="67951883" w14:textId="77777777" w:rsidR="0054719C" w:rsidRDefault="00366E94" w:rsidP="00F24855">
            <w:pPr>
              <w:pStyle w:val="ListParagraph"/>
              <w:numPr>
                <w:ilvl w:val="0"/>
                <w:numId w:val="16"/>
              </w:numPr>
              <w:spacing w:line="360" w:lineRule="auto"/>
              <w:jc w:val="both"/>
              <w:rPr>
                <w:szCs w:val="24"/>
              </w:rPr>
            </w:pPr>
            <w:r w:rsidRPr="0054719C">
              <w:rPr>
                <w:szCs w:val="24"/>
              </w:rPr>
              <w:t>Vaccination is a victim of its own success as individuals weigh risks of vaccines against risks of diseases that are no longer common resulting in complacency and further hesitancy.</w:t>
            </w:r>
          </w:p>
          <w:p w14:paraId="56C89962" w14:textId="7E85A197" w:rsidR="00366E94" w:rsidRPr="0054719C" w:rsidRDefault="00366E94" w:rsidP="00F24855">
            <w:pPr>
              <w:pStyle w:val="ListParagraph"/>
              <w:numPr>
                <w:ilvl w:val="0"/>
                <w:numId w:val="16"/>
              </w:numPr>
              <w:spacing w:line="360" w:lineRule="auto"/>
              <w:jc w:val="both"/>
              <w:rPr>
                <w:szCs w:val="24"/>
              </w:rPr>
            </w:pPr>
            <w:r w:rsidRPr="0054719C">
              <w:rPr>
                <w:szCs w:val="24"/>
              </w:rPr>
              <w:t xml:space="preserve">Self-efficacy (the self-perceived or real ability of an individual to take action to vaccinate) also influences the degree to which complacency determines hesitancy.  </w:t>
            </w:r>
          </w:p>
          <w:p w14:paraId="68773290" w14:textId="77777777" w:rsidR="00366E94" w:rsidRDefault="00366E94" w:rsidP="00366E94">
            <w:pPr>
              <w:spacing w:line="360" w:lineRule="auto"/>
              <w:jc w:val="both"/>
              <w:rPr>
                <w:szCs w:val="24"/>
              </w:rPr>
            </w:pPr>
          </w:p>
        </w:tc>
      </w:tr>
      <w:tr w:rsidR="00366E94" w14:paraId="000A25EA" w14:textId="77777777" w:rsidTr="0054719C">
        <w:trPr>
          <w:trHeight w:val="4136"/>
        </w:trPr>
        <w:tc>
          <w:tcPr>
            <w:tcW w:w="1418" w:type="dxa"/>
          </w:tcPr>
          <w:p w14:paraId="67D3118B" w14:textId="37C0D016" w:rsidR="00366E94" w:rsidRDefault="00366E94" w:rsidP="00366E94">
            <w:pPr>
              <w:spacing w:line="360" w:lineRule="auto"/>
              <w:jc w:val="both"/>
              <w:rPr>
                <w:szCs w:val="24"/>
              </w:rPr>
            </w:pPr>
            <w:r>
              <w:rPr>
                <w:szCs w:val="24"/>
              </w:rPr>
              <w:t xml:space="preserve">Convenience </w:t>
            </w:r>
          </w:p>
        </w:tc>
        <w:tc>
          <w:tcPr>
            <w:tcW w:w="6535" w:type="dxa"/>
          </w:tcPr>
          <w:p w14:paraId="2F5DF2F4" w14:textId="3FA15562" w:rsidR="0054719C" w:rsidRDefault="0054719C" w:rsidP="00F24855">
            <w:pPr>
              <w:pStyle w:val="ListParagraph"/>
              <w:numPr>
                <w:ilvl w:val="0"/>
                <w:numId w:val="17"/>
              </w:numPr>
              <w:spacing w:line="360" w:lineRule="auto"/>
              <w:jc w:val="both"/>
              <w:rPr>
                <w:szCs w:val="24"/>
              </w:rPr>
            </w:pPr>
            <w:r>
              <w:rPr>
                <w:szCs w:val="24"/>
              </w:rPr>
              <w:t>M</w:t>
            </w:r>
            <w:r w:rsidR="00366E94" w:rsidRPr="0054719C">
              <w:rPr>
                <w:szCs w:val="24"/>
              </w:rPr>
              <w:t xml:space="preserve">easured by the degree to which physical accessibility, feasibility and willingness to spend, geographical availability, capacity to understand (linguistic and health literacy) and availability of immunization services determine the uptake of vaccines. </w:t>
            </w:r>
          </w:p>
          <w:p w14:paraId="7AFB9FCD" w14:textId="4BE1C561" w:rsidR="00366E94" w:rsidRPr="0054719C" w:rsidRDefault="00366E94" w:rsidP="00F24855">
            <w:pPr>
              <w:pStyle w:val="ListParagraph"/>
              <w:numPr>
                <w:ilvl w:val="0"/>
                <w:numId w:val="17"/>
              </w:numPr>
              <w:spacing w:line="360" w:lineRule="auto"/>
              <w:jc w:val="both"/>
              <w:rPr>
                <w:szCs w:val="24"/>
              </w:rPr>
            </w:pPr>
            <w:r w:rsidRPr="0054719C">
              <w:rPr>
                <w:szCs w:val="24"/>
              </w:rPr>
              <w:t>The service quality (real and/or perceived) and the magnitude to which vaccination services are provided at a place and time and in a cultural background that is practical and easily accessible often affect the decision to be vaccinated and could lead to vaccine hesitancy.</w:t>
            </w:r>
          </w:p>
          <w:p w14:paraId="2754ECB8" w14:textId="77777777" w:rsidR="00366E94" w:rsidRDefault="00366E94" w:rsidP="00366E94">
            <w:pPr>
              <w:spacing w:line="360" w:lineRule="auto"/>
              <w:jc w:val="both"/>
              <w:rPr>
                <w:szCs w:val="24"/>
              </w:rPr>
            </w:pPr>
          </w:p>
        </w:tc>
      </w:tr>
    </w:tbl>
    <w:p w14:paraId="0052262F" w14:textId="148A4E27" w:rsidR="00366E94" w:rsidRDefault="00366E94" w:rsidP="00366E94">
      <w:pPr>
        <w:spacing w:line="360" w:lineRule="auto"/>
        <w:jc w:val="both"/>
        <w:rPr>
          <w:szCs w:val="24"/>
        </w:rPr>
      </w:pPr>
    </w:p>
    <w:p w14:paraId="18E4EA7D" w14:textId="2104795B" w:rsidR="00366E94" w:rsidRDefault="00366E94" w:rsidP="00366E94">
      <w:pPr>
        <w:spacing w:line="360" w:lineRule="auto"/>
        <w:jc w:val="both"/>
        <w:rPr>
          <w:szCs w:val="24"/>
        </w:rPr>
      </w:pPr>
    </w:p>
    <w:p w14:paraId="43B05786" w14:textId="5F1A83BF" w:rsidR="00366E94" w:rsidRDefault="00366E94" w:rsidP="00366E94">
      <w:pPr>
        <w:spacing w:line="360" w:lineRule="auto"/>
        <w:jc w:val="both"/>
        <w:rPr>
          <w:szCs w:val="24"/>
        </w:rPr>
      </w:pPr>
    </w:p>
    <w:p w14:paraId="173D2EF3" w14:textId="213EDDB9" w:rsidR="00366E94" w:rsidRDefault="00366E94" w:rsidP="00366E94">
      <w:pPr>
        <w:spacing w:line="360" w:lineRule="auto"/>
        <w:jc w:val="both"/>
        <w:rPr>
          <w:szCs w:val="24"/>
        </w:rPr>
      </w:pPr>
    </w:p>
    <w:p w14:paraId="03CCB397" w14:textId="5F124FDE" w:rsidR="00366E94" w:rsidRDefault="00366E94" w:rsidP="00366E94">
      <w:pPr>
        <w:spacing w:line="360" w:lineRule="auto"/>
        <w:jc w:val="both"/>
        <w:rPr>
          <w:szCs w:val="24"/>
        </w:rPr>
      </w:pPr>
    </w:p>
    <w:p w14:paraId="5C8ED156" w14:textId="6E01BA57" w:rsidR="00366E94" w:rsidRDefault="00366E94" w:rsidP="00366E94">
      <w:pPr>
        <w:spacing w:line="360" w:lineRule="auto"/>
        <w:jc w:val="both"/>
        <w:rPr>
          <w:szCs w:val="24"/>
        </w:rPr>
      </w:pPr>
    </w:p>
    <w:p w14:paraId="53567D3C" w14:textId="380F5AB6" w:rsidR="00366E94" w:rsidRDefault="00366E94" w:rsidP="00366E94">
      <w:pPr>
        <w:spacing w:line="360" w:lineRule="auto"/>
        <w:jc w:val="both"/>
        <w:rPr>
          <w:szCs w:val="24"/>
        </w:rPr>
      </w:pPr>
    </w:p>
    <w:p w14:paraId="4017D1E2" w14:textId="6CDB95CD" w:rsidR="00366E94" w:rsidRDefault="00366E94" w:rsidP="00366E94">
      <w:pPr>
        <w:spacing w:line="360" w:lineRule="auto"/>
        <w:jc w:val="both"/>
        <w:rPr>
          <w:szCs w:val="24"/>
        </w:rPr>
      </w:pPr>
    </w:p>
    <w:p w14:paraId="3F0EDD59" w14:textId="384E6D2F" w:rsidR="00366E94" w:rsidRDefault="00366E94" w:rsidP="00366E94">
      <w:pPr>
        <w:spacing w:line="360" w:lineRule="auto"/>
        <w:jc w:val="both"/>
        <w:rPr>
          <w:szCs w:val="24"/>
        </w:rPr>
      </w:pPr>
    </w:p>
    <w:p w14:paraId="33BF7359" w14:textId="52B8FDEA" w:rsidR="00366E94" w:rsidRDefault="00366E94" w:rsidP="00366E94">
      <w:pPr>
        <w:spacing w:line="360" w:lineRule="auto"/>
        <w:jc w:val="both"/>
        <w:rPr>
          <w:szCs w:val="24"/>
        </w:rPr>
      </w:pPr>
    </w:p>
    <w:p w14:paraId="1DF1D905" w14:textId="621F5494" w:rsidR="00366E94" w:rsidRDefault="00366E94" w:rsidP="00366E94">
      <w:pPr>
        <w:spacing w:line="360" w:lineRule="auto"/>
        <w:jc w:val="both"/>
        <w:rPr>
          <w:szCs w:val="24"/>
        </w:rPr>
      </w:pPr>
    </w:p>
    <w:p w14:paraId="66FCA1B5" w14:textId="04D484D5" w:rsidR="00366E94" w:rsidRDefault="00366E94" w:rsidP="00366E94">
      <w:pPr>
        <w:spacing w:line="360" w:lineRule="auto"/>
        <w:jc w:val="both"/>
        <w:rPr>
          <w:szCs w:val="24"/>
        </w:rPr>
      </w:pPr>
    </w:p>
    <w:p w14:paraId="67F89E51" w14:textId="47DE7972" w:rsidR="00366E94" w:rsidRDefault="00366E94" w:rsidP="00366E94">
      <w:pPr>
        <w:spacing w:line="360" w:lineRule="auto"/>
        <w:jc w:val="both"/>
        <w:rPr>
          <w:szCs w:val="24"/>
        </w:rPr>
      </w:pPr>
    </w:p>
    <w:p w14:paraId="3CE5D318" w14:textId="57E020E6" w:rsidR="00366E94" w:rsidRDefault="00366E94" w:rsidP="00366E94">
      <w:pPr>
        <w:spacing w:line="360" w:lineRule="auto"/>
        <w:jc w:val="both"/>
        <w:rPr>
          <w:szCs w:val="24"/>
        </w:rPr>
      </w:pPr>
    </w:p>
    <w:p w14:paraId="4C5B07F2" w14:textId="5B4CBA6F" w:rsidR="00366E94" w:rsidRDefault="00366E94" w:rsidP="00366E94">
      <w:pPr>
        <w:spacing w:line="360" w:lineRule="auto"/>
        <w:jc w:val="both"/>
        <w:rPr>
          <w:szCs w:val="24"/>
        </w:rPr>
      </w:pPr>
    </w:p>
    <w:p w14:paraId="29992744" w14:textId="7384279A" w:rsidR="00366E94" w:rsidRDefault="00366E94" w:rsidP="00366E94">
      <w:pPr>
        <w:spacing w:line="360" w:lineRule="auto"/>
        <w:jc w:val="both"/>
        <w:rPr>
          <w:szCs w:val="24"/>
        </w:rPr>
      </w:pPr>
    </w:p>
    <w:p w14:paraId="2FF03F39" w14:textId="2EB64659" w:rsidR="00366E94" w:rsidRDefault="00366E94" w:rsidP="00366E94">
      <w:pPr>
        <w:spacing w:line="360" w:lineRule="auto"/>
        <w:jc w:val="both"/>
        <w:rPr>
          <w:szCs w:val="24"/>
        </w:rPr>
      </w:pPr>
    </w:p>
    <w:p w14:paraId="21B5999A" w14:textId="4ED2778B" w:rsidR="00366E94" w:rsidRDefault="00366E94" w:rsidP="00366E94">
      <w:pPr>
        <w:spacing w:line="360" w:lineRule="auto"/>
        <w:jc w:val="both"/>
        <w:rPr>
          <w:szCs w:val="24"/>
        </w:rPr>
      </w:pPr>
    </w:p>
    <w:p w14:paraId="7B40FE16" w14:textId="07609618" w:rsidR="00366E94" w:rsidRDefault="00366E94" w:rsidP="00366E94">
      <w:pPr>
        <w:spacing w:line="360" w:lineRule="auto"/>
        <w:jc w:val="both"/>
        <w:rPr>
          <w:szCs w:val="24"/>
        </w:rPr>
      </w:pPr>
    </w:p>
    <w:p w14:paraId="64272451" w14:textId="53C48BFF" w:rsidR="000F5D9D" w:rsidRPr="000F5D9D" w:rsidRDefault="000F5D9D" w:rsidP="00366E94">
      <w:pPr>
        <w:spacing w:line="360" w:lineRule="auto"/>
        <w:ind w:left="720" w:firstLine="720"/>
        <w:jc w:val="both"/>
        <w:rPr>
          <w:rFonts w:eastAsia="Times New Roman"/>
          <w:szCs w:val="24"/>
          <w:lang w:eastAsia="en-MY"/>
        </w:rPr>
      </w:pPr>
      <w:r w:rsidRPr="000F5D9D">
        <w:rPr>
          <w:szCs w:val="24"/>
        </w:rPr>
        <w:t xml:space="preserve">Evaluation of these models highlighted the complexity of vaccine hesitancy and is not influenced by a simple set of individual factors. </w:t>
      </w:r>
    </w:p>
    <w:p w14:paraId="4CA91A41" w14:textId="77777777" w:rsidR="000F5D9D" w:rsidRPr="000F5D9D" w:rsidRDefault="000F5D9D" w:rsidP="00E22C20">
      <w:pPr>
        <w:spacing w:line="360" w:lineRule="auto"/>
        <w:ind w:left="851"/>
        <w:jc w:val="both"/>
        <w:rPr>
          <w:szCs w:val="24"/>
        </w:rPr>
      </w:pPr>
    </w:p>
    <w:p w14:paraId="4BCEFE40" w14:textId="77777777" w:rsidR="000F5D9D" w:rsidRPr="000F5D9D" w:rsidRDefault="000F5D9D" w:rsidP="0054719C">
      <w:pPr>
        <w:spacing w:line="360" w:lineRule="auto"/>
        <w:jc w:val="both"/>
        <w:rPr>
          <w:szCs w:val="24"/>
        </w:rPr>
        <w:sectPr w:rsidR="000F5D9D" w:rsidRPr="000F5D9D" w:rsidSect="00E22C20">
          <w:pgSz w:w="12240" w:h="15840" w:code="1"/>
          <w:pgMar w:top="1418" w:right="1418" w:bottom="1418" w:left="2155" w:header="720" w:footer="720" w:gutter="0"/>
          <w:pgNumType w:start="1"/>
          <w:cols w:space="720"/>
          <w:docGrid w:linePitch="360"/>
        </w:sectPr>
      </w:pPr>
    </w:p>
    <w:p w14:paraId="5EFCC82C" w14:textId="67CB582F" w:rsidR="000F5D9D" w:rsidRPr="000F5D9D" w:rsidRDefault="000F5D9D" w:rsidP="00A01740">
      <w:pPr>
        <w:keepNext/>
        <w:keepLines/>
        <w:spacing w:before="40" w:after="0" w:line="360" w:lineRule="auto"/>
        <w:ind w:left="1440"/>
        <w:jc w:val="both"/>
        <w:outlineLvl w:val="1"/>
        <w:rPr>
          <w:rFonts w:eastAsiaTheme="majorEastAsia"/>
          <w:b/>
          <w:bCs/>
          <w:szCs w:val="24"/>
        </w:rPr>
      </w:pPr>
      <w:bookmarkStart w:id="18" w:name="_Toc31400958"/>
      <w:r w:rsidRPr="000F5D9D">
        <w:rPr>
          <w:rFonts w:eastAsiaTheme="majorEastAsia"/>
          <w:b/>
          <w:bCs/>
          <w:szCs w:val="24"/>
        </w:rPr>
        <w:lastRenderedPageBreak/>
        <w:t xml:space="preserve">2.8 The Conceptual Frameworks of factors associated with vaccine hesitancy among parents of </w:t>
      </w:r>
      <w:r w:rsidR="0054719C">
        <w:rPr>
          <w:rFonts w:eastAsiaTheme="majorEastAsia"/>
          <w:b/>
          <w:bCs/>
          <w:szCs w:val="24"/>
        </w:rPr>
        <w:t>children</w:t>
      </w:r>
      <w:r w:rsidRPr="000F5D9D">
        <w:rPr>
          <w:rFonts w:eastAsiaTheme="majorEastAsia"/>
          <w:b/>
          <w:bCs/>
          <w:szCs w:val="24"/>
        </w:rPr>
        <w:t xml:space="preserve"> with autism.</w:t>
      </w:r>
      <w:bookmarkEnd w:id="18"/>
    </w:p>
    <w:p w14:paraId="259887F6" w14:textId="77777777" w:rsidR="000F5D9D" w:rsidRDefault="000F5D9D" w:rsidP="00A01740">
      <w:pPr>
        <w:spacing w:line="360" w:lineRule="auto"/>
        <w:ind w:left="1440"/>
        <w:jc w:val="both"/>
        <w:rPr>
          <w:szCs w:val="24"/>
        </w:rPr>
      </w:pPr>
    </w:p>
    <w:p w14:paraId="2298218B" w14:textId="15525AEE" w:rsidR="000F5D9D" w:rsidRPr="000F5D9D" w:rsidRDefault="000F5D9D" w:rsidP="00A01740">
      <w:pPr>
        <w:spacing w:line="360" w:lineRule="auto"/>
        <w:ind w:left="1440" w:firstLine="720"/>
        <w:jc w:val="both"/>
        <w:rPr>
          <w:szCs w:val="24"/>
        </w:rPr>
      </w:pPr>
      <w:r w:rsidRPr="000F5D9D">
        <w:rPr>
          <w:szCs w:val="24"/>
        </w:rPr>
        <w:t xml:space="preserve">In summary from literature review above, the main categories of factors associated with vaccine hesitancy among parents of a child with autism can be divided into: </w:t>
      </w:r>
      <w:r w:rsidR="00A660A1">
        <w:rPr>
          <w:szCs w:val="24"/>
        </w:rPr>
        <w:t>three</w:t>
      </w:r>
      <w:r w:rsidRPr="000F5D9D">
        <w:rPr>
          <w:szCs w:val="24"/>
        </w:rPr>
        <w:t xml:space="preserve"> main domains i.e. individual</w:t>
      </w:r>
      <w:r w:rsidR="00A660A1">
        <w:rPr>
          <w:szCs w:val="24"/>
        </w:rPr>
        <w:t xml:space="preserve">, </w:t>
      </w:r>
      <w:r w:rsidRPr="000F5D9D">
        <w:rPr>
          <w:szCs w:val="24"/>
        </w:rPr>
        <w:t>contextual</w:t>
      </w:r>
      <w:r w:rsidR="00A660A1">
        <w:rPr>
          <w:szCs w:val="24"/>
        </w:rPr>
        <w:t xml:space="preserve"> and vaccine and vaccine specific issue</w:t>
      </w:r>
      <w:r w:rsidRPr="000F5D9D">
        <w:rPr>
          <w:szCs w:val="24"/>
        </w:rPr>
        <w:t xml:space="preserve"> domains. These have formed the conceptual framework of my study as shown in Figure 2.6. For the conceptual framework of this study, the major variables are vaccine hesitancy which will</w:t>
      </w:r>
      <w:r>
        <w:rPr>
          <w:szCs w:val="24"/>
        </w:rPr>
        <w:t xml:space="preserve"> be</w:t>
      </w:r>
      <w:r w:rsidRPr="000F5D9D">
        <w:rPr>
          <w:szCs w:val="24"/>
        </w:rPr>
        <w:t xml:space="preserve"> determine</w:t>
      </w:r>
      <w:r>
        <w:rPr>
          <w:szCs w:val="24"/>
        </w:rPr>
        <w:t xml:space="preserve"> by</w:t>
      </w:r>
      <w:r w:rsidRPr="000F5D9D">
        <w:rPr>
          <w:szCs w:val="24"/>
        </w:rPr>
        <w:t xml:space="preserve"> the scoring of the PACV-Malay questionnaire. Its associated factors including the two important domains relatively identifiable and measurable. </w:t>
      </w:r>
    </w:p>
    <w:p w14:paraId="5CF5E25D" w14:textId="414B9801" w:rsidR="000F5D9D" w:rsidRDefault="000F5D9D" w:rsidP="00A01740">
      <w:pPr>
        <w:spacing w:line="360" w:lineRule="auto"/>
        <w:ind w:left="1440"/>
        <w:jc w:val="both"/>
      </w:pPr>
      <w:r w:rsidRPr="000F5D9D">
        <w:rPr>
          <w:szCs w:val="24"/>
        </w:rPr>
        <w:t>Some of the factors in the domain were not included in the study as these would require translated and validated measurement tools. Therefore, they are beyond the scope of this study</w:t>
      </w:r>
    </w:p>
    <w:p w14:paraId="12CBE9B6" w14:textId="33D1A44A" w:rsidR="000F5D9D" w:rsidRDefault="000F5D9D" w:rsidP="00E22C20">
      <w:pPr>
        <w:spacing w:line="360" w:lineRule="auto"/>
        <w:ind w:left="851"/>
        <w:jc w:val="both"/>
      </w:pPr>
    </w:p>
    <w:p w14:paraId="0C987511" w14:textId="4FCFB9E8" w:rsidR="000F5D9D" w:rsidRDefault="000F5D9D" w:rsidP="00E22C20">
      <w:pPr>
        <w:spacing w:line="360" w:lineRule="auto"/>
        <w:ind w:left="851"/>
        <w:jc w:val="both"/>
      </w:pPr>
    </w:p>
    <w:p w14:paraId="6F1BE3FA" w14:textId="1C05E0D6" w:rsidR="000F5D9D" w:rsidRDefault="000F5D9D" w:rsidP="00E22C20">
      <w:pPr>
        <w:spacing w:line="360" w:lineRule="auto"/>
        <w:ind w:left="851"/>
        <w:jc w:val="both"/>
      </w:pPr>
    </w:p>
    <w:p w14:paraId="288F44B1" w14:textId="1B4AF0B4" w:rsidR="000F5D9D" w:rsidRDefault="000F5D9D" w:rsidP="00E22C20">
      <w:pPr>
        <w:spacing w:line="360" w:lineRule="auto"/>
        <w:ind w:left="851"/>
        <w:jc w:val="both"/>
      </w:pPr>
    </w:p>
    <w:p w14:paraId="2500D7EC" w14:textId="2C684ADB" w:rsidR="000F5D9D" w:rsidRDefault="000F5D9D" w:rsidP="00E22C20">
      <w:pPr>
        <w:spacing w:line="360" w:lineRule="auto"/>
        <w:ind w:left="851"/>
        <w:jc w:val="both"/>
      </w:pPr>
    </w:p>
    <w:p w14:paraId="380C9065" w14:textId="550C4E8D" w:rsidR="000F5D9D" w:rsidRDefault="000F5D9D" w:rsidP="00E22C20">
      <w:pPr>
        <w:spacing w:line="360" w:lineRule="auto"/>
        <w:ind w:left="851"/>
        <w:jc w:val="both"/>
      </w:pPr>
    </w:p>
    <w:p w14:paraId="542E6B96" w14:textId="13E236B5" w:rsidR="000F5D9D" w:rsidRDefault="000F5D9D" w:rsidP="00E22C20">
      <w:pPr>
        <w:spacing w:line="360" w:lineRule="auto"/>
        <w:ind w:left="851"/>
        <w:jc w:val="both"/>
      </w:pPr>
    </w:p>
    <w:p w14:paraId="68596FBB" w14:textId="4A2038B1" w:rsidR="000F5D9D" w:rsidRDefault="000F5D9D" w:rsidP="00E22C20">
      <w:pPr>
        <w:spacing w:line="360" w:lineRule="auto"/>
        <w:ind w:left="851"/>
        <w:jc w:val="both"/>
      </w:pPr>
    </w:p>
    <w:p w14:paraId="512BBD62" w14:textId="160D45B3" w:rsidR="000F5D9D" w:rsidRDefault="000F5D9D" w:rsidP="00E22C20">
      <w:pPr>
        <w:spacing w:line="360" w:lineRule="auto"/>
        <w:ind w:left="851"/>
        <w:jc w:val="both"/>
      </w:pPr>
    </w:p>
    <w:p w14:paraId="1637A97D" w14:textId="706DE27F" w:rsidR="000F5D9D" w:rsidRDefault="000F5D9D" w:rsidP="00E22C20">
      <w:pPr>
        <w:spacing w:line="360" w:lineRule="auto"/>
        <w:ind w:left="851"/>
        <w:jc w:val="both"/>
      </w:pPr>
    </w:p>
    <w:p w14:paraId="429703EB" w14:textId="367E29DC" w:rsidR="000F5D9D" w:rsidRDefault="000F5D9D" w:rsidP="00E22C20">
      <w:pPr>
        <w:spacing w:line="360" w:lineRule="auto"/>
        <w:ind w:left="851"/>
        <w:jc w:val="both"/>
      </w:pPr>
    </w:p>
    <w:p w14:paraId="16652489" w14:textId="413769C5" w:rsidR="000F5D9D" w:rsidRDefault="000F5D9D" w:rsidP="00A660A1">
      <w:pPr>
        <w:spacing w:line="360" w:lineRule="auto"/>
        <w:jc w:val="both"/>
      </w:pPr>
    </w:p>
    <w:p w14:paraId="05E187C8" w14:textId="3822B5A2" w:rsidR="000F5D9D" w:rsidRDefault="000F5D9D" w:rsidP="00E22C20">
      <w:pPr>
        <w:spacing w:line="360" w:lineRule="auto"/>
        <w:ind w:left="851"/>
        <w:jc w:val="both"/>
      </w:pPr>
    </w:p>
    <w:p w14:paraId="301C1F1D" w14:textId="77777777" w:rsidR="000F5D9D" w:rsidRDefault="000F5D9D" w:rsidP="00A660A1">
      <w:pPr>
        <w:spacing w:line="360" w:lineRule="auto"/>
        <w:jc w:val="both"/>
        <w:sectPr w:rsidR="000F5D9D" w:rsidSect="000F5D9D">
          <w:pgSz w:w="11906" w:h="16838"/>
          <w:pgMar w:top="1440" w:right="1440" w:bottom="1440" w:left="1440" w:header="708" w:footer="708" w:gutter="0"/>
          <w:cols w:space="708"/>
          <w:docGrid w:linePitch="360"/>
        </w:sectPr>
      </w:pPr>
    </w:p>
    <w:p w14:paraId="07D4DEF0" w14:textId="0C7947C0" w:rsidR="000F5D9D" w:rsidRDefault="000F5D9D" w:rsidP="00A660A1">
      <w:pPr>
        <w:spacing w:line="360" w:lineRule="auto"/>
        <w:jc w:val="both"/>
      </w:pPr>
    </w:p>
    <w:p w14:paraId="23C24AD2" w14:textId="6FBD2B5C" w:rsidR="000F5D9D" w:rsidRDefault="000F5D9D" w:rsidP="00E22C20">
      <w:pPr>
        <w:spacing w:line="360" w:lineRule="auto"/>
        <w:ind w:left="851"/>
        <w:jc w:val="both"/>
      </w:pPr>
    </w:p>
    <w:p w14:paraId="473556CB" w14:textId="5BC5B64D" w:rsidR="000F5D9D" w:rsidRDefault="00A660A1" w:rsidP="00E22C20">
      <w:pPr>
        <w:spacing w:line="360" w:lineRule="auto"/>
        <w:ind w:left="851"/>
        <w:jc w:val="both"/>
      </w:pPr>
      <w:r>
        <w:rPr>
          <w:noProof/>
        </w:rPr>
        <w:drawing>
          <wp:inline distT="0" distB="0" distL="0" distR="0" wp14:anchorId="4AEF7CA4" wp14:editId="3357EFEF">
            <wp:extent cx="8362950" cy="4432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362950" cy="4432300"/>
                    </a:xfrm>
                    <a:prstGeom prst="rect">
                      <a:avLst/>
                    </a:prstGeom>
                    <a:noFill/>
                  </pic:spPr>
                </pic:pic>
              </a:graphicData>
            </a:graphic>
          </wp:inline>
        </w:drawing>
      </w:r>
    </w:p>
    <w:p w14:paraId="56EE4064" w14:textId="0D29205C" w:rsidR="000F5D9D" w:rsidRDefault="000F5D9D" w:rsidP="00E22C20">
      <w:pPr>
        <w:spacing w:line="360" w:lineRule="auto"/>
        <w:ind w:left="851"/>
        <w:jc w:val="both"/>
      </w:pPr>
    </w:p>
    <w:p w14:paraId="3345AA36" w14:textId="3D854EDF" w:rsidR="000F5D9D" w:rsidRDefault="000F5D9D" w:rsidP="00E22C20">
      <w:pPr>
        <w:spacing w:line="360" w:lineRule="auto"/>
        <w:ind w:left="851"/>
        <w:jc w:val="both"/>
        <w:sectPr w:rsidR="000F5D9D" w:rsidSect="000F5D9D">
          <w:pgSz w:w="16838" w:h="11906" w:orient="landscape"/>
          <w:pgMar w:top="1440" w:right="1440" w:bottom="1440" w:left="1440" w:header="708" w:footer="708" w:gutter="0"/>
          <w:cols w:space="708"/>
          <w:docGrid w:linePitch="360"/>
        </w:sectPr>
      </w:pPr>
    </w:p>
    <w:p w14:paraId="3F2B1C79" w14:textId="77777777" w:rsidR="000F5D9D" w:rsidRPr="000F5D9D" w:rsidRDefault="000F5D9D" w:rsidP="00E22C20">
      <w:pPr>
        <w:pStyle w:val="Heading1"/>
        <w:spacing w:line="360" w:lineRule="auto"/>
        <w:ind w:left="851"/>
        <w:jc w:val="center"/>
        <w:rPr>
          <w:rFonts w:ascii="Times New Roman" w:hAnsi="Times New Roman" w:cs="Times New Roman"/>
          <w:b/>
          <w:bCs/>
          <w:color w:val="auto"/>
          <w:sz w:val="24"/>
          <w:szCs w:val="24"/>
        </w:rPr>
      </w:pPr>
      <w:bookmarkStart w:id="19" w:name="_Toc31400959"/>
      <w:r w:rsidRPr="000F5D9D">
        <w:rPr>
          <w:rFonts w:ascii="Times New Roman" w:hAnsi="Times New Roman" w:cs="Times New Roman"/>
          <w:b/>
          <w:bCs/>
          <w:color w:val="auto"/>
          <w:sz w:val="24"/>
          <w:szCs w:val="24"/>
        </w:rPr>
        <w:lastRenderedPageBreak/>
        <w:t>CHAPTER THREE</w:t>
      </w:r>
      <w:bookmarkEnd w:id="19"/>
    </w:p>
    <w:p w14:paraId="73F03428" w14:textId="77777777" w:rsidR="000F5D9D" w:rsidRPr="000F5D9D" w:rsidRDefault="000F5D9D" w:rsidP="00E22C20">
      <w:pPr>
        <w:pStyle w:val="Heading1"/>
        <w:spacing w:line="360" w:lineRule="auto"/>
        <w:ind w:left="851"/>
        <w:jc w:val="both"/>
        <w:rPr>
          <w:rFonts w:ascii="Times New Roman" w:hAnsi="Times New Roman" w:cs="Times New Roman"/>
          <w:b/>
          <w:bCs/>
          <w:color w:val="auto"/>
          <w:sz w:val="24"/>
          <w:szCs w:val="24"/>
        </w:rPr>
      </w:pPr>
      <w:bookmarkStart w:id="20" w:name="_Toc31400960"/>
      <w:r w:rsidRPr="000F5D9D">
        <w:rPr>
          <w:rFonts w:ascii="Times New Roman" w:hAnsi="Times New Roman" w:cs="Times New Roman"/>
          <w:b/>
          <w:bCs/>
          <w:color w:val="auto"/>
          <w:sz w:val="24"/>
          <w:szCs w:val="24"/>
        </w:rPr>
        <w:t>RESEARCH METHODOLOGY</w:t>
      </w:r>
      <w:bookmarkEnd w:id="20"/>
    </w:p>
    <w:p w14:paraId="610DD971" w14:textId="77777777" w:rsidR="000F5D9D" w:rsidRPr="000F5D9D" w:rsidRDefault="000F5D9D" w:rsidP="00E22C20">
      <w:pPr>
        <w:spacing w:line="360" w:lineRule="auto"/>
        <w:ind w:left="851"/>
        <w:jc w:val="both"/>
        <w:rPr>
          <w:b/>
          <w:bCs/>
          <w:szCs w:val="24"/>
        </w:rPr>
      </w:pPr>
    </w:p>
    <w:p w14:paraId="6B5BA814" w14:textId="4FD684D1" w:rsidR="000F5D9D" w:rsidRPr="000F5D9D" w:rsidRDefault="000F5D9D" w:rsidP="00E22C20">
      <w:pPr>
        <w:pStyle w:val="Heading2"/>
        <w:spacing w:line="360" w:lineRule="auto"/>
        <w:ind w:left="851"/>
        <w:jc w:val="both"/>
        <w:rPr>
          <w:rFonts w:ascii="Times New Roman" w:hAnsi="Times New Roman" w:cs="Times New Roman"/>
          <w:b/>
          <w:bCs/>
          <w:color w:val="auto"/>
          <w:sz w:val="24"/>
          <w:szCs w:val="24"/>
        </w:rPr>
      </w:pPr>
      <w:bookmarkStart w:id="21" w:name="_Toc31400961"/>
      <w:r w:rsidRPr="000F5D9D">
        <w:rPr>
          <w:rFonts w:ascii="Times New Roman" w:hAnsi="Times New Roman" w:cs="Times New Roman"/>
          <w:b/>
          <w:bCs/>
          <w:color w:val="auto"/>
          <w:sz w:val="24"/>
          <w:szCs w:val="24"/>
        </w:rPr>
        <w:t>3.1 Study Design</w:t>
      </w:r>
      <w:bookmarkEnd w:id="21"/>
      <w:r w:rsidRPr="000F5D9D">
        <w:rPr>
          <w:rFonts w:ascii="Times New Roman" w:hAnsi="Times New Roman" w:cs="Times New Roman"/>
          <w:b/>
          <w:bCs/>
          <w:color w:val="auto"/>
          <w:sz w:val="24"/>
          <w:szCs w:val="24"/>
        </w:rPr>
        <w:t xml:space="preserve"> </w:t>
      </w:r>
    </w:p>
    <w:p w14:paraId="364BF3EA" w14:textId="77777777" w:rsidR="000F5D9D" w:rsidRPr="005A79C9" w:rsidRDefault="000F5D9D" w:rsidP="00E22C20">
      <w:pPr>
        <w:spacing w:line="360" w:lineRule="auto"/>
        <w:ind w:left="851"/>
        <w:jc w:val="both"/>
        <w:rPr>
          <w:szCs w:val="24"/>
        </w:rPr>
      </w:pPr>
    </w:p>
    <w:p w14:paraId="1AD91A2C" w14:textId="77777777" w:rsidR="000F5D9D" w:rsidRPr="005A79C9" w:rsidRDefault="000F5D9D" w:rsidP="00E22C20">
      <w:pPr>
        <w:spacing w:line="360" w:lineRule="auto"/>
        <w:ind w:left="851"/>
        <w:jc w:val="both"/>
        <w:rPr>
          <w:szCs w:val="24"/>
        </w:rPr>
      </w:pPr>
      <w:r w:rsidRPr="005A79C9">
        <w:rPr>
          <w:szCs w:val="24"/>
        </w:rPr>
        <w:t xml:space="preserve">The study design used in this research will be a cross-sectional design. </w:t>
      </w:r>
    </w:p>
    <w:p w14:paraId="15CDCC60" w14:textId="77777777" w:rsidR="000F5D9D" w:rsidRPr="000F5D9D" w:rsidRDefault="000F5D9D" w:rsidP="00E22C20">
      <w:pPr>
        <w:spacing w:line="360" w:lineRule="auto"/>
        <w:ind w:left="851"/>
        <w:jc w:val="both"/>
        <w:rPr>
          <w:b/>
          <w:bCs/>
          <w:szCs w:val="24"/>
        </w:rPr>
      </w:pPr>
    </w:p>
    <w:p w14:paraId="13262FCE" w14:textId="13752409" w:rsidR="000F5D9D" w:rsidRPr="000F5D9D" w:rsidRDefault="000F5D9D" w:rsidP="00E22C20">
      <w:pPr>
        <w:pStyle w:val="Heading2"/>
        <w:spacing w:line="360" w:lineRule="auto"/>
        <w:ind w:left="851"/>
        <w:jc w:val="both"/>
        <w:rPr>
          <w:rFonts w:ascii="Times New Roman" w:hAnsi="Times New Roman" w:cs="Times New Roman"/>
          <w:b/>
          <w:bCs/>
          <w:color w:val="auto"/>
          <w:sz w:val="24"/>
          <w:szCs w:val="24"/>
        </w:rPr>
      </w:pPr>
      <w:bookmarkStart w:id="22" w:name="_Toc31400962"/>
      <w:r w:rsidRPr="000F5D9D">
        <w:rPr>
          <w:rFonts w:ascii="Times New Roman" w:hAnsi="Times New Roman" w:cs="Times New Roman"/>
          <w:b/>
          <w:bCs/>
          <w:color w:val="auto"/>
          <w:sz w:val="24"/>
          <w:szCs w:val="24"/>
        </w:rPr>
        <w:t>3.2 Study Population</w:t>
      </w:r>
      <w:bookmarkEnd w:id="22"/>
      <w:r w:rsidRPr="000F5D9D">
        <w:rPr>
          <w:rFonts w:ascii="Times New Roman" w:hAnsi="Times New Roman" w:cs="Times New Roman"/>
          <w:b/>
          <w:bCs/>
          <w:color w:val="auto"/>
          <w:sz w:val="24"/>
          <w:szCs w:val="24"/>
        </w:rPr>
        <w:t xml:space="preserve"> </w:t>
      </w:r>
    </w:p>
    <w:p w14:paraId="3B04BCC4" w14:textId="77777777" w:rsidR="000F5D9D" w:rsidRPr="005A79C9" w:rsidRDefault="000F5D9D" w:rsidP="00E22C20">
      <w:pPr>
        <w:spacing w:line="360" w:lineRule="auto"/>
        <w:ind w:left="851"/>
        <w:jc w:val="both"/>
        <w:rPr>
          <w:szCs w:val="24"/>
        </w:rPr>
      </w:pPr>
    </w:p>
    <w:p w14:paraId="554DE077" w14:textId="0C86A50D" w:rsidR="000F5D9D" w:rsidRPr="00E22C20" w:rsidRDefault="000F5D9D" w:rsidP="00E22C20">
      <w:pPr>
        <w:spacing w:line="360" w:lineRule="auto"/>
        <w:ind w:left="851" w:firstLine="284"/>
        <w:jc w:val="both"/>
        <w:rPr>
          <w:szCs w:val="24"/>
        </w:rPr>
      </w:pPr>
      <w:r w:rsidRPr="000F5D9D">
        <w:rPr>
          <w:szCs w:val="24"/>
        </w:rPr>
        <w:t xml:space="preserve">This study will be conducted among parents of children with ASD attending </w:t>
      </w:r>
      <w:r w:rsidRPr="000F5D9D">
        <w:rPr>
          <w:rStyle w:val="Emphasis"/>
          <w:i w:val="0"/>
          <w:iCs w:val="0"/>
          <w:szCs w:val="24"/>
          <w:shd w:val="clear" w:color="auto" w:fill="FFFFFF"/>
        </w:rPr>
        <w:t>National Autism Society of Malaysia</w:t>
      </w:r>
      <w:r w:rsidRPr="000F5D9D">
        <w:rPr>
          <w:i/>
          <w:iCs/>
          <w:szCs w:val="24"/>
          <w:shd w:val="clear" w:color="auto" w:fill="FFFFFF"/>
        </w:rPr>
        <w:t> (</w:t>
      </w:r>
      <w:r w:rsidRPr="000F5D9D">
        <w:rPr>
          <w:rStyle w:val="Emphasis"/>
          <w:i w:val="0"/>
          <w:iCs w:val="0"/>
          <w:szCs w:val="24"/>
          <w:shd w:val="clear" w:color="auto" w:fill="FFFFFF"/>
        </w:rPr>
        <w:t>NASOM</w:t>
      </w:r>
      <w:r w:rsidRPr="000F5D9D">
        <w:rPr>
          <w:i/>
          <w:iCs/>
          <w:szCs w:val="24"/>
          <w:shd w:val="clear" w:color="auto" w:fill="FFFFFF"/>
        </w:rPr>
        <w:t>)</w:t>
      </w:r>
      <w:r w:rsidRPr="000F5D9D">
        <w:rPr>
          <w:szCs w:val="24"/>
          <w:shd w:val="clear" w:color="auto" w:fill="FFFFFF"/>
        </w:rPr>
        <w:t xml:space="preserve"> and Community-Based Rehabilitation (CBR) in Selangor.</w:t>
      </w:r>
    </w:p>
    <w:p w14:paraId="1A49C782" w14:textId="30679987" w:rsidR="000F5D9D" w:rsidRDefault="000F5D9D" w:rsidP="00E22C20">
      <w:pPr>
        <w:pStyle w:val="Heading2"/>
        <w:spacing w:line="360" w:lineRule="auto"/>
        <w:ind w:left="851"/>
        <w:jc w:val="both"/>
        <w:rPr>
          <w:rFonts w:ascii="Times New Roman" w:hAnsi="Times New Roman" w:cs="Times New Roman"/>
          <w:b/>
          <w:color w:val="auto"/>
          <w:sz w:val="24"/>
          <w:szCs w:val="24"/>
        </w:rPr>
      </w:pPr>
      <w:bookmarkStart w:id="23" w:name="_Toc31400963"/>
      <w:r w:rsidRPr="000F5D9D">
        <w:rPr>
          <w:rFonts w:ascii="Times New Roman" w:hAnsi="Times New Roman" w:cs="Times New Roman"/>
          <w:b/>
          <w:color w:val="auto"/>
          <w:sz w:val="24"/>
          <w:szCs w:val="24"/>
        </w:rPr>
        <w:t>3.3 Sampling Frame</w:t>
      </w:r>
      <w:bookmarkEnd w:id="23"/>
      <w:r w:rsidRPr="000F5D9D">
        <w:rPr>
          <w:rFonts w:ascii="Times New Roman" w:hAnsi="Times New Roman" w:cs="Times New Roman"/>
          <w:b/>
          <w:color w:val="auto"/>
          <w:sz w:val="24"/>
          <w:szCs w:val="24"/>
        </w:rPr>
        <w:t xml:space="preserve"> </w:t>
      </w:r>
      <w:bookmarkStart w:id="24" w:name="_Hlk29596454"/>
    </w:p>
    <w:p w14:paraId="1179AF0E" w14:textId="77777777" w:rsidR="00A01740" w:rsidRPr="00A01740" w:rsidRDefault="00A01740" w:rsidP="00A01740"/>
    <w:p w14:paraId="54871D67" w14:textId="0DDCAC03" w:rsidR="000F5D9D" w:rsidRDefault="000F5D9D" w:rsidP="00E22C20">
      <w:pPr>
        <w:spacing w:line="360" w:lineRule="auto"/>
        <w:ind w:left="851" w:firstLine="284"/>
        <w:jc w:val="both"/>
        <w:rPr>
          <w:rFonts w:ascii="Arial" w:eastAsiaTheme="minorEastAsia" w:hAnsi="Arial" w:cs="Arial"/>
          <w:color w:val="000000" w:themeColor="dark1"/>
          <w:kern w:val="24"/>
          <w:sz w:val="48"/>
          <w:szCs w:val="48"/>
          <w:lang w:eastAsia="en-MY"/>
        </w:rPr>
      </w:pPr>
      <w:r w:rsidRPr="000F5D9D">
        <w:rPr>
          <w:szCs w:val="24"/>
        </w:rPr>
        <w:t>The sampling frame will be parents of child</w:t>
      </w:r>
      <w:r>
        <w:rPr>
          <w:szCs w:val="24"/>
        </w:rPr>
        <w:t>ren</w:t>
      </w:r>
      <w:r w:rsidRPr="000F5D9D">
        <w:rPr>
          <w:szCs w:val="24"/>
        </w:rPr>
        <w:t xml:space="preserve"> with ASD attending </w:t>
      </w:r>
      <w:r w:rsidRPr="000F5D9D">
        <w:rPr>
          <w:rStyle w:val="Emphasis"/>
          <w:i w:val="0"/>
          <w:iCs w:val="0"/>
          <w:szCs w:val="24"/>
          <w:shd w:val="clear" w:color="auto" w:fill="FFFFFF"/>
        </w:rPr>
        <w:t>National Autism Society of Malaysia</w:t>
      </w:r>
      <w:r w:rsidRPr="000F5D9D">
        <w:rPr>
          <w:i/>
          <w:iCs/>
          <w:szCs w:val="24"/>
          <w:shd w:val="clear" w:color="auto" w:fill="FFFFFF"/>
        </w:rPr>
        <w:t> (</w:t>
      </w:r>
      <w:r w:rsidRPr="000F5D9D">
        <w:rPr>
          <w:rStyle w:val="Emphasis"/>
          <w:i w:val="0"/>
          <w:iCs w:val="0"/>
          <w:szCs w:val="24"/>
          <w:shd w:val="clear" w:color="auto" w:fill="FFFFFF"/>
        </w:rPr>
        <w:t>NASOM</w:t>
      </w:r>
      <w:r w:rsidRPr="000F5D9D">
        <w:rPr>
          <w:i/>
          <w:iCs/>
          <w:szCs w:val="24"/>
          <w:shd w:val="clear" w:color="auto" w:fill="FFFFFF"/>
        </w:rPr>
        <w:t>)</w:t>
      </w:r>
      <w:r w:rsidRPr="000F5D9D">
        <w:rPr>
          <w:szCs w:val="24"/>
          <w:shd w:val="clear" w:color="auto" w:fill="FFFFFF"/>
        </w:rPr>
        <w:t xml:space="preserve"> and Community-Based Rehabilitation (CBR) in Selangor from</w:t>
      </w:r>
      <w:r>
        <w:rPr>
          <w:szCs w:val="24"/>
          <w:shd w:val="clear" w:color="auto" w:fill="FFFFFF"/>
        </w:rPr>
        <w:t xml:space="preserve"> July</w:t>
      </w:r>
      <w:r w:rsidRPr="000F5D9D">
        <w:rPr>
          <w:szCs w:val="24"/>
          <w:shd w:val="clear" w:color="auto" w:fill="FFFFFF"/>
        </w:rPr>
        <w:t xml:space="preserve"> 2020 till </w:t>
      </w:r>
      <w:r>
        <w:rPr>
          <w:szCs w:val="24"/>
          <w:shd w:val="clear" w:color="auto" w:fill="FFFFFF"/>
        </w:rPr>
        <w:t xml:space="preserve">January </w:t>
      </w:r>
      <w:r w:rsidRPr="000F5D9D">
        <w:rPr>
          <w:szCs w:val="24"/>
          <w:shd w:val="clear" w:color="auto" w:fill="FFFFFF"/>
        </w:rPr>
        <w:t>202</w:t>
      </w:r>
      <w:r>
        <w:rPr>
          <w:szCs w:val="24"/>
          <w:shd w:val="clear" w:color="auto" w:fill="FFFFFF"/>
        </w:rPr>
        <w:t>1</w:t>
      </w:r>
      <w:r w:rsidRPr="000F5D9D">
        <w:rPr>
          <w:szCs w:val="24"/>
          <w:shd w:val="clear" w:color="auto" w:fill="FFFFFF"/>
        </w:rPr>
        <w:t>.</w:t>
      </w:r>
      <w:r w:rsidR="00E22C20" w:rsidRPr="00E22C20">
        <w:rPr>
          <w:rFonts w:ascii="Arial" w:eastAsiaTheme="minorEastAsia" w:hAnsi="Arial" w:cs="Arial"/>
          <w:color w:val="000000" w:themeColor="dark1"/>
          <w:kern w:val="24"/>
          <w:sz w:val="48"/>
          <w:szCs w:val="48"/>
          <w:lang w:eastAsia="en-MY"/>
        </w:rPr>
        <w:t xml:space="preserve"> </w:t>
      </w:r>
      <w:bookmarkEnd w:id="24"/>
    </w:p>
    <w:p w14:paraId="65BFB9DE" w14:textId="77777777" w:rsidR="00A01740" w:rsidRPr="000F5D9D" w:rsidRDefault="00A01740" w:rsidP="00A01740">
      <w:pPr>
        <w:spacing w:line="360" w:lineRule="auto"/>
        <w:jc w:val="both"/>
        <w:rPr>
          <w:b/>
          <w:bCs/>
          <w:szCs w:val="24"/>
        </w:rPr>
      </w:pPr>
    </w:p>
    <w:p w14:paraId="69D73274" w14:textId="252269E6" w:rsidR="000F5D9D" w:rsidRPr="000F5D9D" w:rsidRDefault="000F5D9D" w:rsidP="00E22C20">
      <w:pPr>
        <w:pStyle w:val="Heading2"/>
        <w:spacing w:line="360" w:lineRule="auto"/>
        <w:ind w:left="851"/>
        <w:jc w:val="both"/>
        <w:rPr>
          <w:rFonts w:ascii="Times New Roman" w:hAnsi="Times New Roman" w:cs="Times New Roman"/>
          <w:b/>
          <w:bCs/>
          <w:color w:val="auto"/>
          <w:sz w:val="24"/>
          <w:szCs w:val="24"/>
        </w:rPr>
      </w:pPr>
      <w:bookmarkStart w:id="25" w:name="_Toc31400964"/>
      <w:r w:rsidRPr="000F5D9D">
        <w:rPr>
          <w:rFonts w:ascii="Times New Roman" w:hAnsi="Times New Roman" w:cs="Times New Roman"/>
          <w:b/>
          <w:bCs/>
          <w:color w:val="auto"/>
          <w:sz w:val="24"/>
          <w:szCs w:val="24"/>
        </w:rPr>
        <w:t>3.4 Inclusion Criteria and Exclusion Criteria</w:t>
      </w:r>
      <w:bookmarkEnd w:id="25"/>
      <w:r w:rsidRPr="000F5D9D">
        <w:rPr>
          <w:rFonts w:ascii="Times New Roman" w:hAnsi="Times New Roman" w:cs="Times New Roman"/>
          <w:b/>
          <w:bCs/>
          <w:color w:val="auto"/>
          <w:sz w:val="24"/>
          <w:szCs w:val="24"/>
        </w:rPr>
        <w:t xml:space="preserve"> </w:t>
      </w:r>
    </w:p>
    <w:p w14:paraId="40EC3BC7" w14:textId="22ED8A3B" w:rsidR="00A01740" w:rsidRPr="00A01740" w:rsidRDefault="000F5D9D" w:rsidP="00F24855">
      <w:pPr>
        <w:pStyle w:val="ListParagraph"/>
        <w:numPr>
          <w:ilvl w:val="2"/>
          <w:numId w:val="11"/>
        </w:numPr>
        <w:spacing w:line="360" w:lineRule="auto"/>
        <w:jc w:val="both"/>
        <w:rPr>
          <w:b/>
          <w:szCs w:val="24"/>
        </w:rPr>
      </w:pPr>
      <w:r w:rsidRPr="00A01740">
        <w:rPr>
          <w:b/>
          <w:szCs w:val="24"/>
        </w:rPr>
        <w:t>Inclusion Criteria</w:t>
      </w:r>
    </w:p>
    <w:p w14:paraId="60EF4F2A" w14:textId="4A5DBFFD" w:rsidR="00A01740" w:rsidRDefault="000F5D9D" w:rsidP="00A01740">
      <w:pPr>
        <w:spacing w:line="360" w:lineRule="auto"/>
        <w:ind w:left="850"/>
        <w:jc w:val="both"/>
        <w:rPr>
          <w:szCs w:val="24"/>
        </w:rPr>
      </w:pPr>
      <w:r w:rsidRPr="005A79C9">
        <w:rPr>
          <w:szCs w:val="24"/>
        </w:rPr>
        <w:t>This study will include parents more than 18 years old who fulfil the following criteria:</w:t>
      </w:r>
      <w:r>
        <w:rPr>
          <w:szCs w:val="24"/>
        </w:rPr>
        <w:t xml:space="preserve"> </w:t>
      </w:r>
    </w:p>
    <w:p w14:paraId="034DB88B" w14:textId="7F78D58B" w:rsidR="00903E5E" w:rsidRPr="00903E5E" w:rsidRDefault="00A01740" w:rsidP="00F24855">
      <w:pPr>
        <w:pStyle w:val="ListParagraph"/>
        <w:numPr>
          <w:ilvl w:val="2"/>
          <w:numId w:val="12"/>
        </w:numPr>
        <w:spacing w:line="360" w:lineRule="auto"/>
        <w:ind w:left="851" w:firstLine="0"/>
        <w:jc w:val="both"/>
      </w:pPr>
      <w:r>
        <w:t xml:space="preserve"> </w:t>
      </w:r>
      <w:r w:rsidR="00903E5E" w:rsidRPr="00903E5E">
        <w:t xml:space="preserve">Has at least one child with confirmed clinical diagnosis ASD </w:t>
      </w:r>
    </w:p>
    <w:p w14:paraId="57AD5328" w14:textId="59A540C9" w:rsidR="00903E5E" w:rsidRPr="00903E5E" w:rsidRDefault="00903E5E" w:rsidP="00F24855">
      <w:pPr>
        <w:pStyle w:val="ListParagraph"/>
        <w:numPr>
          <w:ilvl w:val="2"/>
          <w:numId w:val="12"/>
        </w:numPr>
        <w:spacing w:line="360" w:lineRule="auto"/>
        <w:ind w:left="851" w:firstLine="0"/>
        <w:jc w:val="both"/>
      </w:pPr>
      <w:r>
        <w:t xml:space="preserve"> </w:t>
      </w:r>
      <w:r w:rsidRPr="00903E5E">
        <w:t>Able to understand written Malay</w:t>
      </w:r>
    </w:p>
    <w:p w14:paraId="0C9DE3B6" w14:textId="4CEBE5F7" w:rsidR="000F5D9D" w:rsidRDefault="000F5D9D" w:rsidP="00E22C20">
      <w:pPr>
        <w:spacing w:line="360" w:lineRule="auto"/>
        <w:ind w:left="851"/>
        <w:jc w:val="both"/>
        <w:rPr>
          <w:szCs w:val="24"/>
        </w:rPr>
      </w:pPr>
    </w:p>
    <w:p w14:paraId="10E204FB" w14:textId="77777777" w:rsidR="00903E5E" w:rsidRPr="00903E5E" w:rsidRDefault="00903E5E" w:rsidP="00E22C20">
      <w:pPr>
        <w:spacing w:line="360" w:lineRule="auto"/>
        <w:ind w:left="851"/>
        <w:jc w:val="both"/>
        <w:rPr>
          <w:szCs w:val="24"/>
        </w:rPr>
      </w:pPr>
    </w:p>
    <w:p w14:paraId="02064BC0" w14:textId="77777777" w:rsidR="000F5D9D" w:rsidRPr="000F5D9D" w:rsidRDefault="000F5D9D" w:rsidP="00E22C20">
      <w:pPr>
        <w:spacing w:line="360" w:lineRule="auto"/>
        <w:ind w:left="851"/>
        <w:jc w:val="both"/>
        <w:rPr>
          <w:b/>
          <w:szCs w:val="24"/>
        </w:rPr>
      </w:pPr>
      <w:r>
        <w:rPr>
          <w:b/>
          <w:szCs w:val="24"/>
        </w:rPr>
        <w:lastRenderedPageBreak/>
        <w:t xml:space="preserve">3.4.2 </w:t>
      </w:r>
      <w:r w:rsidRPr="000F5D9D">
        <w:rPr>
          <w:b/>
          <w:szCs w:val="24"/>
        </w:rPr>
        <w:t>Exclusion Criteria</w:t>
      </w:r>
    </w:p>
    <w:p w14:paraId="05EDB54F" w14:textId="10999CD8" w:rsidR="000F5D9D" w:rsidRPr="000F5D9D" w:rsidRDefault="000F5D9D" w:rsidP="00903E5E">
      <w:pPr>
        <w:spacing w:line="360" w:lineRule="auto"/>
        <w:ind w:left="851"/>
        <w:jc w:val="both"/>
        <w:rPr>
          <w:szCs w:val="24"/>
        </w:rPr>
      </w:pPr>
      <w:r w:rsidRPr="005A79C9">
        <w:rPr>
          <w:szCs w:val="24"/>
        </w:rPr>
        <w:t>This study will exclude parents</w:t>
      </w:r>
      <w:r w:rsidR="00903E5E">
        <w:rPr>
          <w:szCs w:val="24"/>
        </w:rPr>
        <w:t xml:space="preserve"> who </w:t>
      </w:r>
      <w:r w:rsidRPr="005A79C9">
        <w:rPr>
          <w:szCs w:val="24"/>
        </w:rPr>
        <w:t>unable to read and understand</w:t>
      </w:r>
      <w:r>
        <w:rPr>
          <w:szCs w:val="24"/>
        </w:rPr>
        <w:t xml:space="preserve"> </w:t>
      </w:r>
      <w:r w:rsidRPr="005A79C9">
        <w:rPr>
          <w:szCs w:val="24"/>
        </w:rPr>
        <w:t>Malay language.</w:t>
      </w:r>
    </w:p>
    <w:p w14:paraId="0B513CCB" w14:textId="77777777" w:rsidR="000F5D9D" w:rsidRPr="005A79C9" w:rsidRDefault="000F5D9D" w:rsidP="00E22C20">
      <w:pPr>
        <w:spacing w:line="360" w:lineRule="auto"/>
        <w:ind w:left="851"/>
        <w:jc w:val="both"/>
        <w:rPr>
          <w:szCs w:val="24"/>
        </w:rPr>
      </w:pPr>
    </w:p>
    <w:p w14:paraId="4695E7DA" w14:textId="2F4DDAA3" w:rsidR="000F5D9D" w:rsidRPr="00A01740" w:rsidRDefault="000F5D9D" w:rsidP="00F24855">
      <w:pPr>
        <w:pStyle w:val="Heading2"/>
        <w:numPr>
          <w:ilvl w:val="1"/>
          <w:numId w:val="12"/>
        </w:numPr>
        <w:spacing w:line="360" w:lineRule="auto"/>
        <w:ind w:left="851" w:firstLine="0"/>
        <w:jc w:val="both"/>
        <w:rPr>
          <w:rFonts w:ascii="Times New Roman" w:hAnsi="Times New Roman" w:cs="Times New Roman"/>
          <w:b/>
          <w:bCs/>
          <w:color w:val="auto"/>
          <w:sz w:val="24"/>
          <w:szCs w:val="24"/>
        </w:rPr>
      </w:pPr>
      <w:bookmarkStart w:id="26" w:name="_Toc31400965"/>
      <w:r w:rsidRPr="00A01740">
        <w:rPr>
          <w:rFonts w:ascii="Times New Roman" w:hAnsi="Times New Roman" w:cs="Times New Roman"/>
          <w:b/>
          <w:bCs/>
          <w:color w:val="auto"/>
          <w:sz w:val="24"/>
          <w:szCs w:val="24"/>
        </w:rPr>
        <w:t>Sample Size Determination:</w:t>
      </w:r>
      <w:bookmarkEnd w:id="26"/>
      <w:r w:rsidRPr="00A01740">
        <w:rPr>
          <w:rFonts w:ascii="Times New Roman" w:hAnsi="Times New Roman" w:cs="Times New Roman"/>
          <w:b/>
          <w:bCs/>
          <w:color w:val="auto"/>
          <w:sz w:val="24"/>
          <w:szCs w:val="24"/>
        </w:rPr>
        <w:t xml:space="preserve"> </w:t>
      </w:r>
      <w:r w:rsidR="00A01740">
        <w:rPr>
          <w:rFonts w:ascii="Times New Roman" w:hAnsi="Times New Roman" w:cs="Times New Roman"/>
          <w:b/>
          <w:bCs/>
          <w:color w:val="auto"/>
          <w:sz w:val="24"/>
          <w:szCs w:val="24"/>
        </w:rPr>
        <w:t xml:space="preserve"> </w:t>
      </w:r>
      <w:r w:rsidRPr="00A01740">
        <w:rPr>
          <w:rFonts w:ascii="Times New Roman" w:hAnsi="Times New Roman" w:cs="Times New Roman"/>
          <w:b/>
          <w:bCs/>
          <w:color w:val="auto"/>
          <w:sz w:val="24"/>
          <w:szCs w:val="24"/>
        </w:rPr>
        <w:t xml:space="preserve"> </w:t>
      </w:r>
    </w:p>
    <w:p w14:paraId="705FAE44" w14:textId="77777777" w:rsidR="00903E5E" w:rsidRDefault="00903E5E" w:rsidP="00903E5E">
      <w:pPr>
        <w:spacing w:line="360" w:lineRule="auto"/>
        <w:rPr>
          <w:szCs w:val="24"/>
        </w:rPr>
      </w:pPr>
    </w:p>
    <w:p w14:paraId="6825F9F5" w14:textId="77777777" w:rsidR="00903E5E" w:rsidRDefault="00903E5E" w:rsidP="00903E5E">
      <w:pPr>
        <w:spacing w:line="360" w:lineRule="auto"/>
        <w:ind w:left="905"/>
        <w:rPr>
          <w:szCs w:val="24"/>
        </w:rPr>
      </w:pPr>
      <w:r>
        <w:rPr>
          <w:szCs w:val="24"/>
        </w:rPr>
        <w:t xml:space="preserve">The sample size is calculated using the </w:t>
      </w:r>
      <w:proofErr w:type="spellStart"/>
      <w:r>
        <w:rPr>
          <w:szCs w:val="24"/>
        </w:rPr>
        <w:t>OpenEpi</w:t>
      </w:r>
      <w:proofErr w:type="spellEnd"/>
      <w:r>
        <w:rPr>
          <w:szCs w:val="24"/>
        </w:rPr>
        <w:t xml:space="preserve"> Version 3.01 for “Sample</w:t>
      </w:r>
    </w:p>
    <w:p w14:paraId="2476ABC1" w14:textId="77777777" w:rsidR="00903E5E" w:rsidRDefault="00903E5E" w:rsidP="00903E5E">
      <w:pPr>
        <w:spacing w:line="360" w:lineRule="auto"/>
        <w:ind w:left="905"/>
        <w:rPr>
          <w:szCs w:val="24"/>
        </w:rPr>
      </w:pPr>
      <w:r>
        <w:rPr>
          <w:szCs w:val="24"/>
        </w:rPr>
        <w:t xml:space="preserve">size for a Proportion </w:t>
      </w:r>
      <w:proofErr w:type="gramStart"/>
      <w:r>
        <w:rPr>
          <w:szCs w:val="24"/>
        </w:rPr>
        <w:t>of  Descriptive</w:t>
      </w:r>
      <w:proofErr w:type="gramEnd"/>
      <w:r>
        <w:rPr>
          <w:szCs w:val="24"/>
        </w:rPr>
        <w:t xml:space="preserve"> Study’ from</w:t>
      </w:r>
    </w:p>
    <w:p w14:paraId="66AF2D0B" w14:textId="108539FB" w:rsidR="00903E5E" w:rsidRDefault="00903E5E" w:rsidP="00903E5E">
      <w:pPr>
        <w:spacing w:line="360" w:lineRule="auto"/>
        <w:ind w:left="905"/>
        <w:rPr>
          <w:szCs w:val="24"/>
        </w:rPr>
      </w:pPr>
      <w:hyperlink r:id="rId13" w:history="1">
        <w:r w:rsidRPr="00843938">
          <w:rPr>
            <w:rStyle w:val="Hyperlink"/>
            <w:szCs w:val="24"/>
          </w:rPr>
          <w:t>http://openepi.com/SampleSize/SSPropor.htm</w:t>
        </w:r>
      </w:hyperlink>
    </w:p>
    <w:p w14:paraId="6EA8D1FB" w14:textId="3A01EDA8" w:rsidR="000F5D9D" w:rsidRPr="005A79C9" w:rsidRDefault="000F5D9D" w:rsidP="00903E5E">
      <w:pPr>
        <w:spacing w:line="360" w:lineRule="auto"/>
        <w:ind w:left="131" w:firstLine="720"/>
        <w:rPr>
          <w:szCs w:val="24"/>
        </w:rPr>
      </w:pPr>
      <w:r w:rsidRPr="005A79C9">
        <w:rPr>
          <w:szCs w:val="24"/>
        </w:rPr>
        <w:t xml:space="preserve">The calculations are as below: </w:t>
      </w:r>
    </w:p>
    <w:p w14:paraId="5D8C89DC" w14:textId="77777777" w:rsidR="000F5D9D" w:rsidRPr="005A79C9" w:rsidRDefault="000F5D9D" w:rsidP="00E22C20">
      <w:pPr>
        <w:spacing w:line="360" w:lineRule="auto"/>
        <w:ind w:left="851" w:firstLine="720"/>
        <w:jc w:val="both"/>
        <w:rPr>
          <w:szCs w:val="24"/>
        </w:rPr>
      </w:pPr>
      <w:r w:rsidRPr="005A79C9">
        <w:rPr>
          <w:szCs w:val="24"/>
        </w:rPr>
        <w:t xml:space="preserve">Sample size, </w:t>
      </w:r>
      <w:r w:rsidRPr="005A79C9">
        <w:rPr>
          <w:i/>
          <w:szCs w:val="24"/>
        </w:rPr>
        <w:t xml:space="preserve">n = </w:t>
      </w:r>
      <w:proofErr w:type="spellStart"/>
      <w:r w:rsidRPr="005A79C9">
        <w:rPr>
          <w:i/>
          <w:szCs w:val="24"/>
        </w:rPr>
        <w:t>deff</w:t>
      </w:r>
      <w:proofErr w:type="spellEnd"/>
      <w:r w:rsidRPr="005A79C9">
        <w:rPr>
          <w:i/>
          <w:szCs w:val="24"/>
        </w:rPr>
        <w:t xml:space="preserve"> x </w:t>
      </w:r>
      <m:oMath>
        <m:r>
          <w:rPr>
            <w:rFonts w:ascii="Cambria Math" w:hAnsi="Cambria Math"/>
            <w:szCs w:val="24"/>
          </w:rPr>
          <m:t xml:space="preserve"> </m:t>
        </m:r>
        <m:f>
          <m:fPr>
            <m:ctrlPr>
              <w:rPr>
                <w:rFonts w:ascii="Cambria Math" w:hAnsi="Cambria Math"/>
                <w:i/>
                <w:szCs w:val="24"/>
              </w:rPr>
            </m:ctrlPr>
          </m:fPr>
          <m:num>
            <m:r>
              <m:rPr>
                <m:nor/>
              </m:rPr>
              <w:rPr>
                <w:i/>
                <w:szCs w:val="24"/>
              </w:rPr>
              <m:t xml:space="preserve">Np </m:t>
            </m:r>
            <m:r>
              <m:rPr>
                <m:nor/>
              </m:rPr>
              <w:rPr>
                <w:szCs w:val="24"/>
              </w:rPr>
              <m:t>(1-</m:t>
            </m:r>
            <m:r>
              <m:rPr>
                <m:nor/>
              </m:rPr>
              <w:rPr>
                <w:i/>
                <w:szCs w:val="24"/>
              </w:rPr>
              <m:t>p</m:t>
            </m:r>
            <m:r>
              <m:rPr>
                <m:nor/>
              </m:rPr>
              <w:rPr>
                <w:szCs w:val="24"/>
              </w:rPr>
              <m:t>)</m:t>
            </m:r>
          </m:num>
          <m:den>
            <m:f>
              <m:fPr>
                <m:ctrlPr>
                  <w:rPr>
                    <w:rFonts w:ascii="Cambria Math" w:hAnsi="Cambria Math"/>
                    <w:i/>
                    <w:szCs w:val="24"/>
                  </w:rPr>
                </m:ctrlPr>
              </m:fPr>
              <m:num>
                <m:sSup>
                  <m:sSupPr>
                    <m:ctrlPr>
                      <w:rPr>
                        <w:rFonts w:ascii="Cambria Math" w:hAnsi="Cambria Math"/>
                        <w:i/>
                        <w:szCs w:val="24"/>
                      </w:rPr>
                    </m:ctrlPr>
                  </m:sSupPr>
                  <m:e>
                    <m:r>
                      <m:rPr>
                        <m:nor/>
                      </m:rPr>
                      <w:rPr>
                        <w:i/>
                        <w:szCs w:val="24"/>
                      </w:rPr>
                      <m:t>d</m:t>
                    </m:r>
                  </m:e>
                  <m:sup>
                    <m:r>
                      <m:rPr>
                        <m:nor/>
                      </m:rPr>
                      <w:rPr>
                        <w:szCs w:val="24"/>
                      </w:rPr>
                      <m:t xml:space="preserve"> 2</m:t>
                    </m:r>
                  </m:sup>
                </m:sSup>
              </m:num>
              <m:den>
                <m:sSubSup>
                  <m:sSubSupPr>
                    <m:ctrlPr>
                      <w:rPr>
                        <w:rFonts w:ascii="Cambria Math" w:hAnsi="Cambria Math"/>
                        <w:i/>
                        <w:szCs w:val="24"/>
                      </w:rPr>
                    </m:ctrlPr>
                  </m:sSubSupPr>
                  <m:e>
                    <m:r>
                      <m:rPr>
                        <m:nor/>
                      </m:rPr>
                      <w:rPr>
                        <w:i/>
                        <w:szCs w:val="24"/>
                      </w:rPr>
                      <m:t>Z</m:t>
                    </m:r>
                  </m:e>
                  <m:sub>
                    <m:r>
                      <m:rPr>
                        <m:nor/>
                      </m:rPr>
                      <w:rPr>
                        <w:i/>
                        <w:szCs w:val="24"/>
                      </w:rPr>
                      <m:t xml:space="preserve">  </m:t>
                    </m:r>
                    <m:r>
                      <m:rPr>
                        <m:nor/>
                      </m:rPr>
                      <w:rPr>
                        <w:szCs w:val="24"/>
                      </w:rPr>
                      <m:t>1-</m:t>
                    </m:r>
                    <m:r>
                      <m:rPr>
                        <m:nor/>
                      </m:rPr>
                      <w:rPr>
                        <w:i/>
                        <w:szCs w:val="24"/>
                      </w:rPr>
                      <m:t>α</m:t>
                    </m:r>
                    <m:r>
                      <m:rPr>
                        <m:nor/>
                      </m:rPr>
                      <w:rPr>
                        <w:szCs w:val="24"/>
                      </w:rPr>
                      <m:t>/2</m:t>
                    </m:r>
                  </m:sub>
                  <m:sup>
                    <m:r>
                      <m:rPr>
                        <m:nor/>
                      </m:rPr>
                      <w:rPr>
                        <w:szCs w:val="24"/>
                      </w:rPr>
                      <m:t xml:space="preserve"> 2</m:t>
                    </m:r>
                  </m:sup>
                </m:sSubSup>
              </m:den>
            </m:f>
            <m:r>
              <w:rPr>
                <w:rFonts w:ascii="Cambria Math" w:hAnsi="Cambria Math"/>
                <w:szCs w:val="24"/>
              </w:rPr>
              <m:t xml:space="preserve"> </m:t>
            </m:r>
            <m:d>
              <m:dPr>
                <m:ctrlPr>
                  <w:rPr>
                    <w:rFonts w:ascii="Cambria Math" w:hAnsi="Cambria Math"/>
                    <w:i/>
                    <w:szCs w:val="24"/>
                  </w:rPr>
                </m:ctrlPr>
              </m:dPr>
              <m:e>
                <m:r>
                  <m:rPr>
                    <m:nor/>
                  </m:rPr>
                  <w:rPr>
                    <w:i/>
                    <w:szCs w:val="24"/>
                  </w:rPr>
                  <m:t>N</m:t>
                </m:r>
                <m:r>
                  <m:rPr>
                    <m:nor/>
                  </m:rPr>
                  <w:rPr>
                    <w:szCs w:val="24"/>
                  </w:rPr>
                  <m:t>-1</m:t>
                </m:r>
              </m:e>
            </m:d>
            <m:r>
              <m:rPr>
                <m:nor/>
              </m:rPr>
              <w:rPr>
                <w:szCs w:val="24"/>
              </w:rPr>
              <m:t xml:space="preserve"> + </m:t>
            </m:r>
            <m:r>
              <m:rPr>
                <m:nor/>
              </m:rPr>
              <w:rPr>
                <w:i/>
                <w:szCs w:val="24"/>
              </w:rPr>
              <m:t xml:space="preserve">p </m:t>
            </m:r>
            <m:r>
              <m:rPr>
                <m:nor/>
              </m:rPr>
              <w:rPr>
                <w:szCs w:val="24"/>
              </w:rPr>
              <m:t>(1</m:t>
            </m:r>
            <m:r>
              <m:rPr>
                <m:nor/>
              </m:rPr>
              <w:rPr>
                <w:i/>
                <w:szCs w:val="24"/>
              </w:rPr>
              <m:t>-p)</m:t>
            </m:r>
          </m:den>
        </m:f>
      </m:oMath>
    </w:p>
    <w:p w14:paraId="7391AA8A" w14:textId="77777777" w:rsidR="000F5D9D" w:rsidRPr="005A79C9" w:rsidRDefault="000F5D9D" w:rsidP="00E22C20">
      <w:pPr>
        <w:spacing w:line="360" w:lineRule="auto"/>
        <w:ind w:left="851" w:firstLine="720"/>
        <w:jc w:val="both"/>
        <w:rPr>
          <w:szCs w:val="24"/>
        </w:rPr>
      </w:pPr>
      <w:r w:rsidRPr="005A79C9">
        <w:rPr>
          <w:szCs w:val="24"/>
        </w:rPr>
        <w:t>where,</w:t>
      </w:r>
    </w:p>
    <w:p w14:paraId="3648665F" w14:textId="296332F8" w:rsidR="000F5D9D" w:rsidRPr="005A79C9" w:rsidRDefault="00903E5E" w:rsidP="00E22C20">
      <w:pPr>
        <w:spacing w:line="360" w:lineRule="auto"/>
        <w:ind w:left="851"/>
        <w:jc w:val="both"/>
        <w:rPr>
          <w:szCs w:val="24"/>
        </w:rPr>
      </w:pPr>
      <w:r>
        <w:rPr>
          <w:i/>
          <w:szCs w:val="24"/>
        </w:rPr>
        <w:t xml:space="preserve">      </w:t>
      </w:r>
      <w:r w:rsidR="000F5D9D" w:rsidRPr="005A79C9">
        <w:rPr>
          <w:i/>
          <w:szCs w:val="24"/>
        </w:rPr>
        <w:t>n</w:t>
      </w:r>
      <w:r w:rsidR="000F5D9D" w:rsidRPr="005A79C9">
        <w:rPr>
          <w:szCs w:val="24"/>
        </w:rPr>
        <w:t xml:space="preserve"> </w:t>
      </w:r>
      <w:r w:rsidR="000F5D9D" w:rsidRPr="005A79C9">
        <w:rPr>
          <w:szCs w:val="24"/>
        </w:rPr>
        <w:tab/>
      </w:r>
      <w:r>
        <w:rPr>
          <w:szCs w:val="24"/>
        </w:rPr>
        <w:t xml:space="preserve">            </w:t>
      </w:r>
      <w:r w:rsidR="000F5D9D" w:rsidRPr="005A79C9">
        <w:rPr>
          <w:szCs w:val="24"/>
        </w:rPr>
        <w:t xml:space="preserve">= sample size </w:t>
      </w:r>
    </w:p>
    <w:p w14:paraId="128C1644" w14:textId="4CF335C9" w:rsidR="000F5D9D" w:rsidRPr="005A79C9" w:rsidRDefault="00903E5E" w:rsidP="00E22C20">
      <w:pPr>
        <w:spacing w:line="360" w:lineRule="auto"/>
        <w:ind w:left="851"/>
        <w:jc w:val="both"/>
        <w:rPr>
          <w:szCs w:val="24"/>
        </w:rPr>
      </w:pPr>
      <w:r>
        <w:rPr>
          <w:i/>
          <w:szCs w:val="24"/>
        </w:rPr>
        <w:t xml:space="preserve">   </w:t>
      </w:r>
      <w:proofErr w:type="spellStart"/>
      <w:r w:rsidR="000F5D9D" w:rsidRPr="005A79C9">
        <w:rPr>
          <w:i/>
          <w:szCs w:val="24"/>
        </w:rPr>
        <w:t>deff</w:t>
      </w:r>
      <w:proofErr w:type="spellEnd"/>
      <w:r w:rsidR="000F5D9D" w:rsidRPr="005A79C9">
        <w:rPr>
          <w:szCs w:val="24"/>
        </w:rPr>
        <w:t xml:space="preserve"> </w:t>
      </w:r>
      <w:r w:rsidR="000F5D9D" w:rsidRPr="005A79C9">
        <w:rPr>
          <w:szCs w:val="24"/>
        </w:rPr>
        <w:tab/>
        <w:t xml:space="preserve">= design effect (for cluster surveys) </w:t>
      </w:r>
    </w:p>
    <w:p w14:paraId="233EFAAF" w14:textId="3A50E879" w:rsidR="000F5D9D" w:rsidRPr="005A79C9" w:rsidRDefault="00903E5E" w:rsidP="00E22C20">
      <w:pPr>
        <w:spacing w:line="360" w:lineRule="auto"/>
        <w:ind w:left="851"/>
        <w:jc w:val="both"/>
        <w:rPr>
          <w:szCs w:val="24"/>
        </w:rPr>
      </w:pPr>
      <w:r>
        <w:rPr>
          <w:i/>
          <w:szCs w:val="24"/>
        </w:rPr>
        <w:t xml:space="preserve">       </w:t>
      </w:r>
      <w:r w:rsidR="000F5D9D" w:rsidRPr="005A79C9">
        <w:rPr>
          <w:i/>
          <w:szCs w:val="24"/>
        </w:rPr>
        <w:t xml:space="preserve">N </w:t>
      </w:r>
      <w:r w:rsidR="000F5D9D" w:rsidRPr="005A79C9">
        <w:rPr>
          <w:szCs w:val="24"/>
        </w:rPr>
        <w:tab/>
        <w:t xml:space="preserve">= population size (for finite population correction factor or FPC) </w:t>
      </w:r>
    </w:p>
    <w:p w14:paraId="4223C618" w14:textId="51A962E3" w:rsidR="000F5D9D" w:rsidRPr="005A79C9" w:rsidRDefault="00903E5E" w:rsidP="00E22C20">
      <w:pPr>
        <w:spacing w:line="360" w:lineRule="auto"/>
        <w:ind w:left="851"/>
        <w:jc w:val="both"/>
        <w:rPr>
          <w:szCs w:val="24"/>
        </w:rPr>
      </w:pPr>
      <w:r>
        <w:rPr>
          <w:i/>
          <w:szCs w:val="24"/>
        </w:rPr>
        <w:t xml:space="preserve">       </w:t>
      </w:r>
      <w:r w:rsidR="000F5D9D" w:rsidRPr="005A79C9">
        <w:rPr>
          <w:i/>
          <w:szCs w:val="24"/>
        </w:rPr>
        <w:t>p</w:t>
      </w:r>
      <w:r w:rsidR="000F5D9D" w:rsidRPr="005A79C9">
        <w:rPr>
          <w:szCs w:val="24"/>
        </w:rPr>
        <w:tab/>
      </w:r>
      <w:r>
        <w:rPr>
          <w:szCs w:val="24"/>
        </w:rPr>
        <w:t xml:space="preserve">            </w:t>
      </w:r>
      <w:r w:rsidR="000F5D9D" w:rsidRPr="005A79C9">
        <w:rPr>
          <w:szCs w:val="24"/>
        </w:rPr>
        <w:t xml:space="preserve">= hypothesized % frequency of outcome factor in the population </w:t>
      </w:r>
    </w:p>
    <w:p w14:paraId="71735B3C" w14:textId="551881F6" w:rsidR="000F5D9D" w:rsidRPr="005A79C9" w:rsidRDefault="000F5D9D" w:rsidP="00E22C20">
      <w:pPr>
        <w:spacing w:line="360" w:lineRule="auto"/>
        <w:ind w:left="851"/>
        <w:jc w:val="both"/>
        <w:rPr>
          <w:szCs w:val="24"/>
        </w:rPr>
      </w:pPr>
      <m:oMath>
        <m:sSubSup>
          <m:sSubSupPr>
            <m:ctrlPr>
              <w:rPr>
                <w:rFonts w:ascii="Cambria Math" w:hAnsi="Cambria Math"/>
                <w:i/>
                <w:szCs w:val="24"/>
              </w:rPr>
            </m:ctrlPr>
          </m:sSubSupPr>
          <m:e>
            <m:r>
              <m:rPr>
                <m:nor/>
              </m:rPr>
              <w:rPr>
                <w:i/>
                <w:szCs w:val="24"/>
              </w:rPr>
              <m:t>z</m:t>
            </m:r>
          </m:e>
          <m:sub>
            <m:r>
              <m:rPr>
                <m:nor/>
              </m:rPr>
              <w:rPr>
                <w:szCs w:val="24"/>
              </w:rPr>
              <m:t xml:space="preserve">  1-</m:t>
            </m:r>
            <m:r>
              <m:rPr>
                <m:nor/>
              </m:rPr>
              <w:rPr>
                <w:i/>
                <w:szCs w:val="24"/>
              </w:rPr>
              <m:t>α</m:t>
            </m:r>
            <m:r>
              <m:rPr>
                <m:nor/>
              </m:rPr>
              <w:rPr>
                <w:szCs w:val="24"/>
              </w:rPr>
              <m:t>/2</m:t>
            </m:r>
          </m:sub>
          <m:sup>
            <m:r>
              <m:rPr>
                <m:nor/>
              </m:rPr>
              <w:rPr>
                <w:szCs w:val="24"/>
              </w:rPr>
              <m:t>2</m:t>
            </m:r>
          </m:sup>
        </m:sSubSup>
      </m:oMath>
      <w:r w:rsidRPr="005A79C9">
        <w:rPr>
          <w:szCs w:val="24"/>
        </w:rPr>
        <w:t xml:space="preserve"> </w:t>
      </w:r>
      <w:r w:rsidR="00903E5E">
        <w:rPr>
          <w:szCs w:val="24"/>
        </w:rPr>
        <w:t xml:space="preserve">            </w:t>
      </w:r>
      <w:r w:rsidRPr="005A79C9">
        <w:rPr>
          <w:szCs w:val="24"/>
        </w:rPr>
        <w:t>=</w:t>
      </w:r>
      <w:r w:rsidR="00903E5E">
        <w:rPr>
          <w:szCs w:val="24"/>
        </w:rPr>
        <w:t xml:space="preserve"> </w:t>
      </w:r>
      <w:r w:rsidRPr="005A79C9">
        <w:rPr>
          <w:szCs w:val="24"/>
        </w:rPr>
        <w:t xml:space="preserve">confidence interval </w:t>
      </w:r>
    </w:p>
    <w:p w14:paraId="718008CD" w14:textId="283E8BAB" w:rsidR="000F5D9D" w:rsidRPr="005A79C9" w:rsidRDefault="00903E5E" w:rsidP="00E22C20">
      <w:pPr>
        <w:spacing w:line="360" w:lineRule="auto"/>
        <w:ind w:left="851"/>
        <w:jc w:val="both"/>
        <w:rPr>
          <w:szCs w:val="24"/>
        </w:rPr>
      </w:pPr>
      <w:r>
        <w:rPr>
          <w:i/>
          <w:szCs w:val="24"/>
        </w:rPr>
        <w:t xml:space="preserve">       </w:t>
      </w:r>
      <w:r w:rsidR="000F5D9D" w:rsidRPr="005A79C9">
        <w:rPr>
          <w:i/>
          <w:szCs w:val="24"/>
        </w:rPr>
        <w:t>d</w:t>
      </w:r>
      <w:r w:rsidR="000F5D9D" w:rsidRPr="005A79C9">
        <w:rPr>
          <w:szCs w:val="24"/>
        </w:rPr>
        <w:t xml:space="preserve"> </w:t>
      </w:r>
      <w:r>
        <w:rPr>
          <w:szCs w:val="24"/>
        </w:rPr>
        <w:t xml:space="preserve">            </w:t>
      </w:r>
      <w:r w:rsidR="000F5D9D" w:rsidRPr="005A79C9">
        <w:rPr>
          <w:szCs w:val="24"/>
        </w:rPr>
        <w:t>= desired precision</w:t>
      </w:r>
    </w:p>
    <w:p w14:paraId="57DE91FD" w14:textId="69050CAC" w:rsidR="000F5D9D" w:rsidRDefault="000F5D9D" w:rsidP="00E22C20">
      <w:pPr>
        <w:spacing w:line="360" w:lineRule="auto"/>
        <w:ind w:left="851"/>
        <w:jc w:val="both"/>
        <w:rPr>
          <w:szCs w:val="24"/>
        </w:rPr>
      </w:pPr>
    </w:p>
    <w:p w14:paraId="01C403F8" w14:textId="57D900A2" w:rsidR="00903E5E" w:rsidRDefault="00903E5E" w:rsidP="00E22C20">
      <w:pPr>
        <w:spacing w:line="360" w:lineRule="auto"/>
        <w:ind w:left="851"/>
        <w:jc w:val="both"/>
        <w:rPr>
          <w:szCs w:val="24"/>
        </w:rPr>
      </w:pPr>
    </w:p>
    <w:p w14:paraId="3AFA21E4" w14:textId="28F30CE8" w:rsidR="00903E5E" w:rsidRDefault="00903E5E" w:rsidP="00E22C20">
      <w:pPr>
        <w:spacing w:line="360" w:lineRule="auto"/>
        <w:ind w:left="851"/>
        <w:jc w:val="both"/>
        <w:rPr>
          <w:szCs w:val="24"/>
        </w:rPr>
      </w:pPr>
    </w:p>
    <w:p w14:paraId="0F42FB66" w14:textId="77777777" w:rsidR="00903E5E" w:rsidRPr="005A79C9" w:rsidRDefault="00903E5E" w:rsidP="00E22C20">
      <w:pPr>
        <w:spacing w:line="360" w:lineRule="auto"/>
        <w:ind w:left="851"/>
        <w:jc w:val="both"/>
        <w:rPr>
          <w:szCs w:val="24"/>
        </w:rPr>
      </w:pPr>
    </w:p>
    <w:p w14:paraId="52248C59" w14:textId="43B08ECF" w:rsidR="00903E5E" w:rsidRPr="00903E5E" w:rsidRDefault="000F5D9D" w:rsidP="00903E5E">
      <w:pPr>
        <w:spacing w:line="360" w:lineRule="auto"/>
        <w:ind w:left="720" w:firstLine="720"/>
        <w:jc w:val="both"/>
        <w:rPr>
          <w:szCs w:val="24"/>
        </w:rPr>
      </w:pPr>
      <w:r w:rsidRPr="005A79C9">
        <w:rPr>
          <w:szCs w:val="24"/>
        </w:rPr>
        <w:lastRenderedPageBreak/>
        <w:t>The design effect was set at 1 as this was a cross sectional study design. There is no study done in regard to VH in autism locally and even globally thus the sample size determined from VH in general population. The sample size is determined based on the previous study, where the</w:t>
      </w:r>
      <w:r w:rsidR="00903E5E">
        <w:rPr>
          <w:szCs w:val="24"/>
        </w:rPr>
        <w:t xml:space="preserve"> </w:t>
      </w:r>
      <w:r w:rsidR="00903E5E" w:rsidRPr="005A79C9">
        <w:rPr>
          <w:szCs w:val="24"/>
        </w:rPr>
        <w:t>lowest prevalence of VHP i</w:t>
      </w:r>
      <w:r w:rsidR="00903E5E">
        <w:rPr>
          <w:szCs w:val="24"/>
        </w:rPr>
        <w:t>s</w:t>
      </w:r>
      <w:r w:rsidR="00903E5E" w:rsidRPr="005A79C9">
        <w:rPr>
          <w:szCs w:val="24"/>
        </w:rPr>
        <w:t xml:space="preserve"> 11.6% </w:t>
      </w:r>
      <w:r w:rsidR="00903E5E" w:rsidRPr="005A79C9">
        <w:rPr>
          <w:szCs w:val="24"/>
        </w:rPr>
        <w:fldChar w:fldCharType="begin" w:fldLock="1"/>
      </w:r>
      <w:r w:rsidR="00854604">
        <w:rPr>
          <w:szCs w:val="24"/>
        </w:rPr>
        <w:instrText>ADDIN CSL_CITATION {"citationItems":[{"id":"ITEM-1","itemData":{"DOI":"10.1016/j.vaccine.2017.04.010","ISSN":"18732518","abstract":"Background Vaccine hesitancy is a threat in combating vaccine-preventable diseases. It has been studied extensively in the Western countries but not so among Asian countries. Objectives To assess the test-retest reliability of the Parent Attitudes about Childhood Vaccines (PACV) questionnaire in Malay language; to determine the prevalence of vaccine hesitancy among parents and its associations with parents’ socio-demographic characteristics. Methods Forward and backward translation of PACV in Malay language was carried out. The reliability of the Malay-PACV questionnaire was tested among parents with children. The same questionnaire was used to study vaccine hesitancy among parents in a tertiary hospital in Kuala Lumpur. Information pertaining to socio-demographic characteristics, sources of information regarding vaccination and vaccine hesitancy were collected. Associations between vaccine hesitancy with socio-demographic factors were tested using Multivariable Logistic Regression. Results The Spearman correlation coefficient and Cronbach alpha for total PACV was 0.79 (p &lt; 0.001) and 0.79 respectively. The intra-class correlation coefficients of the subscales ranged from 0.54 to 0.90 demonstrating fair to excellent reliability. A total of 63 (11.6%) parents were noted to be vaccine hesitant. In the univariate analyses, vaccine hesitancy was associated with unemployed parents, parents who were younger, had fewer children and non-Muslim. In the multivariate model, pregnant mothers expecting their first child were four times more likely to be vaccine hesitant compared to those who already had one or more children (aOR: 3.91, 95% CI: 1.74–8.79) and unemployed parents were also more likely to be vaccine hesitant (aOR: 1.97, 95% CI: 1.08–3.59). The internet (65.6%) was the main source of information on vaccination followed by brochures (56.9%). Conclusion The Malay-PACV questionnaire is reliable to be used. The prevalence of vaccine hesitancy among the multi-ethnic Malaysians was comparable with other populations. Pregnant mothers expecting their first child and unemployed parents were found to be more vaccine hesitant.","author":[{"dropping-particle":"","family":"Mohd Azizi","given":"Fatin Shaheera","non-dropping-particle":"","parse-names":false,"suffix":""},{"dropping-particle":"","family":"Kew","given":"Yueting","non-dropping-particle":"","parse-names":false,"suffix":""},{"dropping-particle":"","family":"Moy","given":"Foong Ming","non-dropping-particle":"","parse-names":false,"suffix":""},{"dropping-particle":"","family":"Shaheera","given":"Fatin","non-dropping-particle":"","parse-names":false,"suffix":""},{"dropping-particle":"","family":"Azizi","given":"Mohd","non-dropping-particle":"","parse-names":false,"suffix":""},{"dropping-particle":"","family":"Kew","given":"Yueting","non-dropping-particle":"","parse-names":false,"suffix":""},{"dropping-particle":"","family":"Moy","given":"Foong Ming","non-dropping-particle":"","parse-names":false,"suffix":""}],"container-title":"Vaccine","id":"ITEM-1","issued":{"date-parts":[["2017"]]},"publisher":"Elsevier Ltd","title":"Vaccine hesitancy among parents in a multi-ethnic country, Malaysia","type":"article-journal"},"uris":["http://www.mendeley.com/documents/?uuid=37f58879-825a-4717-a2ab-2d83ffb296f4"]}],"mendeley":{"formattedCitation":"(Mohd Azizi et al., 2017)","plainTextFormattedCitation":"(Mohd Azizi et al., 2017)","previouslyFormattedCitation":"(Mohd Azizi et al., 2017)"},"properties":{"noteIndex":0},"schema":"https://github.com/citation-style-language/schema/raw/master/csl-citation.json"}</w:instrText>
      </w:r>
      <w:r w:rsidR="00903E5E" w:rsidRPr="005A79C9">
        <w:rPr>
          <w:szCs w:val="24"/>
        </w:rPr>
        <w:fldChar w:fldCharType="separate"/>
      </w:r>
      <w:r w:rsidR="00854604" w:rsidRPr="00854604">
        <w:rPr>
          <w:noProof/>
          <w:szCs w:val="24"/>
        </w:rPr>
        <w:t>(Mohd Azizi et al., 2017)</w:t>
      </w:r>
      <w:r w:rsidR="00903E5E" w:rsidRPr="005A79C9">
        <w:rPr>
          <w:szCs w:val="24"/>
        </w:rPr>
        <w:fldChar w:fldCharType="end"/>
      </w:r>
      <w:r w:rsidR="00903E5E">
        <w:rPr>
          <w:szCs w:val="24"/>
        </w:rPr>
        <w:t xml:space="preserve"> and the</w:t>
      </w:r>
      <w:r w:rsidR="00903E5E" w:rsidRPr="005A79C9">
        <w:rPr>
          <w:szCs w:val="24"/>
        </w:rPr>
        <w:t xml:space="preserve"> </w:t>
      </w:r>
      <w:r w:rsidRPr="005A79C9">
        <w:rPr>
          <w:szCs w:val="24"/>
        </w:rPr>
        <w:t xml:space="preserve"> highest prevalence of VHP was 14.5% </w:t>
      </w:r>
      <w:r w:rsidRPr="005A79C9">
        <w:rPr>
          <w:szCs w:val="24"/>
        </w:rPr>
        <w:fldChar w:fldCharType="begin" w:fldLock="1"/>
      </w:r>
      <w:r w:rsidR="00854604">
        <w:rPr>
          <w:szCs w:val="24"/>
        </w:rPr>
        <w:instrText>ADDIN CSL_CITATION {"citationItems":[{"id":"ITEM-1","itemData":{"DOI":"10.12688/f1000research.20079.1","ISSN":"2046-1402","abstract":" Background: Vaccine hesitancy (VH) is defined as the delay in acceptance or refusal of vaccination despite availability of vaccination services. The main objective of this study was to improve the understanding of vaccine hesitancy (VH) among parents in Kuala Lumpur (KL), Malaysia, by determining the prevalence of VH among parents and to identify the predictors associated with a vaccine hesitant attitude.  Methods: This cross-sectional study was conducted in KL. A questionnaire was devised to collect information from parents, namely sociodemographic information, WHO determinants of VH and the Parents Attitude towards Childhood Vaccine (PACV) scale.  Results: A total of 380 questionnaires were distributed and 337 were returned (88.6% response rate). Those that completed 49 (&gt;90%) out of the 55 given questions in the survey were included for data analysis. Based on inclusion and exclusion criteria, 23 were excluded, giving a sample size of 314. To identify parents, those with at least one child were included, giving a sample size of 221. We noted 60.2% (189) of the participants were females and 80.3% (252) were Malay. Our study found a prevalence of VH of 14.5% among parents based on the 15-item PACV scale.  Univariate analysis found no link between sociodemographic factors and VH in parents. Only five of these determinants were included in the final model as statistically significant ( p &lt; 0.05) predictors of VH among parents in KL. The five factors were introduction to a new vaccine, negative past experiences of vaccinations, distrust of the pharmaceutical industry, distrust of health systems and providers and being male.  Conclusions: Factors contributing towards a prevalence of VH of 14.5% in KL, Malaysia must be studied further to identify any temporal relationship to the under-immunization of children in order to reach the WHO goal of 100% immunization coverage in children and eradication of vaccine preventable diseases. ","author":[{"dropping-particle":"","family":"Musa","given":"Ahmad Farouk","non-dropping-particle":"","parse-names":false,"suffix":""},{"dropping-particle":"","family":"Soni","given":"Trived","non-dropping-particle":"","parse-names":false,"suffix":""},{"dropping-particle":"","family":"Cheong","given":"Xian Pei","non-dropping-particle":"","parse-names":false,"suffix":""},{"dropping-particle":"Bin","family":"Nordin","given":"Rusli","non-dropping-particle":"","parse-names":false,"suffix":""}],"container-title":"F1000Research","id":"ITEM-1","issued":{"date-parts":[["2019"]]},"page":"1653","title":"Vaccine hesitancy among parents in Kuala Lumpur: a single center study","type":"article-journal","volume":"8"},"uris":["http://www.mendeley.com/documents/?uuid=cbdc498b-cc5e-4fb6-aa03-b98aada62dce"]}],"mendeley":{"formattedCitation":"(Musa, Soni, Cheong, &amp; Nordin, 2019)","plainTextFormattedCitation":"(Musa, Soni, Cheong, &amp; Nordin, 2019)","previouslyFormattedCitation":"(Musa, Soni, Cheong, &amp; Nordin, 2019)"},"properties":{"noteIndex":0},"schema":"https://github.com/citation-style-language/schema/raw/master/csl-citation.json"}</w:instrText>
      </w:r>
      <w:r w:rsidRPr="005A79C9">
        <w:rPr>
          <w:szCs w:val="24"/>
        </w:rPr>
        <w:fldChar w:fldCharType="separate"/>
      </w:r>
      <w:r w:rsidR="00854604" w:rsidRPr="00854604">
        <w:rPr>
          <w:noProof/>
          <w:szCs w:val="24"/>
        </w:rPr>
        <w:t>(Musa, Soni, Cheong, &amp; Nordin, 2019)</w:t>
      </w:r>
      <w:r w:rsidRPr="005A79C9">
        <w:rPr>
          <w:szCs w:val="24"/>
        </w:rPr>
        <w:fldChar w:fldCharType="end"/>
      </w:r>
      <w:r w:rsidR="00903E5E">
        <w:rPr>
          <w:szCs w:val="24"/>
        </w:rPr>
        <w:t xml:space="preserve">. </w:t>
      </w:r>
      <w:r w:rsidRPr="005A79C9">
        <w:rPr>
          <w:szCs w:val="24"/>
        </w:rPr>
        <w:t xml:space="preserve">By </w:t>
      </w:r>
      <w:r w:rsidR="00324E68">
        <w:rPr>
          <w:szCs w:val="24"/>
        </w:rPr>
        <w:t>t</w:t>
      </w:r>
      <w:proofErr w:type="spellStart"/>
      <w:r w:rsidR="00903E5E" w:rsidRPr="00903E5E">
        <w:rPr>
          <w:szCs w:val="24"/>
          <w:lang w:val="en-US"/>
        </w:rPr>
        <w:t>aking</w:t>
      </w:r>
      <w:proofErr w:type="spellEnd"/>
      <w:r w:rsidR="00903E5E" w:rsidRPr="00903E5E">
        <w:rPr>
          <w:szCs w:val="24"/>
          <w:lang w:val="en-US"/>
        </w:rPr>
        <w:t xml:space="preserve"> confidence level of 95%, the sample size calculated based on the prevalence are: </w:t>
      </w:r>
    </w:p>
    <w:tbl>
      <w:tblPr>
        <w:tblStyle w:val="TableGrid22"/>
        <w:tblW w:w="4678" w:type="dxa"/>
        <w:jc w:val="center"/>
        <w:tblLook w:val="0420" w:firstRow="1" w:lastRow="0" w:firstColumn="0" w:lastColumn="0" w:noHBand="0" w:noVBand="1"/>
      </w:tblPr>
      <w:tblGrid>
        <w:gridCol w:w="2343"/>
        <w:gridCol w:w="2335"/>
      </w:tblGrid>
      <w:tr w:rsidR="00903E5E" w:rsidRPr="00903E5E" w14:paraId="27F1FE44" w14:textId="77777777" w:rsidTr="00903E5E">
        <w:trPr>
          <w:trHeight w:val="584"/>
          <w:jc w:val="center"/>
        </w:trPr>
        <w:tc>
          <w:tcPr>
            <w:tcW w:w="2343" w:type="dxa"/>
            <w:hideMark/>
          </w:tcPr>
          <w:p w14:paraId="5F290BCC" w14:textId="77777777" w:rsidR="00903E5E" w:rsidRPr="00903E5E" w:rsidRDefault="00903E5E" w:rsidP="00903E5E">
            <w:pPr>
              <w:spacing w:after="160" w:line="360" w:lineRule="auto"/>
              <w:ind w:left="360"/>
              <w:jc w:val="both"/>
              <w:rPr>
                <w:szCs w:val="24"/>
              </w:rPr>
            </w:pPr>
            <w:r w:rsidRPr="00903E5E">
              <w:rPr>
                <w:b/>
                <w:bCs/>
                <w:szCs w:val="24"/>
                <w:lang w:val="en-US"/>
              </w:rPr>
              <w:t xml:space="preserve">Prevalence </w:t>
            </w:r>
          </w:p>
        </w:tc>
        <w:tc>
          <w:tcPr>
            <w:tcW w:w="2335" w:type="dxa"/>
            <w:hideMark/>
          </w:tcPr>
          <w:p w14:paraId="44B67D4E" w14:textId="77777777" w:rsidR="00903E5E" w:rsidRPr="00903E5E" w:rsidRDefault="00903E5E" w:rsidP="00903E5E">
            <w:pPr>
              <w:spacing w:after="160" w:line="360" w:lineRule="auto"/>
              <w:ind w:left="360"/>
              <w:jc w:val="both"/>
              <w:rPr>
                <w:szCs w:val="24"/>
              </w:rPr>
            </w:pPr>
            <w:r w:rsidRPr="00903E5E">
              <w:rPr>
                <w:b/>
                <w:bCs/>
                <w:szCs w:val="24"/>
                <w:lang w:val="en-US"/>
              </w:rPr>
              <w:t>Sample size</w:t>
            </w:r>
          </w:p>
        </w:tc>
      </w:tr>
      <w:tr w:rsidR="00903E5E" w:rsidRPr="00903E5E" w14:paraId="1617817E" w14:textId="77777777" w:rsidTr="00903E5E">
        <w:trPr>
          <w:trHeight w:val="584"/>
          <w:jc w:val="center"/>
        </w:trPr>
        <w:tc>
          <w:tcPr>
            <w:tcW w:w="2343" w:type="dxa"/>
            <w:hideMark/>
          </w:tcPr>
          <w:p w14:paraId="09B443E2" w14:textId="77777777" w:rsidR="00903E5E" w:rsidRPr="00903E5E" w:rsidRDefault="00903E5E" w:rsidP="00903E5E">
            <w:pPr>
              <w:spacing w:after="160" w:line="360" w:lineRule="auto"/>
              <w:ind w:left="360"/>
              <w:jc w:val="both"/>
              <w:rPr>
                <w:szCs w:val="24"/>
              </w:rPr>
            </w:pPr>
            <w:r w:rsidRPr="00903E5E">
              <w:rPr>
                <w:b/>
                <w:bCs/>
                <w:szCs w:val="24"/>
                <w:lang w:val="en-US"/>
              </w:rPr>
              <w:t>11.6%</w:t>
            </w:r>
          </w:p>
        </w:tc>
        <w:tc>
          <w:tcPr>
            <w:tcW w:w="2335" w:type="dxa"/>
            <w:hideMark/>
          </w:tcPr>
          <w:p w14:paraId="639CEC06" w14:textId="77777777" w:rsidR="00903E5E" w:rsidRPr="00903E5E" w:rsidRDefault="00903E5E" w:rsidP="00903E5E">
            <w:pPr>
              <w:spacing w:after="160" w:line="360" w:lineRule="auto"/>
              <w:ind w:left="360"/>
              <w:jc w:val="both"/>
              <w:rPr>
                <w:szCs w:val="24"/>
              </w:rPr>
            </w:pPr>
            <w:r w:rsidRPr="00903E5E">
              <w:rPr>
                <w:b/>
                <w:bCs/>
                <w:szCs w:val="24"/>
                <w:lang w:val="en-US"/>
              </w:rPr>
              <w:t>158</w:t>
            </w:r>
          </w:p>
        </w:tc>
      </w:tr>
      <w:tr w:rsidR="00903E5E" w:rsidRPr="00903E5E" w14:paraId="02686E81" w14:textId="77777777" w:rsidTr="00903E5E">
        <w:trPr>
          <w:trHeight w:val="584"/>
          <w:jc w:val="center"/>
        </w:trPr>
        <w:tc>
          <w:tcPr>
            <w:tcW w:w="2343" w:type="dxa"/>
            <w:hideMark/>
          </w:tcPr>
          <w:p w14:paraId="1ECF740D" w14:textId="77777777" w:rsidR="00903E5E" w:rsidRPr="00903E5E" w:rsidRDefault="00903E5E" w:rsidP="00903E5E">
            <w:pPr>
              <w:spacing w:after="160" w:line="360" w:lineRule="auto"/>
              <w:ind w:left="360"/>
              <w:jc w:val="both"/>
              <w:rPr>
                <w:szCs w:val="24"/>
              </w:rPr>
            </w:pPr>
            <w:r w:rsidRPr="00903E5E">
              <w:rPr>
                <w:b/>
                <w:bCs/>
                <w:szCs w:val="24"/>
                <w:lang w:val="en-US"/>
              </w:rPr>
              <w:t>14.5%</w:t>
            </w:r>
          </w:p>
        </w:tc>
        <w:tc>
          <w:tcPr>
            <w:tcW w:w="2335" w:type="dxa"/>
            <w:hideMark/>
          </w:tcPr>
          <w:p w14:paraId="17A3CFD2" w14:textId="77777777" w:rsidR="00903E5E" w:rsidRPr="00903E5E" w:rsidRDefault="00903E5E" w:rsidP="00903E5E">
            <w:pPr>
              <w:spacing w:after="160" w:line="360" w:lineRule="auto"/>
              <w:ind w:left="360"/>
              <w:jc w:val="both"/>
              <w:rPr>
                <w:szCs w:val="24"/>
              </w:rPr>
            </w:pPr>
            <w:r w:rsidRPr="00903E5E">
              <w:rPr>
                <w:b/>
                <w:bCs/>
                <w:szCs w:val="24"/>
                <w:lang w:val="en-US"/>
              </w:rPr>
              <w:t>191</w:t>
            </w:r>
          </w:p>
        </w:tc>
      </w:tr>
    </w:tbl>
    <w:p w14:paraId="41EF31F3" w14:textId="0213F181" w:rsidR="00903E5E" w:rsidRPr="00903E5E" w:rsidRDefault="00903E5E" w:rsidP="00324E68">
      <w:pPr>
        <w:spacing w:line="360" w:lineRule="auto"/>
        <w:ind w:left="720"/>
        <w:jc w:val="both"/>
        <w:rPr>
          <w:szCs w:val="24"/>
        </w:rPr>
      </w:pPr>
    </w:p>
    <w:p w14:paraId="046D3B03" w14:textId="603EE0A9" w:rsidR="000F5D9D" w:rsidRDefault="00903E5E" w:rsidP="00324E68">
      <w:pPr>
        <w:spacing w:line="360" w:lineRule="auto"/>
        <w:ind w:left="720"/>
        <w:jc w:val="both"/>
        <w:rPr>
          <w:szCs w:val="24"/>
        </w:rPr>
      </w:pPr>
      <w:r w:rsidRPr="00903E5E">
        <w:rPr>
          <w:szCs w:val="24"/>
          <w:lang w:val="en-US"/>
        </w:rPr>
        <w:t>The bigger sample size of 191 is chosen.</w:t>
      </w:r>
      <w:r w:rsidR="00324E68">
        <w:rPr>
          <w:szCs w:val="24"/>
          <w:lang w:val="en-US"/>
        </w:rPr>
        <w:t xml:space="preserve"> </w:t>
      </w:r>
      <w:r w:rsidR="00324E68" w:rsidRPr="005A79C9">
        <w:rPr>
          <w:szCs w:val="24"/>
        </w:rPr>
        <w:t>However, adjusting 20% attrition rate, the minimum sample size needed will be 2</w:t>
      </w:r>
      <w:r w:rsidR="00324E68">
        <w:rPr>
          <w:szCs w:val="24"/>
        </w:rPr>
        <w:t>29</w:t>
      </w:r>
      <w:r w:rsidR="00324E68" w:rsidRPr="005A79C9">
        <w:rPr>
          <w:szCs w:val="24"/>
        </w:rPr>
        <w:t>.</w:t>
      </w:r>
    </w:p>
    <w:p w14:paraId="673DA43C" w14:textId="77777777" w:rsidR="00324E68" w:rsidRPr="005A79C9" w:rsidRDefault="00324E68" w:rsidP="00324E68">
      <w:pPr>
        <w:spacing w:line="360" w:lineRule="auto"/>
        <w:ind w:left="720"/>
        <w:jc w:val="both"/>
        <w:rPr>
          <w:szCs w:val="24"/>
        </w:rPr>
      </w:pPr>
    </w:p>
    <w:p w14:paraId="327A01D4" w14:textId="43BCD529" w:rsidR="00324E68" w:rsidRPr="00324E68" w:rsidRDefault="000F5D9D" w:rsidP="00324E68">
      <w:pPr>
        <w:pStyle w:val="Heading2"/>
        <w:spacing w:line="360" w:lineRule="auto"/>
        <w:ind w:left="851"/>
        <w:jc w:val="both"/>
        <w:rPr>
          <w:rFonts w:ascii="Times New Roman" w:hAnsi="Times New Roman" w:cs="Times New Roman"/>
          <w:b/>
          <w:bCs/>
          <w:color w:val="auto"/>
          <w:sz w:val="24"/>
          <w:szCs w:val="24"/>
        </w:rPr>
      </w:pPr>
      <w:bookmarkStart w:id="27" w:name="_Toc31400966"/>
      <w:r w:rsidRPr="00324E68">
        <w:rPr>
          <w:rFonts w:ascii="Times New Roman" w:hAnsi="Times New Roman" w:cs="Times New Roman"/>
          <w:b/>
          <w:bCs/>
          <w:color w:val="auto"/>
          <w:sz w:val="24"/>
          <w:szCs w:val="24"/>
        </w:rPr>
        <w:t xml:space="preserve">3.6 </w:t>
      </w:r>
      <w:r w:rsidRPr="00324E68">
        <w:rPr>
          <w:rFonts w:ascii="Times New Roman" w:hAnsi="Times New Roman" w:cs="Times New Roman"/>
          <w:b/>
          <w:bCs/>
          <w:color w:val="auto"/>
          <w:sz w:val="24"/>
          <w:szCs w:val="24"/>
        </w:rPr>
        <w:tab/>
        <w:t>Sampling Method</w:t>
      </w:r>
      <w:bookmarkEnd w:id="27"/>
      <w:r w:rsidRPr="00324E68">
        <w:rPr>
          <w:rFonts w:ascii="Times New Roman" w:hAnsi="Times New Roman" w:cs="Times New Roman"/>
          <w:b/>
          <w:bCs/>
          <w:color w:val="auto"/>
          <w:sz w:val="24"/>
          <w:szCs w:val="24"/>
        </w:rPr>
        <w:t xml:space="preserve"> </w:t>
      </w:r>
    </w:p>
    <w:p w14:paraId="6F615EDE" w14:textId="77777777" w:rsidR="000F5D9D" w:rsidRPr="005A79C9" w:rsidRDefault="000F5D9D" w:rsidP="00E22C20">
      <w:pPr>
        <w:spacing w:line="360" w:lineRule="auto"/>
        <w:ind w:left="851"/>
        <w:jc w:val="both"/>
        <w:rPr>
          <w:b/>
          <w:szCs w:val="24"/>
        </w:rPr>
      </w:pPr>
      <w:r w:rsidRPr="005A79C9">
        <w:rPr>
          <w:b/>
          <w:szCs w:val="24"/>
        </w:rPr>
        <w:t xml:space="preserve">3.6.1 </w:t>
      </w:r>
      <w:r w:rsidRPr="005A79C9">
        <w:rPr>
          <w:b/>
          <w:szCs w:val="24"/>
        </w:rPr>
        <w:tab/>
        <w:t xml:space="preserve">Sampling Frame </w:t>
      </w:r>
    </w:p>
    <w:p w14:paraId="05816DC7" w14:textId="77777777" w:rsidR="000F5D9D" w:rsidRPr="005A79C9" w:rsidRDefault="000F5D9D" w:rsidP="00E22C20">
      <w:pPr>
        <w:spacing w:line="360" w:lineRule="auto"/>
        <w:ind w:left="851"/>
        <w:jc w:val="both"/>
        <w:rPr>
          <w:szCs w:val="24"/>
        </w:rPr>
      </w:pPr>
    </w:p>
    <w:p w14:paraId="515D19F9" w14:textId="77777777" w:rsidR="000F5D9D" w:rsidRPr="005A79C9" w:rsidRDefault="000F5D9D" w:rsidP="00E22C20">
      <w:pPr>
        <w:spacing w:line="360" w:lineRule="auto"/>
        <w:ind w:left="851"/>
        <w:jc w:val="both"/>
        <w:rPr>
          <w:szCs w:val="24"/>
        </w:rPr>
      </w:pPr>
      <w:r w:rsidRPr="005A79C9">
        <w:rPr>
          <w:szCs w:val="24"/>
        </w:rPr>
        <w:t>The sampling frame will be among parents with autism child attending National Autism Society of Malaysia (NASOM) and Community-Based Rehabilitation (CBR) in Selangor.</w:t>
      </w:r>
    </w:p>
    <w:p w14:paraId="7BBA4583" w14:textId="77777777" w:rsidR="000F5D9D" w:rsidRPr="005A79C9" w:rsidRDefault="000F5D9D" w:rsidP="00E22C20">
      <w:pPr>
        <w:spacing w:line="360" w:lineRule="auto"/>
        <w:ind w:left="851"/>
        <w:jc w:val="both"/>
        <w:rPr>
          <w:szCs w:val="24"/>
        </w:rPr>
      </w:pPr>
      <w:r w:rsidRPr="005A79C9">
        <w:rPr>
          <w:szCs w:val="24"/>
        </w:rPr>
        <w:br w:type="page"/>
      </w:r>
    </w:p>
    <w:p w14:paraId="3409AD8C" w14:textId="77777777" w:rsidR="000F5D9D" w:rsidRPr="005A79C9" w:rsidRDefault="000F5D9D" w:rsidP="00E22C20">
      <w:pPr>
        <w:spacing w:line="360" w:lineRule="auto"/>
        <w:ind w:left="851"/>
        <w:jc w:val="both"/>
        <w:rPr>
          <w:b/>
          <w:szCs w:val="24"/>
        </w:rPr>
      </w:pPr>
      <w:r w:rsidRPr="005A79C9">
        <w:rPr>
          <w:b/>
          <w:szCs w:val="24"/>
        </w:rPr>
        <w:lastRenderedPageBreak/>
        <w:t xml:space="preserve">3.6.2 </w:t>
      </w:r>
      <w:r w:rsidRPr="005A79C9">
        <w:rPr>
          <w:b/>
          <w:szCs w:val="24"/>
        </w:rPr>
        <w:tab/>
        <w:t>Sampling Technique</w:t>
      </w:r>
    </w:p>
    <w:p w14:paraId="7253B08B" w14:textId="77777777" w:rsidR="000F5D9D" w:rsidRPr="005A79C9" w:rsidRDefault="000F5D9D" w:rsidP="00E22C20">
      <w:pPr>
        <w:spacing w:line="360" w:lineRule="auto"/>
        <w:ind w:left="851"/>
        <w:jc w:val="both"/>
        <w:rPr>
          <w:szCs w:val="24"/>
        </w:rPr>
      </w:pPr>
    </w:p>
    <w:p w14:paraId="44C71C73" w14:textId="4FF52A1E" w:rsidR="00324E68" w:rsidRDefault="000F5D9D" w:rsidP="00324E68">
      <w:pPr>
        <w:spacing w:line="360" w:lineRule="auto"/>
        <w:ind w:left="720" w:firstLine="720"/>
        <w:jc w:val="both"/>
        <w:rPr>
          <w:szCs w:val="24"/>
        </w:rPr>
      </w:pPr>
      <w:r w:rsidRPr="005A79C9">
        <w:rPr>
          <w:szCs w:val="24"/>
        </w:rPr>
        <w:t xml:space="preserve">This study will be conducted using </w:t>
      </w:r>
      <w:r w:rsidRPr="00324E68">
        <w:rPr>
          <w:bCs/>
          <w:szCs w:val="24"/>
          <w:highlight w:val="yellow"/>
        </w:rPr>
        <w:t>convenience sampling method</w:t>
      </w:r>
      <w:r w:rsidRPr="00324E68">
        <w:rPr>
          <w:szCs w:val="24"/>
          <w:highlight w:val="yellow"/>
        </w:rPr>
        <w:t xml:space="preserve"> until the target sample size is achieved. This sampling method is chosen as there will be difficulty to conduct probability sampling due to the limited time allocated for data collection in this study</w:t>
      </w:r>
      <w:r w:rsidRPr="005A79C9">
        <w:rPr>
          <w:szCs w:val="24"/>
        </w:rPr>
        <w:t>.</w:t>
      </w:r>
      <w:r w:rsidR="00324E68">
        <w:rPr>
          <w:szCs w:val="24"/>
        </w:rPr>
        <w:t xml:space="preserve"> </w:t>
      </w:r>
      <w:r w:rsidR="00324E68" w:rsidRPr="00324E68">
        <w:rPr>
          <w:szCs w:val="24"/>
        </w:rPr>
        <w:sym w:font="Wingdings" w:char="F0E0"/>
      </w:r>
      <w:r w:rsidR="00324E68">
        <w:rPr>
          <w:szCs w:val="24"/>
        </w:rPr>
        <w:t xml:space="preserve"> NOT CONFIRM YET</w:t>
      </w:r>
    </w:p>
    <w:p w14:paraId="56C5CD43" w14:textId="79D83856" w:rsidR="000F5D9D" w:rsidRPr="005A79C9" w:rsidRDefault="000F5D9D" w:rsidP="00324E68">
      <w:pPr>
        <w:spacing w:line="360" w:lineRule="auto"/>
        <w:ind w:left="720" w:firstLine="720"/>
        <w:jc w:val="both"/>
        <w:rPr>
          <w:szCs w:val="24"/>
        </w:rPr>
      </w:pPr>
      <w:r w:rsidRPr="005A79C9">
        <w:rPr>
          <w:szCs w:val="24"/>
        </w:rPr>
        <w:t>For the patient recruitment, data collection days will be two days per week for three months. During data collection day, all parents who attended will be approached at the cent</w:t>
      </w:r>
      <w:r w:rsidR="00324E68">
        <w:rPr>
          <w:szCs w:val="24"/>
        </w:rPr>
        <w:t xml:space="preserve">re </w:t>
      </w:r>
      <w:r w:rsidRPr="005A79C9">
        <w:rPr>
          <w:szCs w:val="24"/>
        </w:rPr>
        <w:t xml:space="preserve">with consecutive of every two parents and will be screened for eligibility according to the inclusion and exclusion criteria. Those who are excluded, will substituted with the next two parents. Subsequently, those who fulfilled the criteria will be offered to participate in the study. Finally, those who consent will be given a data collection form, sociodemographic form and PACV-Malay version questionnaire. Recruitment period is planned for six months between </w:t>
      </w:r>
      <w:r w:rsidR="00324E68">
        <w:rPr>
          <w:szCs w:val="24"/>
          <w:highlight w:val="yellow"/>
        </w:rPr>
        <w:t>July</w:t>
      </w:r>
      <w:r w:rsidRPr="005A79C9">
        <w:rPr>
          <w:szCs w:val="24"/>
          <w:highlight w:val="yellow"/>
        </w:rPr>
        <w:t xml:space="preserve"> 2020 and </w:t>
      </w:r>
      <w:r w:rsidR="00324E68">
        <w:rPr>
          <w:szCs w:val="24"/>
          <w:highlight w:val="yellow"/>
        </w:rPr>
        <w:t xml:space="preserve">January </w:t>
      </w:r>
      <w:r w:rsidRPr="005A79C9">
        <w:rPr>
          <w:szCs w:val="24"/>
          <w:highlight w:val="yellow"/>
        </w:rPr>
        <w:t>2020.</w:t>
      </w:r>
      <w:r w:rsidRPr="005A79C9">
        <w:rPr>
          <w:szCs w:val="24"/>
        </w:rPr>
        <w:t xml:space="preserve"> </w:t>
      </w:r>
    </w:p>
    <w:p w14:paraId="7D605FCC" w14:textId="77777777" w:rsidR="000F5D9D" w:rsidRPr="005A79C9" w:rsidRDefault="000F5D9D" w:rsidP="00E22C20">
      <w:pPr>
        <w:spacing w:line="360" w:lineRule="auto"/>
        <w:ind w:left="851"/>
        <w:jc w:val="both"/>
        <w:rPr>
          <w:szCs w:val="24"/>
        </w:rPr>
      </w:pPr>
    </w:p>
    <w:p w14:paraId="6A3B263D" w14:textId="76F63DEA" w:rsidR="000F5D9D" w:rsidRPr="00324E68" w:rsidRDefault="000F5D9D" w:rsidP="00324E68">
      <w:pPr>
        <w:spacing w:line="360" w:lineRule="auto"/>
        <w:ind w:left="851"/>
        <w:jc w:val="both"/>
        <w:rPr>
          <w:b/>
          <w:szCs w:val="24"/>
        </w:rPr>
      </w:pPr>
      <w:r w:rsidRPr="005A79C9">
        <w:rPr>
          <w:b/>
          <w:szCs w:val="24"/>
        </w:rPr>
        <w:t xml:space="preserve">3.6.3 </w:t>
      </w:r>
      <w:r w:rsidRPr="005A79C9">
        <w:rPr>
          <w:b/>
          <w:szCs w:val="24"/>
        </w:rPr>
        <w:tab/>
        <w:t xml:space="preserve">Recruitment and data collection procedures </w:t>
      </w:r>
    </w:p>
    <w:p w14:paraId="7A36D48A" w14:textId="77777777" w:rsidR="000F5D9D" w:rsidRPr="005A79C9" w:rsidRDefault="000F5D9D" w:rsidP="00324E68">
      <w:pPr>
        <w:spacing w:line="360" w:lineRule="auto"/>
        <w:ind w:left="851" w:firstLine="589"/>
        <w:jc w:val="both"/>
        <w:rPr>
          <w:szCs w:val="24"/>
        </w:rPr>
      </w:pPr>
      <w:r w:rsidRPr="005A79C9">
        <w:rPr>
          <w:szCs w:val="24"/>
        </w:rPr>
        <w:t xml:space="preserve">For the patient recruitment, data collection days will be two days per week for three months.  Data collection procedure will be as described below: </w:t>
      </w:r>
    </w:p>
    <w:p w14:paraId="24849EEE" w14:textId="77777777" w:rsidR="000F5D9D" w:rsidRPr="005A79C9" w:rsidRDefault="000F5D9D" w:rsidP="00F24855">
      <w:pPr>
        <w:pStyle w:val="ListParagraph"/>
        <w:numPr>
          <w:ilvl w:val="0"/>
          <w:numId w:val="13"/>
        </w:numPr>
        <w:spacing w:line="360" w:lineRule="auto"/>
        <w:ind w:left="1211"/>
        <w:jc w:val="both"/>
        <w:rPr>
          <w:szCs w:val="24"/>
        </w:rPr>
      </w:pPr>
      <w:r w:rsidRPr="005A79C9">
        <w:rPr>
          <w:szCs w:val="24"/>
        </w:rPr>
        <w:t xml:space="preserve">All parents attending NASOM and CBR in Selangor will be assessed at the assessment room. </w:t>
      </w:r>
    </w:p>
    <w:p w14:paraId="0ED1E06A" w14:textId="77777777" w:rsidR="000F5D9D" w:rsidRPr="005A79C9" w:rsidRDefault="000F5D9D" w:rsidP="00F24855">
      <w:pPr>
        <w:pStyle w:val="ListParagraph"/>
        <w:numPr>
          <w:ilvl w:val="0"/>
          <w:numId w:val="13"/>
        </w:numPr>
        <w:spacing w:line="360" w:lineRule="auto"/>
        <w:ind w:left="1211"/>
        <w:jc w:val="both"/>
        <w:rPr>
          <w:szCs w:val="24"/>
        </w:rPr>
      </w:pPr>
      <w:r w:rsidRPr="005A79C9">
        <w:rPr>
          <w:szCs w:val="24"/>
        </w:rPr>
        <w:t xml:space="preserve">Everyone in two parents ≥18 years old will be approached and screened for eligibility. </w:t>
      </w:r>
    </w:p>
    <w:p w14:paraId="249AEEB8" w14:textId="77777777" w:rsidR="000F5D9D" w:rsidRPr="005A79C9" w:rsidRDefault="000F5D9D" w:rsidP="00F24855">
      <w:pPr>
        <w:pStyle w:val="ListParagraph"/>
        <w:numPr>
          <w:ilvl w:val="0"/>
          <w:numId w:val="13"/>
        </w:numPr>
        <w:spacing w:line="360" w:lineRule="auto"/>
        <w:ind w:left="1211"/>
        <w:jc w:val="both"/>
        <w:rPr>
          <w:szCs w:val="24"/>
        </w:rPr>
      </w:pPr>
      <w:r w:rsidRPr="005A79C9">
        <w:rPr>
          <w:szCs w:val="24"/>
        </w:rPr>
        <w:t xml:space="preserve">The eligible parents will be invited to participate in the study. </w:t>
      </w:r>
    </w:p>
    <w:p w14:paraId="66C4C2C3" w14:textId="5FB231D1" w:rsidR="000F5D9D" w:rsidRPr="005A79C9" w:rsidRDefault="000F5D9D" w:rsidP="00F24855">
      <w:pPr>
        <w:pStyle w:val="ListParagraph"/>
        <w:numPr>
          <w:ilvl w:val="0"/>
          <w:numId w:val="13"/>
        </w:numPr>
        <w:spacing w:line="360" w:lineRule="auto"/>
        <w:ind w:left="1211"/>
        <w:jc w:val="both"/>
        <w:rPr>
          <w:szCs w:val="24"/>
        </w:rPr>
      </w:pPr>
      <w:r w:rsidRPr="005A79C9">
        <w:rPr>
          <w:szCs w:val="24"/>
        </w:rPr>
        <w:t xml:space="preserve">Those who </w:t>
      </w:r>
      <w:proofErr w:type="spellStart"/>
      <w:r w:rsidRPr="005A79C9">
        <w:rPr>
          <w:szCs w:val="24"/>
        </w:rPr>
        <w:t>fulfll</w:t>
      </w:r>
      <w:proofErr w:type="spellEnd"/>
      <w:r w:rsidRPr="005A79C9">
        <w:rPr>
          <w:szCs w:val="24"/>
        </w:rPr>
        <w:t xml:space="preserve"> the eligibility criteria and are interested to participate will be given the study information sheet containing important information pertaining to the study which includes the background of the study, purpose of the study, benefit of the study, information regarding participation in the study, study </w:t>
      </w:r>
      <w:r w:rsidRPr="005A79C9">
        <w:rPr>
          <w:szCs w:val="24"/>
        </w:rPr>
        <w:lastRenderedPageBreak/>
        <w:t xml:space="preserve">procedure, confidentiality status and researcher contact information. Once they have understood and agreed to participate, written informed consent will be obtained. </w:t>
      </w:r>
    </w:p>
    <w:p w14:paraId="25709C57" w14:textId="77777777" w:rsidR="000F5D9D" w:rsidRPr="005A79C9" w:rsidRDefault="000F5D9D" w:rsidP="00F24855">
      <w:pPr>
        <w:pStyle w:val="ListParagraph"/>
        <w:numPr>
          <w:ilvl w:val="0"/>
          <w:numId w:val="13"/>
        </w:numPr>
        <w:spacing w:line="360" w:lineRule="auto"/>
        <w:ind w:left="1211"/>
        <w:jc w:val="both"/>
        <w:rPr>
          <w:szCs w:val="24"/>
        </w:rPr>
      </w:pPr>
      <w:r w:rsidRPr="005A79C9">
        <w:rPr>
          <w:szCs w:val="24"/>
        </w:rPr>
        <w:t xml:space="preserve">Patients who consent will be recruited into the study. </w:t>
      </w:r>
    </w:p>
    <w:p w14:paraId="6C2A85DA" w14:textId="77777777" w:rsidR="000F5D9D" w:rsidRPr="005A79C9" w:rsidRDefault="000F5D9D" w:rsidP="00F24855">
      <w:pPr>
        <w:pStyle w:val="ListParagraph"/>
        <w:numPr>
          <w:ilvl w:val="0"/>
          <w:numId w:val="13"/>
        </w:numPr>
        <w:spacing w:line="360" w:lineRule="auto"/>
        <w:ind w:left="1211"/>
        <w:jc w:val="both"/>
        <w:rPr>
          <w:szCs w:val="24"/>
        </w:rPr>
      </w:pPr>
      <w:r w:rsidRPr="005A79C9">
        <w:rPr>
          <w:szCs w:val="24"/>
        </w:rPr>
        <w:t xml:space="preserve">Sociodemographic data (age, gender, ethnicity, religion, marital status, education level, income, occupation, number of child alive in the house, </w:t>
      </w:r>
      <w:r w:rsidRPr="005A79C9">
        <w:rPr>
          <w:szCs w:val="24"/>
          <w:highlight w:val="yellow"/>
        </w:rPr>
        <w:t>medical history (of the ASD child)</w:t>
      </w:r>
      <w:r w:rsidRPr="005A79C9">
        <w:rPr>
          <w:szCs w:val="24"/>
        </w:rPr>
        <w:t xml:space="preserve"> and PACV-Malay version through self-administered will be collected.</w:t>
      </w:r>
    </w:p>
    <w:p w14:paraId="4BFF6587" w14:textId="77777777" w:rsidR="000F5D9D" w:rsidRPr="00324E68" w:rsidRDefault="000F5D9D" w:rsidP="00324E68">
      <w:pPr>
        <w:pStyle w:val="ListParagraph"/>
        <w:spacing w:line="360" w:lineRule="auto"/>
        <w:ind w:left="1408"/>
        <w:jc w:val="both"/>
        <w:rPr>
          <w:b/>
          <w:bCs/>
          <w:szCs w:val="24"/>
        </w:rPr>
      </w:pPr>
    </w:p>
    <w:p w14:paraId="1FE6BE9E" w14:textId="77777777" w:rsidR="000F5D9D" w:rsidRPr="00324E68" w:rsidRDefault="000F5D9D" w:rsidP="00E22C20">
      <w:pPr>
        <w:pStyle w:val="Heading2"/>
        <w:spacing w:line="360" w:lineRule="auto"/>
        <w:ind w:left="851"/>
        <w:jc w:val="both"/>
        <w:rPr>
          <w:rFonts w:ascii="Times New Roman" w:hAnsi="Times New Roman" w:cs="Times New Roman"/>
          <w:b/>
          <w:bCs/>
          <w:color w:val="auto"/>
          <w:sz w:val="24"/>
          <w:szCs w:val="24"/>
        </w:rPr>
      </w:pPr>
      <w:bookmarkStart w:id="28" w:name="_Toc31400967"/>
      <w:r w:rsidRPr="00324E68">
        <w:rPr>
          <w:rFonts w:ascii="Times New Roman" w:hAnsi="Times New Roman" w:cs="Times New Roman"/>
          <w:b/>
          <w:bCs/>
          <w:color w:val="auto"/>
          <w:sz w:val="24"/>
          <w:szCs w:val="24"/>
        </w:rPr>
        <w:t xml:space="preserve">3.7 </w:t>
      </w:r>
      <w:r w:rsidRPr="00324E68">
        <w:rPr>
          <w:rFonts w:ascii="Times New Roman" w:hAnsi="Times New Roman" w:cs="Times New Roman"/>
          <w:b/>
          <w:bCs/>
          <w:color w:val="auto"/>
          <w:sz w:val="24"/>
          <w:szCs w:val="24"/>
        </w:rPr>
        <w:tab/>
        <w:t>Study Tool</w:t>
      </w:r>
      <w:bookmarkEnd w:id="28"/>
      <w:r w:rsidRPr="00324E68">
        <w:rPr>
          <w:rFonts w:ascii="Times New Roman" w:hAnsi="Times New Roman" w:cs="Times New Roman"/>
          <w:b/>
          <w:bCs/>
          <w:color w:val="auto"/>
          <w:sz w:val="24"/>
          <w:szCs w:val="24"/>
        </w:rPr>
        <w:t xml:space="preserve"> </w:t>
      </w:r>
    </w:p>
    <w:p w14:paraId="722B6D51" w14:textId="77777777" w:rsidR="000F5D9D" w:rsidRPr="005A79C9" w:rsidRDefault="000F5D9D" w:rsidP="00E22C20">
      <w:pPr>
        <w:spacing w:line="360" w:lineRule="auto"/>
        <w:ind w:left="851"/>
        <w:jc w:val="both"/>
        <w:rPr>
          <w:szCs w:val="24"/>
        </w:rPr>
      </w:pPr>
    </w:p>
    <w:p w14:paraId="070DA5EE" w14:textId="631C9DF7" w:rsidR="000F5D9D" w:rsidRPr="00324E68" w:rsidRDefault="00324E68" w:rsidP="00E22C20">
      <w:pPr>
        <w:spacing w:line="360" w:lineRule="auto"/>
        <w:ind w:left="851" w:firstLine="720"/>
        <w:jc w:val="both"/>
        <w:rPr>
          <w:szCs w:val="24"/>
        </w:rPr>
      </w:pPr>
      <w:r>
        <w:rPr>
          <w:szCs w:val="24"/>
        </w:rPr>
        <w:t>Demography collection sheet and t</w:t>
      </w:r>
      <w:r w:rsidR="000F5D9D" w:rsidRPr="00324E68">
        <w:rPr>
          <w:szCs w:val="24"/>
        </w:rPr>
        <w:t xml:space="preserve">he previously translated and validated PACV questionnaire in Malay version </w:t>
      </w:r>
      <w:r w:rsidR="000F5D9D" w:rsidRPr="00324E68">
        <w:rPr>
          <w:szCs w:val="24"/>
        </w:rPr>
        <w:fldChar w:fldCharType="begin" w:fldLock="1"/>
      </w:r>
      <w:r w:rsidR="000F5D9D" w:rsidRPr="00324E68">
        <w:rPr>
          <w:szCs w:val="24"/>
        </w:rPr>
        <w:instrText>ADDIN CSL_CITATION {"citationItems":[{"id":"ITEM-1","itemData":{"DOI":"10.1080/21645515.2019.1674112","ISBN":"0000000159","ISSN":"2164-5515","author":[{"dropping-particle":"","family":"Halim","given":"Haizlene Abd","non-dropping-particle":"","parse-names":false,"suffix":""},{"dropping-particle":"","family":"Abdul-razak","given":"Suraya","non-dropping-particle":"","parse-names":false,"suffix":""},{"dropping-particle":"","family":"Yasin","given":"Mazapuspavina","non-dropping-particle":"","parse-names":false,"suffix":""},{"dropping-particle":"","family":"Isa","given":"Mohamad Rodi","non-dropping-particle":"","parse-names":false,"suffix":""}],"container-title":"Human Vaccines &amp; Immunotherapeutics","id":"ITEM-1","issue":"0","issued":{"date-parts":[["2019"]]},"page":"1-32","publisher":"Taylor &amp; Francis","title":"Validation study of the Parent Attitudes About Childhood Vaccines (PACV) questionnaire: The Malay version","type":"article-journal","volume":"0"},"uris":["http://www.mendeley.com/documents/?uuid=945b5f16-ad50-4225-b7e2-3a18899e43a8"]}],"mendeley":{"formattedCitation":"(Halim et al., 2019)","plainTextFormattedCitation":"(Halim et al., 2019)","previouslyFormattedCitation":"(Halim et al., 2019)"},"properties":{"noteIndex":0},"schema":"https://github.com/citation-style-language/schema/raw/master/csl-citation.json"}</w:instrText>
      </w:r>
      <w:r w:rsidR="000F5D9D" w:rsidRPr="00324E68">
        <w:rPr>
          <w:szCs w:val="24"/>
        </w:rPr>
        <w:fldChar w:fldCharType="separate"/>
      </w:r>
      <w:r w:rsidR="000F5D9D" w:rsidRPr="00324E68">
        <w:rPr>
          <w:noProof/>
          <w:szCs w:val="24"/>
        </w:rPr>
        <w:t>(Halim et al., 2019)</w:t>
      </w:r>
      <w:r w:rsidR="000F5D9D" w:rsidRPr="00324E68">
        <w:rPr>
          <w:szCs w:val="24"/>
        </w:rPr>
        <w:fldChar w:fldCharType="end"/>
      </w:r>
      <w:r w:rsidR="000F5D9D" w:rsidRPr="00324E68">
        <w:rPr>
          <w:szCs w:val="24"/>
        </w:rPr>
        <w:t xml:space="preserve"> will be used </w:t>
      </w:r>
      <w:r>
        <w:rPr>
          <w:szCs w:val="24"/>
        </w:rPr>
        <w:t xml:space="preserve">as study tool. </w:t>
      </w:r>
      <w:r w:rsidR="000F5D9D" w:rsidRPr="00324E68">
        <w:rPr>
          <w:szCs w:val="24"/>
        </w:rPr>
        <w:t xml:space="preserve">Permission to use the </w:t>
      </w:r>
      <w:r>
        <w:rPr>
          <w:szCs w:val="24"/>
        </w:rPr>
        <w:t xml:space="preserve">PACV – Malay version </w:t>
      </w:r>
      <w:r w:rsidR="000F5D9D" w:rsidRPr="00324E68">
        <w:rPr>
          <w:szCs w:val="24"/>
        </w:rPr>
        <w:t>questionnaire from the questionnaire developer has been obtained.</w:t>
      </w:r>
    </w:p>
    <w:p w14:paraId="31A34559" w14:textId="368CE70B" w:rsidR="000F5D9D" w:rsidRPr="005A79C9" w:rsidRDefault="00324E68" w:rsidP="00E22C20">
      <w:pPr>
        <w:spacing w:line="360" w:lineRule="auto"/>
        <w:ind w:left="851" w:firstLine="720"/>
        <w:jc w:val="both"/>
        <w:rPr>
          <w:szCs w:val="24"/>
        </w:rPr>
      </w:pPr>
      <w:r>
        <w:rPr>
          <w:szCs w:val="24"/>
        </w:rPr>
        <w:t>The</w:t>
      </w:r>
      <w:r w:rsidR="000F5D9D" w:rsidRPr="00324E68">
        <w:rPr>
          <w:szCs w:val="24"/>
        </w:rPr>
        <w:t xml:space="preserve"> PACV-Malay</w:t>
      </w:r>
      <w:r>
        <w:rPr>
          <w:szCs w:val="24"/>
        </w:rPr>
        <w:t xml:space="preserve"> version </w:t>
      </w:r>
      <w:r w:rsidR="000F5D9D" w:rsidRPr="00324E68">
        <w:rPr>
          <w:szCs w:val="24"/>
        </w:rPr>
        <w:t xml:space="preserve">consists of 12 items framed within three factor domains - “General attitudes”, “Safety and efficacy”, and a de novo domain “Schedule and immunity”. </w:t>
      </w:r>
      <w:r w:rsidR="006609A3" w:rsidRPr="006609A3">
        <w:rPr>
          <w:szCs w:val="24"/>
        </w:rPr>
        <w:t>The PACV-Malay was reliable with total Cronbach alpha of 0.77</w:t>
      </w:r>
      <w:r w:rsidR="006609A3">
        <w:rPr>
          <w:szCs w:val="24"/>
        </w:rPr>
        <w:t>.  Based</w:t>
      </w:r>
      <w:r w:rsidR="000F5D9D" w:rsidRPr="00324E68">
        <w:rPr>
          <w:szCs w:val="24"/>
        </w:rPr>
        <w:t xml:space="preserve"> on previous validation studies, respondents who scored &lt; 50 can be considered as non-hesitant parents, while those who scored ≥ 50 may be considered as vaccine hesitant parents.</w:t>
      </w:r>
      <w:r w:rsidR="000F5D9D" w:rsidRPr="005A79C9">
        <w:rPr>
          <w:szCs w:val="24"/>
        </w:rPr>
        <w:t xml:space="preserve"> </w:t>
      </w:r>
    </w:p>
    <w:p w14:paraId="5FA82F69" w14:textId="47B996D5" w:rsidR="000F5D9D" w:rsidRDefault="000F5D9D" w:rsidP="00E22C20">
      <w:pPr>
        <w:spacing w:line="360" w:lineRule="auto"/>
        <w:ind w:left="851"/>
        <w:jc w:val="both"/>
        <w:rPr>
          <w:b/>
          <w:bCs/>
          <w:szCs w:val="24"/>
        </w:rPr>
      </w:pPr>
    </w:p>
    <w:p w14:paraId="35DC526E" w14:textId="605312C3" w:rsidR="00854604" w:rsidRDefault="00854604" w:rsidP="00E22C20">
      <w:pPr>
        <w:spacing w:line="360" w:lineRule="auto"/>
        <w:ind w:left="851"/>
        <w:jc w:val="both"/>
        <w:rPr>
          <w:b/>
          <w:bCs/>
          <w:szCs w:val="24"/>
        </w:rPr>
      </w:pPr>
    </w:p>
    <w:p w14:paraId="6E03A3A5" w14:textId="4CCD3DBA" w:rsidR="00854604" w:rsidRDefault="00854604" w:rsidP="00E22C20">
      <w:pPr>
        <w:spacing w:line="360" w:lineRule="auto"/>
        <w:ind w:left="851"/>
        <w:jc w:val="both"/>
        <w:rPr>
          <w:b/>
          <w:bCs/>
          <w:szCs w:val="24"/>
        </w:rPr>
      </w:pPr>
    </w:p>
    <w:p w14:paraId="78C5E1F5" w14:textId="3FADCE6F" w:rsidR="00854604" w:rsidRDefault="00854604" w:rsidP="00E22C20">
      <w:pPr>
        <w:spacing w:line="360" w:lineRule="auto"/>
        <w:ind w:left="851"/>
        <w:jc w:val="both"/>
        <w:rPr>
          <w:b/>
          <w:bCs/>
          <w:szCs w:val="24"/>
        </w:rPr>
      </w:pPr>
    </w:p>
    <w:p w14:paraId="09D55936" w14:textId="77777777" w:rsidR="00854604" w:rsidRPr="00324E68" w:rsidRDefault="00854604" w:rsidP="00E22C20">
      <w:pPr>
        <w:spacing w:line="360" w:lineRule="auto"/>
        <w:ind w:left="851"/>
        <w:jc w:val="both"/>
        <w:rPr>
          <w:b/>
          <w:bCs/>
          <w:szCs w:val="24"/>
        </w:rPr>
      </w:pPr>
    </w:p>
    <w:p w14:paraId="0DB12C56" w14:textId="078787C5" w:rsidR="000F5D9D" w:rsidRPr="00324E68" w:rsidRDefault="000F5D9D" w:rsidP="00324E68">
      <w:pPr>
        <w:pStyle w:val="Heading2"/>
        <w:spacing w:line="360" w:lineRule="auto"/>
        <w:ind w:left="851"/>
        <w:jc w:val="both"/>
        <w:rPr>
          <w:rFonts w:ascii="Times New Roman" w:hAnsi="Times New Roman" w:cs="Times New Roman"/>
          <w:b/>
          <w:bCs/>
          <w:color w:val="auto"/>
          <w:sz w:val="24"/>
          <w:szCs w:val="24"/>
        </w:rPr>
      </w:pPr>
      <w:bookmarkStart w:id="29" w:name="_Toc31400968"/>
      <w:r w:rsidRPr="00324E68">
        <w:rPr>
          <w:rFonts w:ascii="Times New Roman" w:hAnsi="Times New Roman" w:cs="Times New Roman"/>
          <w:b/>
          <w:bCs/>
          <w:color w:val="auto"/>
          <w:sz w:val="24"/>
          <w:szCs w:val="24"/>
        </w:rPr>
        <w:lastRenderedPageBreak/>
        <w:t>3.8</w:t>
      </w:r>
      <w:r w:rsidRPr="00324E68">
        <w:rPr>
          <w:rFonts w:ascii="Times New Roman" w:hAnsi="Times New Roman" w:cs="Times New Roman"/>
          <w:b/>
          <w:bCs/>
          <w:color w:val="auto"/>
          <w:sz w:val="24"/>
          <w:szCs w:val="24"/>
        </w:rPr>
        <w:tab/>
        <w:t>Conduct of the Study</w:t>
      </w:r>
      <w:bookmarkEnd w:id="29"/>
      <w:r w:rsidRPr="00324E68">
        <w:rPr>
          <w:rFonts w:ascii="Times New Roman" w:hAnsi="Times New Roman" w:cs="Times New Roman"/>
          <w:b/>
          <w:bCs/>
          <w:color w:val="auto"/>
          <w:sz w:val="24"/>
          <w:szCs w:val="24"/>
        </w:rPr>
        <w:t xml:space="preserve"> </w:t>
      </w:r>
    </w:p>
    <w:p w14:paraId="4311083A" w14:textId="162C197C" w:rsidR="00324E68" w:rsidRPr="00324E68" w:rsidRDefault="000F5D9D" w:rsidP="00854604">
      <w:pPr>
        <w:spacing w:line="360" w:lineRule="auto"/>
        <w:ind w:left="851"/>
        <w:jc w:val="both"/>
        <w:rPr>
          <w:b/>
          <w:szCs w:val="24"/>
        </w:rPr>
      </w:pPr>
      <w:r w:rsidRPr="005A79C9">
        <w:rPr>
          <w:b/>
          <w:szCs w:val="24"/>
        </w:rPr>
        <w:t>3.8.1</w:t>
      </w:r>
      <w:r w:rsidRPr="005A79C9">
        <w:rPr>
          <w:b/>
          <w:szCs w:val="24"/>
        </w:rPr>
        <w:tab/>
        <w:t xml:space="preserve">Data Collection Plan and Study Procedure </w:t>
      </w:r>
    </w:p>
    <w:p w14:paraId="31DB40F0" w14:textId="61D58D3E" w:rsidR="000F5D9D" w:rsidRDefault="000F5D9D" w:rsidP="00324E68">
      <w:pPr>
        <w:spacing w:line="360" w:lineRule="auto"/>
        <w:ind w:left="851" w:firstLine="720"/>
        <w:jc w:val="both"/>
        <w:rPr>
          <w:szCs w:val="24"/>
        </w:rPr>
      </w:pPr>
      <w:r w:rsidRPr="006609A3">
        <w:rPr>
          <w:szCs w:val="24"/>
        </w:rPr>
        <w:t xml:space="preserve">Data Collection Plan and Study Procedure Patient recruitment period is planned for a total of 6 months (3 months in NASOM and 3 months in CBR). </w:t>
      </w:r>
      <w:r w:rsidRPr="006609A3">
        <w:rPr>
          <w:szCs w:val="24"/>
          <w:highlight w:val="yellow"/>
        </w:rPr>
        <w:t xml:space="preserve">The use of convenience sampling will be vulnerable to selection bias. Therefore, to minimize sampling bias, </w:t>
      </w:r>
      <w:r w:rsidR="000B3CF0" w:rsidRPr="000B3CF0">
        <w:rPr>
          <w:szCs w:val="24"/>
          <w:highlight w:val="yellow"/>
        </w:rPr>
        <w:t xml:space="preserve">systematic convenience sampling technique </w:t>
      </w:r>
      <w:r w:rsidR="000B3CF0">
        <w:rPr>
          <w:szCs w:val="24"/>
          <w:highlight w:val="yellow"/>
        </w:rPr>
        <w:t>of</w:t>
      </w:r>
      <w:r w:rsidR="000B3CF0" w:rsidRPr="000B3CF0">
        <w:rPr>
          <w:szCs w:val="24"/>
          <w:highlight w:val="yellow"/>
        </w:rPr>
        <w:t xml:space="preserve"> every two </w:t>
      </w:r>
      <w:proofErr w:type="gramStart"/>
      <w:r w:rsidR="000B3CF0">
        <w:rPr>
          <w:szCs w:val="24"/>
          <w:highlight w:val="yellow"/>
        </w:rPr>
        <w:t xml:space="preserve">consecutive  </w:t>
      </w:r>
      <w:r w:rsidR="000B3CF0" w:rsidRPr="000B3CF0">
        <w:rPr>
          <w:szCs w:val="24"/>
          <w:highlight w:val="yellow"/>
        </w:rPr>
        <w:t>parents</w:t>
      </w:r>
      <w:proofErr w:type="gramEnd"/>
      <w:r w:rsidR="000B3CF0" w:rsidRPr="000B3CF0">
        <w:rPr>
          <w:szCs w:val="24"/>
          <w:highlight w:val="yellow"/>
        </w:rPr>
        <w:t xml:space="preserve"> will be approached and invited to participate</w:t>
      </w:r>
      <w:r w:rsidR="000B3CF0" w:rsidRPr="005A79C9">
        <w:rPr>
          <w:szCs w:val="24"/>
        </w:rPr>
        <w:t xml:space="preserve">. </w:t>
      </w:r>
      <w:r w:rsidRPr="005A79C9">
        <w:rPr>
          <w:szCs w:val="24"/>
        </w:rPr>
        <w:t xml:space="preserve">Those who are interested to participate will be given the study information sheet containing important information pertaining to the study which includes background of the study, purpose of the study, benefit of the study, information regarding participation in the study, study procedure, confidentiality status and contact information. Once they have understood and agreed to participate, written informed consent will be obtained. Demographics of parents and </w:t>
      </w:r>
      <w:r w:rsidRPr="00DB381A">
        <w:rPr>
          <w:szCs w:val="24"/>
          <w:highlight w:val="yellow"/>
        </w:rPr>
        <w:t>medical history of the ASD child</w:t>
      </w:r>
      <w:r w:rsidRPr="005A79C9">
        <w:rPr>
          <w:szCs w:val="24"/>
        </w:rPr>
        <w:t xml:space="preserve"> will be obtained through self-administered questionnaire.</w:t>
      </w:r>
      <w:r w:rsidR="006609A3">
        <w:rPr>
          <w:szCs w:val="24"/>
        </w:rPr>
        <w:t xml:space="preserve"> </w:t>
      </w:r>
      <w:r w:rsidRPr="005A79C9">
        <w:rPr>
          <w:szCs w:val="24"/>
        </w:rPr>
        <w:t xml:space="preserve">Patients will be screened for eligibility according to the inclusion and exclusion criteria. Those who are eligible will be recruited for the study. Data collection of </w:t>
      </w:r>
      <w:r w:rsidR="006609A3">
        <w:rPr>
          <w:szCs w:val="24"/>
        </w:rPr>
        <w:t xml:space="preserve">factors associated with </w:t>
      </w:r>
      <w:r w:rsidRPr="005A79C9">
        <w:rPr>
          <w:szCs w:val="24"/>
        </w:rPr>
        <w:t>vaccine hesitancy among parents of child</w:t>
      </w:r>
      <w:r w:rsidR="006609A3">
        <w:rPr>
          <w:szCs w:val="24"/>
        </w:rPr>
        <w:t>ren</w:t>
      </w:r>
      <w:r w:rsidRPr="005A79C9">
        <w:rPr>
          <w:szCs w:val="24"/>
        </w:rPr>
        <w:t xml:space="preserve"> with ASD will be obtained by the researcher using </w:t>
      </w:r>
      <w:r w:rsidR="000B3CF0">
        <w:rPr>
          <w:szCs w:val="24"/>
        </w:rPr>
        <w:t xml:space="preserve">demographic </w:t>
      </w:r>
      <w:r w:rsidRPr="005A79C9">
        <w:rPr>
          <w:szCs w:val="24"/>
        </w:rPr>
        <w:t>collection</w:t>
      </w:r>
      <w:r w:rsidR="000B3CF0">
        <w:rPr>
          <w:szCs w:val="24"/>
        </w:rPr>
        <w:t xml:space="preserve"> sheet and the </w:t>
      </w:r>
      <w:r w:rsidRPr="005A79C9">
        <w:rPr>
          <w:szCs w:val="24"/>
        </w:rPr>
        <w:t>Parents Attitude in Childhood Vaccination (PACV)</w:t>
      </w:r>
      <w:r w:rsidR="000B3CF0">
        <w:rPr>
          <w:szCs w:val="24"/>
        </w:rPr>
        <w:t>-Malay</w:t>
      </w:r>
      <w:r w:rsidRPr="005A79C9">
        <w:rPr>
          <w:szCs w:val="24"/>
        </w:rPr>
        <w:t xml:space="preserve"> questionnaire. Clear verbal instructions will be given on how to fill up the questionnaire. Participants will be reminded to complete the questionnaire in approximately 15 minutes without referring to notes or family members. Participants will be free to ask for clarification from the researcher at any time should any query arise. Pen or pencil will be provided to the participants. Once the questionnaire is completed, participants will be requested to return it directly to the researcher. The questionnaire will then be checked for completeness and the participant will be kindly reminded to complete it only if they agree. </w:t>
      </w:r>
      <w:r w:rsidRPr="005A79C9">
        <w:rPr>
          <w:szCs w:val="24"/>
          <w:highlight w:val="yellow"/>
        </w:rPr>
        <w:t xml:space="preserve">Patient recruitment period is planned for a total of six months (three months </w:t>
      </w:r>
      <w:proofErr w:type="spellStart"/>
      <w:r w:rsidRPr="005A79C9">
        <w:rPr>
          <w:szCs w:val="24"/>
          <w:highlight w:val="yellow"/>
        </w:rPr>
        <w:t>months</w:t>
      </w:r>
      <w:proofErr w:type="spellEnd"/>
      <w:r w:rsidRPr="005A79C9">
        <w:rPr>
          <w:szCs w:val="24"/>
          <w:highlight w:val="yellow"/>
        </w:rPr>
        <w:t xml:space="preserve"> in NASOM, remaining three months in CBR Selangor).</w:t>
      </w:r>
      <w:r w:rsidRPr="005A79C9">
        <w:rPr>
          <w:szCs w:val="24"/>
        </w:rPr>
        <w:t xml:space="preserve"> The same researcher will be assigned for the data collection task throughout this period. </w:t>
      </w:r>
    </w:p>
    <w:p w14:paraId="4357033D" w14:textId="77777777" w:rsidR="000F5D9D" w:rsidRPr="00324E68" w:rsidRDefault="000F5D9D" w:rsidP="00F24855">
      <w:pPr>
        <w:pStyle w:val="Heading2"/>
        <w:numPr>
          <w:ilvl w:val="1"/>
          <w:numId w:val="7"/>
        </w:numPr>
        <w:spacing w:line="360" w:lineRule="auto"/>
        <w:ind w:left="851" w:hanging="284"/>
        <w:jc w:val="both"/>
        <w:rPr>
          <w:rFonts w:ascii="Times New Roman" w:hAnsi="Times New Roman" w:cs="Times New Roman"/>
          <w:b/>
          <w:bCs/>
          <w:color w:val="auto"/>
          <w:sz w:val="24"/>
          <w:szCs w:val="24"/>
        </w:rPr>
      </w:pPr>
      <w:bookmarkStart w:id="30" w:name="_Toc31400969"/>
      <w:r w:rsidRPr="00324E68">
        <w:rPr>
          <w:rFonts w:ascii="Times New Roman" w:hAnsi="Times New Roman" w:cs="Times New Roman"/>
          <w:b/>
          <w:bCs/>
          <w:color w:val="auto"/>
          <w:sz w:val="24"/>
          <w:szCs w:val="24"/>
        </w:rPr>
        <w:lastRenderedPageBreak/>
        <w:t>Statistical Analysis</w:t>
      </w:r>
      <w:bookmarkEnd w:id="30"/>
    </w:p>
    <w:p w14:paraId="7C242302" w14:textId="77777777" w:rsidR="000F5D9D" w:rsidRPr="005A79C9" w:rsidRDefault="000F5D9D" w:rsidP="00E22C20">
      <w:pPr>
        <w:spacing w:line="360" w:lineRule="auto"/>
        <w:ind w:left="851"/>
        <w:jc w:val="both"/>
        <w:rPr>
          <w:szCs w:val="24"/>
        </w:rPr>
      </w:pPr>
    </w:p>
    <w:p w14:paraId="539B4FCD" w14:textId="7D291FE4" w:rsidR="000B3CF0" w:rsidRDefault="000F5D9D" w:rsidP="000B3CF0">
      <w:pPr>
        <w:spacing w:line="360" w:lineRule="auto"/>
        <w:ind w:left="851" w:firstLine="720"/>
        <w:jc w:val="both"/>
        <w:rPr>
          <w:szCs w:val="24"/>
        </w:rPr>
      </w:pPr>
      <w:r w:rsidRPr="005A79C9">
        <w:rPr>
          <w:szCs w:val="24"/>
        </w:rPr>
        <w:t xml:space="preserve">Data entry and statistical analysis will be performed using the latest IBM Statistical Package for Social Sciences (SPSS) program. </w:t>
      </w:r>
    </w:p>
    <w:p w14:paraId="2A196381" w14:textId="51B3E370" w:rsidR="000F5D9D" w:rsidRPr="005A79C9" w:rsidRDefault="000F5D9D" w:rsidP="000B3CF0">
      <w:pPr>
        <w:spacing w:line="360" w:lineRule="auto"/>
        <w:ind w:left="851" w:firstLine="720"/>
        <w:jc w:val="both"/>
        <w:rPr>
          <w:szCs w:val="24"/>
        </w:rPr>
      </w:pPr>
      <w:r w:rsidRPr="005A79C9">
        <w:rPr>
          <w:szCs w:val="24"/>
        </w:rPr>
        <w:t xml:space="preserve">Descriptive analysis will be used to describe the socio-demographic characteristic, clinical factors and prevalence of vaccine hesitancy. Mean +/- Standard Deviations (SD) will be used to describe continuous data, while frequencies and percentages will be used to describe categorical data. </w:t>
      </w:r>
    </w:p>
    <w:p w14:paraId="2B0B1A64" w14:textId="77777777" w:rsidR="000F5D9D" w:rsidRPr="005A79C9" w:rsidRDefault="000F5D9D" w:rsidP="00E22C20">
      <w:pPr>
        <w:spacing w:line="360" w:lineRule="auto"/>
        <w:ind w:left="851" w:firstLine="720"/>
        <w:jc w:val="both"/>
        <w:rPr>
          <w:szCs w:val="24"/>
        </w:rPr>
      </w:pPr>
      <w:r w:rsidRPr="005A79C9">
        <w:rPr>
          <w:szCs w:val="24"/>
        </w:rPr>
        <w:t xml:space="preserve">Inferential analysis will be conducted to determine the associated factors for VH among parents of child with ASD. Odds ratios (OR) and its 95% confidence intervals (CI) will be calculated using logistic regression. Univariate analysis will be conducted by using simple logistic regression to identify factors with p-value of &lt;0.05. These factors will then be </w:t>
      </w:r>
      <w:proofErr w:type="spellStart"/>
      <w:r w:rsidRPr="005A79C9">
        <w:rPr>
          <w:szCs w:val="24"/>
        </w:rPr>
        <w:t>analyzed</w:t>
      </w:r>
      <w:proofErr w:type="spellEnd"/>
      <w:r w:rsidRPr="005A79C9">
        <w:rPr>
          <w:szCs w:val="24"/>
        </w:rPr>
        <w:t xml:space="preserve"> using multiple logistic regression to control for vaccine hesitancy among parents with child of ASD.</w:t>
      </w:r>
    </w:p>
    <w:p w14:paraId="525D7347" w14:textId="661C4707" w:rsidR="000B3CF0" w:rsidRDefault="000B3CF0" w:rsidP="000B3CF0">
      <w:pPr>
        <w:spacing w:line="360" w:lineRule="auto"/>
        <w:jc w:val="both"/>
        <w:rPr>
          <w:szCs w:val="24"/>
        </w:rPr>
      </w:pPr>
    </w:p>
    <w:p w14:paraId="5D0515A0" w14:textId="2D4D389F" w:rsidR="000B3CF0" w:rsidRPr="000B3CF0" w:rsidRDefault="000F5D9D" w:rsidP="00F24855">
      <w:pPr>
        <w:pStyle w:val="Heading2"/>
        <w:numPr>
          <w:ilvl w:val="3"/>
          <w:numId w:val="15"/>
        </w:numPr>
        <w:spacing w:line="360" w:lineRule="auto"/>
        <w:jc w:val="both"/>
        <w:rPr>
          <w:rFonts w:ascii="Times New Roman" w:hAnsi="Times New Roman" w:cs="Times New Roman"/>
          <w:b/>
          <w:bCs/>
          <w:color w:val="auto"/>
          <w:sz w:val="24"/>
          <w:szCs w:val="24"/>
        </w:rPr>
      </w:pPr>
      <w:bookmarkStart w:id="31" w:name="_Toc31400970"/>
      <w:r w:rsidRPr="000B3CF0">
        <w:rPr>
          <w:rFonts w:ascii="Times New Roman" w:hAnsi="Times New Roman" w:cs="Times New Roman"/>
          <w:b/>
          <w:bCs/>
          <w:color w:val="auto"/>
          <w:sz w:val="24"/>
          <w:szCs w:val="24"/>
        </w:rPr>
        <w:t>Operational variables definition</w:t>
      </w:r>
      <w:bookmarkEnd w:id="31"/>
    </w:p>
    <w:p w14:paraId="400CE92E" w14:textId="77777777" w:rsidR="000B3CF0" w:rsidRDefault="000B3CF0" w:rsidP="000B3CF0">
      <w:pPr>
        <w:spacing w:line="360" w:lineRule="auto"/>
        <w:ind w:left="851"/>
        <w:jc w:val="both"/>
        <w:rPr>
          <w:szCs w:val="24"/>
        </w:rPr>
      </w:pPr>
    </w:p>
    <w:p w14:paraId="2BD08BE1" w14:textId="4A5A71DC" w:rsidR="000F5D9D" w:rsidRDefault="000F5D9D" w:rsidP="000B3CF0">
      <w:pPr>
        <w:spacing w:line="360" w:lineRule="auto"/>
        <w:ind w:left="851"/>
        <w:jc w:val="both"/>
        <w:rPr>
          <w:szCs w:val="24"/>
        </w:rPr>
      </w:pPr>
      <w:r w:rsidRPr="005A79C9">
        <w:rPr>
          <w:szCs w:val="24"/>
        </w:rPr>
        <w:t>The study variables that would be studied are</w:t>
      </w:r>
      <w:r w:rsidR="000B3CF0">
        <w:rPr>
          <w:szCs w:val="24"/>
        </w:rPr>
        <w:t xml:space="preserve"> factors associated with v</w:t>
      </w:r>
      <w:r w:rsidRPr="005A79C9">
        <w:rPr>
          <w:szCs w:val="24"/>
        </w:rPr>
        <w:t xml:space="preserve">accine hesitancy </w:t>
      </w:r>
      <w:r w:rsidR="000B3CF0">
        <w:rPr>
          <w:szCs w:val="24"/>
        </w:rPr>
        <w:t>among parents of children with ASD</w:t>
      </w:r>
      <w:r w:rsidRPr="005A79C9">
        <w:rPr>
          <w:szCs w:val="24"/>
        </w:rPr>
        <w:t xml:space="preserve">. It will be described in the Table </w:t>
      </w:r>
      <w:r w:rsidRPr="005A79C9">
        <w:rPr>
          <w:szCs w:val="24"/>
          <w:highlight w:val="yellow"/>
        </w:rPr>
        <w:t>3.</w:t>
      </w:r>
    </w:p>
    <w:p w14:paraId="0ACEF132" w14:textId="4007D0B3" w:rsidR="000B3CF0" w:rsidRDefault="000B3CF0" w:rsidP="000B3CF0">
      <w:pPr>
        <w:spacing w:line="360" w:lineRule="auto"/>
        <w:ind w:left="851"/>
        <w:jc w:val="both"/>
        <w:rPr>
          <w:szCs w:val="24"/>
        </w:rPr>
      </w:pPr>
    </w:p>
    <w:p w14:paraId="06DE2C16" w14:textId="144DFF4B" w:rsidR="000B3CF0" w:rsidRDefault="000B3CF0" w:rsidP="000B3CF0">
      <w:pPr>
        <w:spacing w:line="360" w:lineRule="auto"/>
        <w:ind w:left="851"/>
        <w:jc w:val="both"/>
        <w:rPr>
          <w:szCs w:val="24"/>
        </w:rPr>
      </w:pPr>
    </w:p>
    <w:p w14:paraId="0F4795AC" w14:textId="4845AE84" w:rsidR="000B3CF0" w:rsidRDefault="000B3CF0" w:rsidP="000B3CF0">
      <w:pPr>
        <w:spacing w:line="360" w:lineRule="auto"/>
        <w:ind w:left="851"/>
        <w:jc w:val="both"/>
        <w:rPr>
          <w:szCs w:val="24"/>
        </w:rPr>
      </w:pPr>
    </w:p>
    <w:p w14:paraId="3444DF49" w14:textId="5136CB7C" w:rsidR="000B3CF0" w:rsidRDefault="000B3CF0" w:rsidP="000B3CF0">
      <w:pPr>
        <w:spacing w:line="360" w:lineRule="auto"/>
        <w:ind w:left="851"/>
        <w:jc w:val="both"/>
        <w:rPr>
          <w:szCs w:val="24"/>
        </w:rPr>
      </w:pPr>
    </w:p>
    <w:p w14:paraId="3E293754" w14:textId="4E3C5ED7" w:rsidR="000B3CF0" w:rsidRDefault="000B3CF0" w:rsidP="000B3CF0">
      <w:pPr>
        <w:spacing w:line="360" w:lineRule="auto"/>
        <w:ind w:left="851"/>
        <w:jc w:val="both"/>
        <w:rPr>
          <w:szCs w:val="24"/>
        </w:rPr>
      </w:pPr>
    </w:p>
    <w:p w14:paraId="7D0F4953" w14:textId="77777777" w:rsidR="000B3CF0" w:rsidRPr="005A79C9" w:rsidRDefault="000B3CF0" w:rsidP="000B3CF0">
      <w:pPr>
        <w:spacing w:line="360" w:lineRule="auto"/>
        <w:ind w:left="851"/>
        <w:jc w:val="both"/>
      </w:pPr>
    </w:p>
    <w:p w14:paraId="7A92F6B9" w14:textId="614F9583" w:rsidR="000F5D9D" w:rsidRDefault="000F5D9D" w:rsidP="000B3CF0">
      <w:pPr>
        <w:pStyle w:val="NoSpacing"/>
        <w:ind w:left="720" w:firstLine="131"/>
      </w:pPr>
      <w:r w:rsidRPr="005A79C9">
        <w:lastRenderedPageBreak/>
        <w:t>Table 3: Operational Variable Definition</w:t>
      </w:r>
    </w:p>
    <w:p w14:paraId="4527A306" w14:textId="77777777" w:rsidR="000B3CF0" w:rsidRPr="005A79C9" w:rsidRDefault="000B3CF0" w:rsidP="000B3CF0">
      <w:pPr>
        <w:pStyle w:val="NoSpacing"/>
        <w:ind w:left="720" w:firstLine="131"/>
      </w:pP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418"/>
        <w:gridCol w:w="1791"/>
        <w:gridCol w:w="2045"/>
        <w:gridCol w:w="2826"/>
      </w:tblGrid>
      <w:tr w:rsidR="000F5D9D" w:rsidRPr="005A79C9" w14:paraId="598218FB" w14:textId="77777777" w:rsidTr="000B3CF0">
        <w:tc>
          <w:tcPr>
            <w:tcW w:w="708" w:type="dxa"/>
            <w:vAlign w:val="center"/>
          </w:tcPr>
          <w:p w14:paraId="73101C0D" w14:textId="77777777" w:rsidR="000F5D9D" w:rsidRPr="005A79C9" w:rsidRDefault="000F5D9D" w:rsidP="000B3CF0">
            <w:pPr>
              <w:pStyle w:val="NoSpacing"/>
              <w:rPr>
                <w:b/>
              </w:rPr>
            </w:pPr>
            <w:r w:rsidRPr="005A79C9">
              <w:rPr>
                <w:b/>
              </w:rPr>
              <w:t>No.</w:t>
            </w:r>
          </w:p>
        </w:tc>
        <w:tc>
          <w:tcPr>
            <w:tcW w:w="1418" w:type="dxa"/>
            <w:vAlign w:val="center"/>
          </w:tcPr>
          <w:p w14:paraId="4C1120DF" w14:textId="77777777" w:rsidR="000F5D9D" w:rsidRPr="005A79C9" w:rsidRDefault="000F5D9D" w:rsidP="000B3CF0">
            <w:pPr>
              <w:pStyle w:val="NoSpacing"/>
              <w:rPr>
                <w:b/>
              </w:rPr>
            </w:pPr>
            <w:r w:rsidRPr="005A79C9">
              <w:rPr>
                <w:b/>
              </w:rPr>
              <w:t>Term</w:t>
            </w:r>
          </w:p>
        </w:tc>
        <w:tc>
          <w:tcPr>
            <w:tcW w:w="1791" w:type="dxa"/>
            <w:vAlign w:val="center"/>
          </w:tcPr>
          <w:p w14:paraId="4826F87B" w14:textId="77777777" w:rsidR="000F5D9D" w:rsidRPr="005A79C9" w:rsidRDefault="000F5D9D" w:rsidP="000B3CF0">
            <w:pPr>
              <w:pStyle w:val="NoSpacing"/>
              <w:rPr>
                <w:b/>
              </w:rPr>
            </w:pPr>
            <w:r w:rsidRPr="005A79C9">
              <w:rPr>
                <w:b/>
              </w:rPr>
              <w:t>Variable in SPSS</w:t>
            </w:r>
          </w:p>
        </w:tc>
        <w:tc>
          <w:tcPr>
            <w:tcW w:w="2045" w:type="dxa"/>
            <w:vAlign w:val="center"/>
          </w:tcPr>
          <w:p w14:paraId="1A176EFD" w14:textId="77777777" w:rsidR="000F5D9D" w:rsidRPr="005A79C9" w:rsidRDefault="000F5D9D" w:rsidP="000B3CF0">
            <w:pPr>
              <w:pStyle w:val="NoSpacing"/>
              <w:rPr>
                <w:b/>
                <w:bCs/>
              </w:rPr>
            </w:pPr>
            <w:r w:rsidRPr="005A79C9">
              <w:rPr>
                <w:b/>
                <w:bCs/>
              </w:rPr>
              <w:t>Definition</w:t>
            </w:r>
          </w:p>
        </w:tc>
        <w:tc>
          <w:tcPr>
            <w:tcW w:w="2826" w:type="dxa"/>
            <w:vAlign w:val="center"/>
          </w:tcPr>
          <w:p w14:paraId="10098D65" w14:textId="77777777" w:rsidR="000F5D9D" w:rsidRPr="005A79C9" w:rsidRDefault="000F5D9D" w:rsidP="000B3CF0">
            <w:pPr>
              <w:pStyle w:val="NoSpacing"/>
              <w:rPr>
                <w:b/>
              </w:rPr>
            </w:pPr>
            <w:r w:rsidRPr="005A79C9">
              <w:rPr>
                <w:b/>
                <w:bCs/>
              </w:rPr>
              <w:t>Operational definition</w:t>
            </w:r>
          </w:p>
        </w:tc>
      </w:tr>
      <w:tr w:rsidR="000F5D9D" w:rsidRPr="005A79C9" w14:paraId="35D20DBB" w14:textId="77777777" w:rsidTr="000B3CF0">
        <w:tc>
          <w:tcPr>
            <w:tcW w:w="708" w:type="dxa"/>
            <w:vAlign w:val="center"/>
          </w:tcPr>
          <w:p w14:paraId="6F054559" w14:textId="07492830" w:rsidR="000F5D9D" w:rsidRPr="005A79C9" w:rsidRDefault="000B3CF0" w:rsidP="000B3CF0">
            <w:pPr>
              <w:pStyle w:val="NoSpacing"/>
              <w:rPr>
                <w:bCs/>
              </w:rPr>
            </w:pPr>
            <w:r>
              <w:rPr>
                <w:bCs/>
              </w:rPr>
              <w:t>1.</w:t>
            </w:r>
          </w:p>
        </w:tc>
        <w:tc>
          <w:tcPr>
            <w:tcW w:w="1418" w:type="dxa"/>
            <w:vAlign w:val="center"/>
          </w:tcPr>
          <w:p w14:paraId="38426450" w14:textId="77777777" w:rsidR="000F5D9D" w:rsidRPr="005A79C9" w:rsidRDefault="000F5D9D" w:rsidP="000B3CF0">
            <w:pPr>
              <w:pStyle w:val="NoSpacing"/>
              <w:rPr>
                <w:bCs/>
              </w:rPr>
            </w:pPr>
            <w:r w:rsidRPr="005A79C9">
              <w:rPr>
                <w:bCs/>
              </w:rPr>
              <w:t xml:space="preserve">Respondent </w:t>
            </w:r>
          </w:p>
        </w:tc>
        <w:tc>
          <w:tcPr>
            <w:tcW w:w="1791" w:type="dxa"/>
            <w:vAlign w:val="center"/>
          </w:tcPr>
          <w:p w14:paraId="660F2A00" w14:textId="77777777" w:rsidR="000F5D9D" w:rsidRPr="005A79C9" w:rsidRDefault="000F5D9D" w:rsidP="000B3CF0">
            <w:pPr>
              <w:pStyle w:val="NoSpacing"/>
              <w:rPr>
                <w:bCs/>
              </w:rPr>
            </w:pPr>
            <w:r w:rsidRPr="005A79C9">
              <w:rPr>
                <w:bCs/>
              </w:rPr>
              <w:t xml:space="preserve">Respondent </w:t>
            </w:r>
          </w:p>
        </w:tc>
        <w:tc>
          <w:tcPr>
            <w:tcW w:w="2045" w:type="dxa"/>
            <w:vAlign w:val="center"/>
          </w:tcPr>
          <w:p w14:paraId="6ECB3324" w14:textId="77777777" w:rsidR="000F5D9D" w:rsidRPr="005A79C9" w:rsidRDefault="000F5D9D" w:rsidP="000B3CF0">
            <w:pPr>
              <w:pStyle w:val="NoSpacing"/>
            </w:pPr>
            <w:r w:rsidRPr="005A79C9">
              <w:t>Respondent of the questionnaire</w:t>
            </w:r>
          </w:p>
        </w:tc>
        <w:tc>
          <w:tcPr>
            <w:tcW w:w="2826" w:type="dxa"/>
            <w:vAlign w:val="center"/>
          </w:tcPr>
          <w:p w14:paraId="0475D090" w14:textId="77777777" w:rsidR="000F5D9D" w:rsidRPr="005A79C9" w:rsidRDefault="000F5D9D" w:rsidP="000B3CF0">
            <w:pPr>
              <w:pStyle w:val="NoSpacing"/>
            </w:pPr>
            <w:r w:rsidRPr="005A79C9">
              <w:t>Father</w:t>
            </w:r>
          </w:p>
          <w:p w14:paraId="36CEC7C1" w14:textId="77777777" w:rsidR="000F5D9D" w:rsidRPr="005A79C9" w:rsidRDefault="000F5D9D" w:rsidP="000B3CF0">
            <w:pPr>
              <w:pStyle w:val="NoSpacing"/>
            </w:pPr>
            <w:r w:rsidRPr="005A79C9">
              <w:t>Mother</w:t>
            </w:r>
          </w:p>
        </w:tc>
      </w:tr>
      <w:tr w:rsidR="000F5D9D" w:rsidRPr="005A79C9" w14:paraId="6DE0FCF4" w14:textId="77777777" w:rsidTr="000B3CF0">
        <w:tc>
          <w:tcPr>
            <w:tcW w:w="708" w:type="dxa"/>
            <w:vAlign w:val="center"/>
          </w:tcPr>
          <w:p w14:paraId="566597DF" w14:textId="77A4A567" w:rsidR="000F5D9D" w:rsidRPr="005A79C9" w:rsidRDefault="000B3CF0" w:rsidP="000B3CF0">
            <w:pPr>
              <w:pStyle w:val="NoSpacing"/>
            </w:pPr>
            <w:r>
              <w:t>2.</w:t>
            </w:r>
          </w:p>
        </w:tc>
        <w:tc>
          <w:tcPr>
            <w:tcW w:w="1418" w:type="dxa"/>
          </w:tcPr>
          <w:p w14:paraId="12803728" w14:textId="77777777" w:rsidR="000F5D9D" w:rsidRPr="005A79C9" w:rsidRDefault="000F5D9D" w:rsidP="000B3CF0">
            <w:pPr>
              <w:pStyle w:val="NoSpacing"/>
            </w:pPr>
            <w:r w:rsidRPr="005A79C9">
              <w:t xml:space="preserve">Age </w:t>
            </w:r>
          </w:p>
        </w:tc>
        <w:tc>
          <w:tcPr>
            <w:tcW w:w="1791" w:type="dxa"/>
          </w:tcPr>
          <w:p w14:paraId="5BD0B7A5" w14:textId="77777777" w:rsidR="000F5D9D" w:rsidRPr="005A79C9" w:rsidRDefault="000F5D9D" w:rsidP="000B3CF0">
            <w:pPr>
              <w:pStyle w:val="NoSpacing"/>
            </w:pPr>
            <w:r w:rsidRPr="005A79C9">
              <w:t xml:space="preserve">Age group </w:t>
            </w:r>
          </w:p>
          <w:p w14:paraId="71222508" w14:textId="77777777" w:rsidR="000F5D9D" w:rsidRPr="005A79C9" w:rsidRDefault="000F5D9D" w:rsidP="000B3CF0">
            <w:pPr>
              <w:pStyle w:val="NoSpacing"/>
            </w:pPr>
          </w:p>
        </w:tc>
        <w:tc>
          <w:tcPr>
            <w:tcW w:w="2045" w:type="dxa"/>
          </w:tcPr>
          <w:p w14:paraId="45F399EB" w14:textId="77777777" w:rsidR="000F5D9D" w:rsidRPr="005A79C9" w:rsidRDefault="000F5D9D" w:rsidP="000B3CF0">
            <w:pPr>
              <w:pStyle w:val="NoSpacing"/>
            </w:pPr>
            <w:r w:rsidRPr="005A79C9">
              <w:t>Age group of respondents</w:t>
            </w:r>
          </w:p>
        </w:tc>
        <w:tc>
          <w:tcPr>
            <w:tcW w:w="2826" w:type="dxa"/>
          </w:tcPr>
          <w:p w14:paraId="2D64A982" w14:textId="77777777" w:rsidR="000F5D9D" w:rsidRPr="005A79C9" w:rsidRDefault="000F5D9D" w:rsidP="000B3CF0">
            <w:pPr>
              <w:pStyle w:val="NoSpacing"/>
            </w:pPr>
            <w:r w:rsidRPr="005A79C9">
              <w:t>1. 18 - 29 years old</w:t>
            </w:r>
          </w:p>
          <w:p w14:paraId="09C7B19A" w14:textId="77777777" w:rsidR="000F5D9D" w:rsidRPr="005A79C9" w:rsidRDefault="000F5D9D" w:rsidP="000B3CF0">
            <w:pPr>
              <w:pStyle w:val="NoSpacing"/>
            </w:pPr>
            <w:r w:rsidRPr="005A79C9">
              <w:t>2. 30 - 39 years old</w:t>
            </w:r>
          </w:p>
          <w:p w14:paraId="4CF51E76" w14:textId="77777777" w:rsidR="000F5D9D" w:rsidRPr="005A79C9" w:rsidRDefault="000F5D9D" w:rsidP="000B3CF0">
            <w:pPr>
              <w:pStyle w:val="NoSpacing"/>
            </w:pPr>
            <w:r w:rsidRPr="005A79C9">
              <w:t>3. 40 - 49 years old</w:t>
            </w:r>
          </w:p>
          <w:p w14:paraId="729E7393" w14:textId="77777777" w:rsidR="000F5D9D" w:rsidRPr="005A79C9" w:rsidRDefault="000F5D9D" w:rsidP="000B3CF0">
            <w:pPr>
              <w:pStyle w:val="NoSpacing"/>
            </w:pPr>
            <w:r w:rsidRPr="005A79C9">
              <w:t>4. 50 - 59 years old</w:t>
            </w:r>
          </w:p>
          <w:p w14:paraId="43C4BF05" w14:textId="77777777" w:rsidR="000F5D9D" w:rsidRPr="005A79C9" w:rsidRDefault="000F5D9D" w:rsidP="000B3CF0">
            <w:pPr>
              <w:pStyle w:val="NoSpacing"/>
            </w:pPr>
            <w:r w:rsidRPr="005A79C9">
              <w:t>5. ≥60 years old</w:t>
            </w:r>
          </w:p>
        </w:tc>
      </w:tr>
      <w:tr w:rsidR="000F5D9D" w:rsidRPr="005A79C9" w14:paraId="279883B7" w14:textId="77777777" w:rsidTr="000B3CF0">
        <w:tc>
          <w:tcPr>
            <w:tcW w:w="708" w:type="dxa"/>
            <w:vAlign w:val="center"/>
          </w:tcPr>
          <w:p w14:paraId="6B550A2F" w14:textId="4396E1B4" w:rsidR="000F5D9D" w:rsidRPr="005A79C9" w:rsidRDefault="000B3CF0" w:rsidP="000B3CF0">
            <w:pPr>
              <w:pStyle w:val="NoSpacing"/>
            </w:pPr>
            <w:r>
              <w:t>3.</w:t>
            </w:r>
          </w:p>
        </w:tc>
        <w:tc>
          <w:tcPr>
            <w:tcW w:w="1418" w:type="dxa"/>
          </w:tcPr>
          <w:p w14:paraId="38749C7E" w14:textId="77777777" w:rsidR="000F5D9D" w:rsidRPr="005A79C9" w:rsidRDefault="000F5D9D" w:rsidP="000B3CF0">
            <w:pPr>
              <w:pStyle w:val="NoSpacing"/>
            </w:pPr>
            <w:r w:rsidRPr="005A79C9">
              <w:t xml:space="preserve">Gender </w:t>
            </w:r>
          </w:p>
        </w:tc>
        <w:tc>
          <w:tcPr>
            <w:tcW w:w="1791" w:type="dxa"/>
          </w:tcPr>
          <w:p w14:paraId="6CA46B82" w14:textId="77777777" w:rsidR="000F5D9D" w:rsidRPr="005A79C9" w:rsidRDefault="000F5D9D" w:rsidP="000B3CF0">
            <w:pPr>
              <w:pStyle w:val="NoSpacing"/>
            </w:pPr>
            <w:r w:rsidRPr="005A79C9">
              <w:t xml:space="preserve">Gender </w:t>
            </w:r>
          </w:p>
        </w:tc>
        <w:tc>
          <w:tcPr>
            <w:tcW w:w="2045" w:type="dxa"/>
          </w:tcPr>
          <w:p w14:paraId="7ABD3CFB" w14:textId="77777777" w:rsidR="000F5D9D" w:rsidRPr="005A79C9" w:rsidRDefault="000F5D9D" w:rsidP="000B3CF0">
            <w:pPr>
              <w:pStyle w:val="NoSpacing"/>
            </w:pPr>
            <w:r w:rsidRPr="005A79C9">
              <w:t xml:space="preserve">Gender of respondent </w:t>
            </w:r>
          </w:p>
        </w:tc>
        <w:tc>
          <w:tcPr>
            <w:tcW w:w="2826" w:type="dxa"/>
          </w:tcPr>
          <w:p w14:paraId="48D9529C" w14:textId="77777777" w:rsidR="000F5D9D" w:rsidRPr="005A79C9" w:rsidRDefault="000F5D9D" w:rsidP="000B3CF0">
            <w:pPr>
              <w:pStyle w:val="NoSpacing"/>
            </w:pPr>
            <w:r w:rsidRPr="005A79C9">
              <w:t xml:space="preserve">Male </w:t>
            </w:r>
          </w:p>
          <w:p w14:paraId="5442F407" w14:textId="77777777" w:rsidR="000F5D9D" w:rsidRPr="005A79C9" w:rsidRDefault="000F5D9D" w:rsidP="000B3CF0">
            <w:pPr>
              <w:pStyle w:val="NoSpacing"/>
            </w:pPr>
            <w:r w:rsidRPr="005A79C9">
              <w:t xml:space="preserve">Female </w:t>
            </w:r>
          </w:p>
        </w:tc>
      </w:tr>
      <w:tr w:rsidR="000F5D9D" w:rsidRPr="005A79C9" w14:paraId="2C10005E" w14:textId="77777777" w:rsidTr="000B3CF0">
        <w:tc>
          <w:tcPr>
            <w:tcW w:w="708" w:type="dxa"/>
            <w:vAlign w:val="center"/>
          </w:tcPr>
          <w:p w14:paraId="2101CEC9" w14:textId="34148B66" w:rsidR="000F5D9D" w:rsidRPr="005A79C9" w:rsidRDefault="000B3CF0" w:rsidP="000B3CF0">
            <w:pPr>
              <w:pStyle w:val="NoSpacing"/>
            </w:pPr>
            <w:r>
              <w:t>4.</w:t>
            </w:r>
          </w:p>
        </w:tc>
        <w:tc>
          <w:tcPr>
            <w:tcW w:w="1418" w:type="dxa"/>
          </w:tcPr>
          <w:p w14:paraId="5D66BD8C" w14:textId="77777777" w:rsidR="000F5D9D" w:rsidRPr="005A79C9" w:rsidRDefault="000F5D9D" w:rsidP="000B3CF0">
            <w:pPr>
              <w:pStyle w:val="NoSpacing"/>
            </w:pPr>
            <w:r w:rsidRPr="005A79C9">
              <w:t xml:space="preserve">Ethnicity </w:t>
            </w:r>
          </w:p>
        </w:tc>
        <w:tc>
          <w:tcPr>
            <w:tcW w:w="1791" w:type="dxa"/>
          </w:tcPr>
          <w:p w14:paraId="49829D78" w14:textId="77777777" w:rsidR="000F5D9D" w:rsidRPr="005A79C9" w:rsidRDefault="000F5D9D" w:rsidP="000B3CF0">
            <w:pPr>
              <w:pStyle w:val="NoSpacing"/>
            </w:pPr>
            <w:r w:rsidRPr="005A79C9">
              <w:t xml:space="preserve">Ethnicity group </w:t>
            </w:r>
          </w:p>
        </w:tc>
        <w:tc>
          <w:tcPr>
            <w:tcW w:w="2045" w:type="dxa"/>
          </w:tcPr>
          <w:p w14:paraId="32DFD6DE" w14:textId="77777777" w:rsidR="000F5D9D" w:rsidRPr="005A79C9" w:rsidRDefault="000F5D9D" w:rsidP="000B3CF0">
            <w:pPr>
              <w:pStyle w:val="NoSpacing"/>
            </w:pPr>
            <w:r w:rsidRPr="005A79C9">
              <w:t xml:space="preserve">Ethnicity of respondent </w:t>
            </w:r>
          </w:p>
        </w:tc>
        <w:tc>
          <w:tcPr>
            <w:tcW w:w="2826" w:type="dxa"/>
          </w:tcPr>
          <w:p w14:paraId="5042C70F" w14:textId="77777777" w:rsidR="000F5D9D" w:rsidRPr="005A79C9" w:rsidRDefault="000F5D9D" w:rsidP="000B3CF0">
            <w:pPr>
              <w:pStyle w:val="NoSpacing"/>
            </w:pPr>
            <w:r w:rsidRPr="005A79C9">
              <w:t xml:space="preserve">Malay </w:t>
            </w:r>
          </w:p>
          <w:p w14:paraId="2CDB5E12" w14:textId="77777777" w:rsidR="000F5D9D" w:rsidRPr="005A79C9" w:rsidRDefault="000F5D9D" w:rsidP="000B3CF0">
            <w:pPr>
              <w:pStyle w:val="NoSpacing"/>
            </w:pPr>
            <w:r w:rsidRPr="005A79C9">
              <w:t xml:space="preserve">Chinese </w:t>
            </w:r>
          </w:p>
          <w:p w14:paraId="76B4A749" w14:textId="77777777" w:rsidR="000F5D9D" w:rsidRPr="005A79C9" w:rsidRDefault="000F5D9D" w:rsidP="000B3CF0">
            <w:pPr>
              <w:pStyle w:val="NoSpacing"/>
            </w:pPr>
            <w:r w:rsidRPr="005A79C9">
              <w:t xml:space="preserve">Indian </w:t>
            </w:r>
          </w:p>
          <w:p w14:paraId="0B82980E" w14:textId="77777777" w:rsidR="000F5D9D" w:rsidRPr="005A79C9" w:rsidRDefault="000F5D9D" w:rsidP="000B3CF0">
            <w:pPr>
              <w:pStyle w:val="NoSpacing"/>
            </w:pPr>
            <w:r w:rsidRPr="005A79C9">
              <w:t xml:space="preserve">Others </w:t>
            </w:r>
          </w:p>
        </w:tc>
      </w:tr>
      <w:tr w:rsidR="000F5D9D" w:rsidRPr="005A79C9" w14:paraId="616369A0" w14:textId="77777777" w:rsidTr="000B3CF0">
        <w:tc>
          <w:tcPr>
            <w:tcW w:w="708" w:type="dxa"/>
            <w:vAlign w:val="center"/>
          </w:tcPr>
          <w:p w14:paraId="7CEAE139" w14:textId="61DB0667" w:rsidR="000F5D9D" w:rsidRPr="005A79C9" w:rsidRDefault="000B3CF0" w:rsidP="000B3CF0">
            <w:pPr>
              <w:pStyle w:val="NoSpacing"/>
            </w:pPr>
            <w:r>
              <w:t>5.</w:t>
            </w:r>
          </w:p>
        </w:tc>
        <w:tc>
          <w:tcPr>
            <w:tcW w:w="1418" w:type="dxa"/>
          </w:tcPr>
          <w:p w14:paraId="59CF480F" w14:textId="77777777" w:rsidR="000F5D9D" w:rsidRPr="005A79C9" w:rsidRDefault="000F5D9D" w:rsidP="000B3CF0">
            <w:pPr>
              <w:pStyle w:val="NoSpacing"/>
            </w:pPr>
            <w:r w:rsidRPr="005A79C9">
              <w:t xml:space="preserve">Religion </w:t>
            </w:r>
          </w:p>
        </w:tc>
        <w:tc>
          <w:tcPr>
            <w:tcW w:w="1791" w:type="dxa"/>
          </w:tcPr>
          <w:p w14:paraId="000C4723" w14:textId="77777777" w:rsidR="000F5D9D" w:rsidRPr="005A79C9" w:rsidRDefault="000F5D9D" w:rsidP="000B3CF0">
            <w:pPr>
              <w:pStyle w:val="NoSpacing"/>
            </w:pPr>
            <w:r w:rsidRPr="005A79C9">
              <w:t>Religion</w:t>
            </w:r>
          </w:p>
        </w:tc>
        <w:tc>
          <w:tcPr>
            <w:tcW w:w="2045" w:type="dxa"/>
          </w:tcPr>
          <w:p w14:paraId="7211BB77" w14:textId="77777777" w:rsidR="000F5D9D" w:rsidRPr="005A79C9" w:rsidRDefault="000F5D9D" w:rsidP="000B3CF0">
            <w:pPr>
              <w:pStyle w:val="NoSpacing"/>
            </w:pPr>
            <w:r w:rsidRPr="005A79C9">
              <w:t>Religion of the respondent</w:t>
            </w:r>
          </w:p>
        </w:tc>
        <w:tc>
          <w:tcPr>
            <w:tcW w:w="2826" w:type="dxa"/>
          </w:tcPr>
          <w:p w14:paraId="2D51B573" w14:textId="77777777" w:rsidR="000F5D9D" w:rsidRPr="005A79C9" w:rsidRDefault="000F5D9D" w:rsidP="000B3CF0">
            <w:pPr>
              <w:pStyle w:val="NoSpacing"/>
            </w:pPr>
            <w:r w:rsidRPr="005A79C9">
              <w:t>Islam</w:t>
            </w:r>
          </w:p>
          <w:p w14:paraId="32AACF93" w14:textId="77777777" w:rsidR="000F5D9D" w:rsidRPr="005A79C9" w:rsidRDefault="000F5D9D" w:rsidP="000B3CF0">
            <w:pPr>
              <w:pStyle w:val="NoSpacing"/>
            </w:pPr>
            <w:r w:rsidRPr="005A79C9">
              <w:t>Buddha</w:t>
            </w:r>
          </w:p>
          <w:p w14:paraId="5DEA093A" w14:textId="77777777" w:rsidR="000F5D9D" w:rsidRPr="005A79C9" w:rsidRDefault="000F5D9D" w:rsidP="000B3CF0">
            <w:pPr>
              <w:pStyle w:val="NoSpacing"/>
            </w:pPr>
            <w:r w:rsidRPr="005A79C9">
              <w:t xml:space="preserve">Hindu </w:t>
            </w:r>
          </w:p>
          <w:p w14:paraId="7670D334" w14:textId="77777777" w:rsidR="000F5D9D" w:rsidRPr="005A79C9" w:rsidRDefault="000F5D9D" w:rsidP="000B3CF0">
            <w:pPr>
              <w:pStyle w:val="NoSpacing"/>
            </w:pPr>
            <w:r w:rsidRPr="005A79C9">
              <w:t xml:space="preserve">Others </w:t>
            </w:r>
          </w:p>
        </w:tc>
      </w:tr>
      <w:tr w:rsidR="000F5D9D" w:rsidRPr="005A79C9" w14:paraId="7527D444" w14:textId="77777777" w:rsidTr="000B3CF0">
        <w:tc>
          <w:tcPr>
            <w:tcW w:w="708" w:type="dxa"/>
            <w:vAlign w:val="center"/>
          </w:tcPr>
          <w:p w14:paraId="3DD80328" w14:textId="2998F0A6" w:rsidR="000F5D9D" w:rsidRPr="005A79C9" w:rsidRDefault="000B3CF0" w:rsidP="000B3CF0">
            <w:pPr>
              <w:pStyle w:val="NoSpacing"/>
            </w:pPr>
            <w:r>
              <w:t>6.</w:t>
            </w:r>
          </w:p>
        </w:tc>
        <w:tc>
          <w:tcPr>
            <w:tcW w:w="1418" w:type="dxa"/>
          </w:tcPr>
          <w:p w14:paraId="22FDDBD1" w14:textId="77777777" w:rsidR="000F5D9D" w:rsidRPr="005A79C9" w:rsidRDefault="000F5D9D" w:rsidP="000B3CF0">
            <w:pPr>
              <w:pStyle w:val="NoSpacing"/>
            </w:pPr>
            <w:r w:rsidRPr="005A79C9">
              <w:t xml:space="preserve">Marital status   </w:t>
            </w:r>
          </w:p>
        </w:tc>
        <w:tc>
          <w:tcPr>
            <w:tcW w:w="1791" w:type="dxa"/>
          </w:tcPr>
          <w:p w14:paraId="7FE6A2EF" w14:textId="77777777" w:rsidR="000F5D9D" w:rsidRPr="005A79C9" w:rsidRDefault="000F5D9D" w:rsidP="000B3CF0">
            <w:pPr>
              <w:pStyle w:val="NoSpacing"/>
            </w:pPr>
            <w:r w:rsidRPr="005A79C9">
              <w:t xml:space="preserve">Marital </w:t>
            </w:r>
          </w:p>
          <w:p w14:paraId="4E05AC00" w14:textId="77777777" w:rsidR="000F5D9D" w:rsidRPr="005A79C9" w:rsidRDefault="000F5D9D" w:rsidP="000B3CF0">
            <w:pPr>
              <w:pStyle w:val="NoSpacing"/>
            </w:pPr>
          </w:p>
        </w:tc>
        <w:tc>
          <w:tcPr>
            <w:tcW w:w="2045" w:type="dxa"/>
          </w:tcPr>
          <w:p w14:paraId="4AA45B89" w14:textId="77777777" w:rsidR="000F5D9D" w:rsidRPr="005A79C9" w:rsidRDefault="000F5D9D" w:rsidP="000B3CF0">
            <w:pPr>
              <w:pStyle w:val="NoSpacing"/>
            </w:pPr>
            <w:r w:rsidRPr="005A79C9">
              <w:t xml:space="preserve">Current marital status of respondent </w:t>
            </w:r>
          </w:p>
        </w:tc>
        <w:tc>
          <w:tcPr>
            <w:tcW w:w="2826" w:type="dxa"/>
          </w:tcPr>
          <w:p w14:paraId="1E5860F3" w14:textId="77777777" w:rsidR="000F5D9D" w:rsidRPr="005A79C9" w:rsidRDefault="000F5D9D" w:rsidP="000B3CF0">
            <w:pPr>
              <w:pStyle w:val="NoSpacing"/>
            </w:pPr>
            <w:r w:rsidRPr="005A79C9">
              <w:t>Married</w:t>
            </w:r>
          </w:p>
          <w:p w14:paraId="3F8C1D60" w14:textId="77777777" w:rsidR="000F5D9D" w:rsidRPr="005A79C9" w:rsidRDefault="000F5D9D" w:rsidP="000B3CF0">
            <w:pPr>
              <w:pStyle w:val="NoSpacing"/>
            </w:pPr>
            <w:r w:rsidRPr="005A79C9">
              <w:t xml:space="preserve">Unmarried </w:t>
            </w:r>
          </w:p>
          <w:p w14:paraId="7D4FB035" w14:textId="77777777" w:rsidR="000F5D9D" w:rsidRPr="005A79C9" w:rsidRDefault="000F5D9D" w:rsidP="000B3CF0">
            <w:pPr>
              <w:pStyle w:val="NoSpacing"/>
            </w:pPr>
            <w:r w:rsidRPr="005A79C9">
              <w:t>Separated/ Divorced/ Widowed</w:t>
            </w:r>
          </w:p>
        </w:tc>
      </w:tr>
      <w:tr w:rsidR="000F5D9D" w:rsidRPr="005A79C9" w14:paraId="0490B433" w14:textId="77777777" w:rsidTr="000B3CF0">
        <w:tc>
          <w:tcPr>
            <w:tcW w:w="708" w:type="dxa"/>
            <w:vAlign w:val="center"/>
          </w:tcPr>
          <w:p w14:paraId="14072E04" w14:textId="33961FE4" w:rsidR="000F5D9D" w:rsidRPr="005A79C9" w:rsidRDefault="000B3CF0" w:rsidP="000B3CF0">
            <w:pPr>
              <w:pStyle w:val="NoSpacing"/>
            </w:pPr>
            <w:r>
              <w:t>7.</w:t>
            </w:r>
          </w:p>
        </w:tc>
        <w:tc>
          <w:tcPr>
            <w:tcW w:w="1418" w:type="dxa"/>
          </w:tcPr>
          <w:p w14:paraId="727D05EC" w14:textId="77777777" w:rsidR="000F5D9D" w:rsidRPr="005A79C9" w:rsidRDefault="000F5D9D" w:rsidP="000B3CF0">
            <w:pPr>
              <w:pStyle w:val="NoSpacing"/>
            </w:pPr>
            <w:r w:rsidRPr="005A79C9">
              <w:t xml:space="preserve">Education of the parents </w:t>
            </w:r>
          </w:p>
        </w:tc>
        <w:tc>
          <w:tcPr>
            <w:tcW w:w="1791" w:type="dxa"/>
          </w:tcPr>
          <w:p w14:paraId="415930F6" w14:textId="77777777" w:rsidR="000F5D9D" w:rsidRPr="005A79C9" w:rsidRDefault="000F5D9D" w:rsidP="000B3CF0">
            <w:pPr>
              <w:pStyle w:val="NoSpacing"/>
            </w:pPr>
            <w:r w:rsidRPr="005A79C9">
              <w:t xml:space="preserve">Highest education level </w:t>
            </w:r>
          </w:p>
          <w:p w14:paraId="15B81B85" w14:textId="77777777" w:rsidR="000F5D9D" w:rsidRPr="005A79C9" w:rsidRDefault="000F5D9D" w:rsidP="000B3CF0">
            <w:pPr>
              <w:pStyle w:val="NoSpacing"/>
            </w:pPr>
          </w:p>
        </w:tc>
        <w:tc>
          <w:tcPr>
            <w:tcW w:w="2045" w:type="dxa"/>
          </w:tcPr>
          <w:p w14:paraId="5304821A" w14:textId="77777777" w:rsidR="000F5D9D" w:rsidRPr="005A79C9" w:rsidRDefault="000F5D9D" w:rsidP="000B3CF0">
            <w:pPr>
              <w:pStyle w:val="NoSpacing"/>
            </w:pPr>
            <w:r w:rsidRPr="005A79C9">
              <w:t xml:space="preserve">Highest education level attained by respondent </w:t>
            </w:r>
          </w:p>
        </w:tc>
        <w:tc>
          <w:tcPr>
            <w:tcW w:w="2826" w:type="dxa"/>
          </w:tcPr>
          <w:p w14:paraId="6EFFEF8B" w14:textId="77777777" w:rsidR="000F5D9D" w:rsidRPr="005A79C9" w:rsidRDefault="000F5D9D" w:rsidP="000B3CF0">
            <w:pPr>
              <w:pStyle w:val="NoSpacing"/>
            </w:pPr>
            <w:r w:rsidRPr="005A79C9">
              <w:t xml:space="preserve">No formal education </w:t>
            </w:r>
          </w:p>
          <w:p w14:paraId="6B958800" w14:textId="77777777" w:rsidR="000F5D9D" w:rsidRPr="005A79C9" w:rsidRDefault="000F5D9D" w:rsidP="000B3CF0">
            <w:pPr>
              <w:pStyle w:val="NoSpacing"/>
            </w:pPr>
            <w:r w:rsidRPr="005A79C9">
              <w:t xml:space="preserve">Primary education </w:t>
            </w:r>
          </w:p>
          <w:p w14:paraId="628F6667" w14:textId="77777777" w:rsidR="000F5D9D" w:rsidRPr="005A79C9" w:rsidRDefault="000F5D9D" w:rsidP="000B3CF0">
            <w:pPr>
              <w:pStyle w:val="NoSpacing"/>
            </w:pPr>
            <w:r w:rsidRPr="005A79C9">
              <w:t xml:space="preserve">Secondary education </w:t>
            </w:r>
          </w:p>
          <w:p w14:paraId="325867BE" w14:textId="77777777" w:rsidR="000F5D9D" w:rsidRPr="005A79C9" w:rsidRDefault="000F5D9D" w:rsidP="000B3CF0">
            <w:pPr>
              <w:pStyle w:val="NoSpacing"/>
            </w:pPr>
            <w:r w:rsidRPr="005A79C9">
              <w:t xml:space="preserve">Tertiary education </w:t>
            </w:r>
          </w:p>
        </w:tc>
      </w:tr>
      <w:tr w:rsidR="000F5D9D" w:rsidRPr="005A79C9" w14:paraId="0B061822" w14:textId="77777777" w:rsidTr="000B3CF0">
        <w:tc>
          <w:tcPr>
            <w:tcW w:w="708" w:type="dxa"/>
            <w:vAlign w:val="center"/>
          </w:tcPr>
          <w:p w14:paraId="3E5DC9A4" w14:textId="6A77D51B" w:rsidR="000F5D9D" w:rsidRPr="005A79C9" w:rsidRDefault="000B3CF0" w:rsidP="000B3CF0">
            <w:pPr>
              <w:pStyle w:val="NoSpacing"/>
            </w:pPr>
            <w:r>
              <w:t>8.</w:t>
            </w:r>
          </w:p>
        </w:tc>
        <w:tc>
          <w:tcPr>
            <w:tcW w:w="1418" w:type="dxa"/>
          </w:tcPr>
          <w:p w14:paraId="2F0D6C80" w14:textId="77777777" w:rsidR="000F5D9D" w:rsidRPr="005A79C9" w:rsidRDefault="000F5D9D" w:rsidP="000B3CF0">
            <w:pPr>
              <w:pStyle w:val="NoSpacing"/>
            </w:pPr>
            <w:r w:rsidRPr="005A79C9">
              <w:t xml:space="preserve">Occupation </w:t>
            </w:r>
          </w:p>
        </w:tc>
        <w:tc>
          <w:tcPr>
            <w:tcW w:w="1791" w:type="dxa"/>
          </w:tcPr>
          <w:p w14:paraId="31082EC3" w14:textId="77777777" w:rsidR="000F5D9D" w:rsidRPr="005A79C9" w:rsidRDefault="000F5D9D" w:rsidP="000B3CF0">
            <w:pPr>
              <w:pStyle w:val="NoSpacing"/>
            </w:pPr>
            <w:r w:rsidRPr="005A79C9">
              <w:t xml:space="preserve">Occupation </w:t>
            </w:r>
          </w:p>
        </w:tc>
        <w:tc>
          <w:tcPr>
            <w:tcW w:w="2045" w:type="dxa"/>
          </w:tcPr>
          <w:p w14:paraId="21F6B486" w14:textId="77777777" w:rsidR="000F5D9D" w:rsidRPr="005A79C9" w:rsidRDefault="000F5D9D" w:rsidP="000B3CF0">
            <w:pPr>
              <w:pStyle w:val="NoSpacing"/>
            </w:pPr>
            <w:r w:rsidRPr="005A79C9">
              <w:t xml:space="preserve">Current occupation of respondent </w:t>
            </w:r>
          </w:p>
        </w:tc>
        <w:tc>
          <w:tcPr>
            <w:tcW w:w="2826" w:type="dxa"/>
          </w:tcPr>
          <w:p w14:paraId="10784FAD" w14:textId="77777777" w:rsidR="000F5D9D" w:rsidRPr="005A79C9" w:rsidRDefault="000F5D9D" w:rsidP="000B3CF0">
            <w:pPr>
              <w:pStyle w:val="NoSpacing"/>
            </w:pPr>
            <w:r w:rsidRPr="005A79C9">
              <w:t>Public Sector</w:t>
            </w:r>
          </w:p>
          <w:p w14:paraId="72954EE6" w14:textId="77777777" w:rsidR="000F5D9D" w:rsidRPr="005A79C9" w:rsidRDefault="000F5D9D" w:rsidP="000B3CF0">
            <w:pPr>
              <w:pStyle w:val="NoSpacing"/>
            </w:pPr>
            <w:r w:rsidRPr="005A79C9">
              <w:t xml:space="preserve">Private Sector </w:t>
            </w:r>
          </w:p>
          <w:p w14:paraId="6500D074" w14:textId="77777777" w:rsidR="000F5D9D" w:rsidRPr="005A79C9" w:rsidRDefault="000F5D9D" w:rsidP="000B3CF0">
            <w:pPr>
              <w:pStyle w:val="NoSpacing"/>
            </w:pPr>
            <w:r w:rsidRPr="005A79C9">
              <w:t>Self-employed</w:t>
            </w:r>
          </w:p>
          <w:p w14:paraId="6B49D891" w14:textId="77777777" w:rsidR="000F5D9D" w:rsidRPr="005A79C9" w:rsidRDefault="000F5D9D" w:rsidP="000B3CF0">
            <w:pPr>
              <w:pStyle w:val="NoSpacing"/>
            </w:pPr>
            <w:r w:rsidRPr="005A79C9">
              <w:t>Housewife/ unemployed</w:t>
            </w:r>
          </w:p>
        </w:tc>
      </w:tr>
      <w:tr w:rsidR="000F5D9D" w:rsidRPr="005A79C9" w14:paraId="6B665091" w14:textId="77777777" w:rsidTr="000B3CF0">
        <w:tc>
          <w:tcPr>
            <w:tcW w:w="708" w:type="dxa"/>
            <w:vAlign w:val="center"/>
          </w:tcPr>
          <w:p w14:paraId="03D881BC" w14:textId="6EAC53D1" w:rsidR="000F5D9D" w:rsidRPr="005A79C9" w:rsidRDefault="000B3CF0" w:rsidP="000B3CF0">
            <w:pPr>
              <w:pStyle w:val="NoSpacing"/>
            </w:pPr>
            <w:r>
              <w:t>9</w:t>
            </w:r>
            <w:r w:rsidR="000F5D9D" w:rsidRPr="005A79C9">
              <w:t>.</w:t>
            </w:r>
          </w:p>
        </w:tc>
        <w:tc>
          <w:tcPr>
            <w:tcW w:w="1418" w:type="dxa"/>
          </w:tcPr>
          <w:p w14:paraId="23F5B150" w14:textId="77777777" w:rsidR="000F5D9D" w:rsidRPr="005A79C9" w:rsidRDefault="000F5D9D" w:rsidP="000B3CF0">
            <w:pPr>
              <w:pStyle w:val="NoSpacing"/>
            </w:pPr>
            <w:r w:rsidRPr="005A79C9">
              <w:t xml:space="preserve">Household income </w:t>
            </w:r>
          </w:p>
        </w:tc>
        <w:tc>
          <w:tcPr>
            <w:tcW w:w="1791" w:type="dxa"/>
          </w:tcPr>
          <w:p w14:paraId="239FFD64" w14:textId="77777777" w:rsidR="000F5D9D" w:rsidRPr="005A79C9" w:rsidRDefault="000F5D9D" w:rsidP="000B3CF0">
            <w:pPr>
              <w:pStyle w:val="NoSpacing"/>
            </w:pPr>
            <w:r w:rsidRPr="005A79C9">
              <w:t xml:space="preserve">Household income </w:t>
            </w:r>
          </w:p>
          <w:p w14:paraId="4BC8A910" w14:textId="77777777" w:rsidR="000F5D9D" w:rsidRPr="005A79C9" w:rsidRDefault="000F5D9D" w:rsidP="000B3CF0">
            <w:pPr>
              <w:pStyle w:val="NoSpacing"/>
            </w:pPr>
          </w:p>
        </w:tc>
        <w:tc>
          <w:tcPr>
            <w:tcW w:w="2045" w:type="dxa"/>
          </w:tcPr>
          <w:p w14:paraId="6C0AAC71" w14:textId="77777777" w:rsidR="000F5D9D" w:rsidRPr="005A79C9" w:rsidRDefault="000F5D9D" w:rsidP="000B3CF0">
            <w:pPr>
              <w:pStyle w:val="NoSpacing"/>
            </w:pPr>
            <w:r w:rsidRPr="005A79C9">
              <w:t xml:space="preserve">Household income </w:t>
            </w:r>
          </w:p>
          <w:p w14:paraId="70865EE3" w14:textId="77777777" w:rsidR="000F5D9D" w:rsidRPr="005A79C9" w:rsidRDefault="000F5D9D" w:rsidP="000B3CF0">
            <w:pPr>
              <w:pStyle w:val="NoSpacing"/>
            </w:pPr>
          </w:p>
        </w:tc>
        <w:tc>
          <w:tcPr>
            <w:tcW w:w="2826" w:type="dxa"/>
          </w:tcPr>
          <w:p w14:paraId="6DF323C5" w14:textId="77777777" w:rsidR="000F5D9D" w:rsidRPr="005A79C9" w:rsidRDefault="000F5D9D" w:rsidP="000B3CF0">
            <w:pPr>
              <w:pStyle w:val="NoSpacing"/>
            </w:pPr>
            <w:r w:rsidRPr="005A79C9">
              <w:t>Less than RM1000</w:t>
            </w:r>
          </w:p>
          <w:p w14:paraId="23B03FC5" w14:textId="77777777" w:rsidR="000F5D9D" w:rsidRPr="005A79C9" w:rsidRDefault="000F5D9D" w:rsidP="000B3CF0">
            <w:pPr>
              <w:pStyle w:val="NoSpacing"/>
            </w:pPr>
            <w:r w:rsidRPr="005A79C9">
              <w:t>RM1000 – RM1999</w:t>
            </w:r>
          </w:p>
          <w:p w14:paraId="3B8B1E24" w14:textId="77777777" w:rsidR="000F5D9D" w:rsidRPr="005A79C9" w:rsidRDefault="000F5D9D" w:rsidP="000B3CF0">
            <w:pPr>
              <w:pStyle w:val="NoSpacing"/>
            </w:pPr>
            <w:r w:rsidRPr="005A79C9">
              <w:t>RM2000 – RM2999</w:t>
            </w:r>
          </w:p>
          <w:p w14:paraId="6310200C" w14:textId="77777777" w:rsidR="000F5D9D" w:rsidRPr="005A79C9" w:rsidRDefault="000F5D9D" w:rsidP="000B3CF0">
            <w:pPr>
              <w:pStyle w:val="NoSpacing"/>
            </w:pPr>
            <w:r w:rsidRPr="005A79C9">
              <w:t>RM3000 – RM3999</w:t>
            </w:r>
          </w:p>
          <w:p w14:paraId="7CAA4572" w14:textId="77777777" w:rsidR="000F5D9D" w:rsidRPr="005A79C9" w:rsidRDefault="000F5D9D" w:rsidP="000B3CF0">
            <w:pPr>
              <w:pStyle w:val="NoSpacing"/>
            </w:pPr>
            <w:r w:rsidRPr="005A79C9">
              <w:t>RM4000 – RM4999</w:t>
            </w:r>
          </w:p>
          <w:p w14:paraId="2B37257E" w14:textId="77777777" w:rsidR="000F5D9D" w:rsidRPr="005A79C9" w:rsidRDefault="000F5D9D" w:rsidP="000B3CF0">
            <w:pPr>
              <w:pStyle w:val="NoSpacing"/>
            </w:pPr>
            <w:r w:rsidRPr="005A79C9">
              <w:t>RM5000 – RM 10000</w:t>
            </w:r>
          </w:p>
          <w:p w14:paraId="7DA62F02" w14:textId="77777777" w:rsidR="000F5D9D" w:rsidRPr="005A79C9" w:rsidRDefault="000F5D9D" w:rsidP="000B3CF0">
            <w:pPr>
              <w:pStyle w:val="NoSpacing"/>
            </w:pPr>
            <w:r w:rsidRPr="005A79C9">
              <w:t>More than RM 10000</w:t>
            </w:r>
          </w:p>
        </w:tc>
      </w:tr>
      <w:tr w:rsidR="000F5D9D" w:rsidRPr="005A79C9" w14:paraId="3C913706" w14:textId="77777777" w:rsidTr="000B3CF0">
        <w:tc>
          <w:tcPr>
            <w:tcW w:w="708" w:type="dxa"/>
            <w:vAlign w:val="center"/>
          </w:tcPr>
          <w:p w14:paraId="4F2DB9CB" w14:textId="63B3BAC7" w:rsidR="000F5D9D" w:rsidRPr="005A79C9" w:rsidRDefault="000B3CF0" w:rsidP="000B3CF0">
            <w:pPr>
              <w:pStyle w:val="NoSpacing"/>
            </w:pPr>
            <w:r>
              <w:t>10</w:t>
            </w:r>
            <w:r w:rsidR="000F5D9D" w:rsidRPr="005A79C9">
              <w:t>.</w:t>
            </w:r>
          </w:p>
        </w:tc>
        <w:tc>
          <w:tcPr>
            <w:tcW w:w="1418" w:type="dxa"/>
          </w:tcPr>
          <w:p w14:paraId="283D88F9" w14:textId="77777777" w:rsidR="000F5D9D" w:rsidRPr="005A79C9" w:rsidRDefault="000F5D9D" w:rsidP="000B3CF0">
            <w:pPr>
              <w:pStyle w:val="NoSpacing"/>
            </w:pPr>
            <w:r w:rsidRPr="005A79C9">
              <w:t>Number of children alive in household</w:t>
            </w:r>
          </w:p>
        </w:tc>
        <w:tc>
          <w:tcPr>
            <w:tcW w:w="1791" w:type="dxa"/>
          </w:tcPr>
          <w:p w14:paraId="5BBC8555" w14:textId="77777777" w:rsidR="000F5D9D" w:rsidRPr="005A79C9" w:rsidRDefault="000F5D9D" w:rsidP="000B3CF0">
            <w:pPr>
              <w:pStyle w:val="NoSpacing"/>
            </w:pPr>
            <w:r w:rsidRPr="005A79C9">
              <w:t xml:space="preserve">No of children in the house </w:t>
            </w:r>
          </w:p>
        </w:tc>
        <w:tc>
          <w:tcPr>
            <w:tcW w:w="2045" w:type="dxa"/>
          </w:tcPr>
          <w:p w14:paraId="6A53F5A7" w14:textId="77777777" w:rsidR="000F5D9D" w:rsidRPr="005A79C9" w:rsidRDefault="000F5D9D" w:rsidP="000B3CF0">
            <w:pPr>
              <w:pStyle w:val="NoSpacing"/>
            </w:pPr>
            <w:r w:rsidRPr="005A79C9">
              <w:t>Number of children in the house</w:t>
            </w:r>
          </w:p>
        </w:tc>
        <w:tc>
          <w:tcPr>
            <w:tcW w:w="2826" w:type="dxa"/>
          </w:tcPr>
          <w:p w14:paraId="3203F776" w14:textId="77777777" w:rsidR="000F5D9D" w:rsidRPr="005A79C9" w:rsidRDefault="000F5D9D" w:rsidP="000B3CF0">
            <w:pPr>
              <w:pStyle w:val="NoSpacing"/>
            </w:pPr>
            <w:r w:rsidRPr="005A79C9">
              <w:t>One</w:t>
            </w:r>
          </w:p>
          <w:p w14:paraId="5D394401" w14:textId="77777777" w:rsidR="000F5D9D" w:rsidRPr="005A79C9" w:rsidRDefault="000F5D9D" w:rsidP="000B3CF0">
            <w:pPr>
              <w:pStyle w:val="NoSpacing"/>
            </w:pPr>
            <w:r w:rsidRPr="005A79C9">
              <w:t>Two</w:t>
            </w:r>
          </w:p>
          <w:p w14:paraId="78F2C7E8" w14:textId="77777777" w:rsidR="000F5D9D" w:rsidRPr="005A79C9" w:rsidRDefault="000F5D9D" w:rsidP="000B3CF0">
            <w:pPr>
              <w:pStyle w:val="NoSpacing"/>
            </w:pPr>
            <w:r w:rsidRPr="005A79C9">
              <w:t>Three</w:t>
            </w:r>
          </w:p>
          <w:p w14:paraId="14EBFE8D" w14:textId="77777777" w:rsidR="000F5D9D" w:rsidRPr="005A79C9" w:rsidRDefault="000F5D9D" w:rsidP="000B3CF0">
            <w:pPr>
              <w:pStyle w:val="NoSpacing"/>
            </w:pPr>
            <w:r w:rsidRPr="005A79C9">
              <w:t>Four or more</w:t>
            </w:r>
          </w:p>
        </w:tc>
      </w:tr>
      <w:tr w:rsidR="000F5D9D" w:rsidRPr="005A79C9" w14:paraId="623CC672" w14:textId="77777777" w:rsidTr="000B3CF0">
        <w:tc>
          <w:tcPr>
            <w:tcW w:w="708" w:type="dxa"/>
            <w:vAlign w:val="center"/>
          </w:tcPr>
          <w:p w14:paraId="29F8A5D1" w14:textId="66A8892A" w:rsidR="000F5D9D" w:rsidRPr="005A79C9" w:rsidRDefault="000B3CF0" w:rsidP="000B3CF0">
            <w:pPr>
              <w:pStyle w:val="NoSpacing"/>
              <w:rPr>
                <w:highlight w:val="yellow"/>
              </w:rPr>
            </w:pPr>
            <w:r>
              <w:rPr>
                <w:highlight w:val="yellow"/>
              </w:rPr>
              <w:t>11</w:t>
            </w:r>
            <w:r w:rsidR="000F5D9D" w:rsidRPr="005A79C9">
              <w:rPr>
                <w:highlight w:val="yellow"/>
              </w:rPr>
              <w:t>.</w:t>
            </w:r>
          </w:p>
        </w:tc>
        <w:tc>
          <w:tcPr>
            <w:tcW w:w="1418" w:type="dxa"/>
          </w:tcPr>
          <w:p w14:paraId="1FF49497" w14:textId="2F2778ED" w:rsidR="000F5D9D" w:rsidRDefault="00BB1102" w:rsidP="000B3CF0">
            <w:pPr>
              <w:pStyle w:val="NoSpacing"/>
              <w:rPr>
                <w:highlight w:val="yellow"/>
              </w:rPr>
            </w:pPr>
            <w:r>
              <w:rPr>
                <w:highlight w:val="yellow"/>
              </w:rPr>
              <w:t xml:space="preserve">Past experienced </w:t>
            </w:r>
            <w:r>
              <w:rPr>
                <w:highlight w:val="yellow"/>
              </w:rPr>
              <w:lastRenderedPageBreak/>
              <w:t>with vaccine?</w:t>
            </w:r>
          </w:p>
          <w:p w14:paraId="42FE0516" w14:textId="3785B81A" w:rsidR="00BB1102" w:rsidRPr="005A79C9" w:rsidRDefault="00BB1102" w:rsidP="000B3CF0">
            <w:pPr>
              <w:pStyle w:val="NoSpacing"/>
              <w:rPr>
                <w:highlight w:val="yellow"/>
              </w:rPr>
            </w:pPr>
          </w:p>
        </w:tc>
        <w:tc>
          <w:tcPr>
            <w:tcW w:w="1791" w:type="dxa"/>
          </w:tcPr>
          <w:p w14:paraId="261605BE" w14:textId="77777777" w:rsidR="000F5D9D" w:rsidRPr="005A79C9" w:rsidRDefault="000F5D9D" w:rsidP="000B3CF0">
            <w:pPr>
              <w:pStyle w:val="NoSpacing"/>
              <w:rPr>
                <w:highlight w:val="yellow"/>
              </w:rPr>
            </w:pPr>
            <w:r w:rsidRPr="005A79C9">
              <w:rPr>
                <w:highlight w:val="yellow"/>
              </w:rPr>
              <w:lastRenderedPageBreak/>
              <w:t xml:space="preserve"> </w:t>
            </w:r>
          </w:p>
          <w:p w14:paraId="35E72151" w14:textId="77777777" w:rsidR="000F5D9D" w:rsidRPr="005A79C9" w:rsidRDefault="000F5D9D" w:rsidP="000B3CF0">
            <w:pPr>
              <w:pStyle w:val="NoSpacing"/>
              <w:rPr>
                <w:highlight w:val="yellow"/>
              </w:rPr>
            </w:pPr>
          </w:p>
        </w:tc>
        <w:tc>
          <w:tcPr>
            <w:tcW w:w="2045" w:type="dxa"/>
          </w:tcPr>
          <w:p w14:paraId="7EF5EB5A" w14:textId="77777777" w:rsidR="000F5D9D" w:rsidRPr="005A79C9" w:rsidRDefault="000F5D9D" w:rsidP="000B3CF0">
            <w:pPr>
              <w:pStyle w:val="NoSpacing"/>
              <w:rPr>
                <w:highlight w:val="yellow"/>
              </w:rPr>
            </w:pPr>
            <w:r w:rsidRPr="005A79C9">
              <w:rPr>
                <w:highlight w:val="yellow"/>
              </w:rPr>
              <w:t xml:space="preserve"> </w:t>
            </w:r>
          </w:p>
          <w:p w14:paraId="3B52CE1D" w14:textId="77777777" w:rsidR="000F5D9D" w:rsidRPr="005A79C9" w:rsidRDefault="000F5D9D" w:rsidP="000B3CF0">
            <w:pPr>
              <w:pStyle w:val="NoSpacing"/>
              <w:rPr>
                <w:highlight w:val="yellow"/>
              </w:rPr>
            </w:pPr>
          </w:p>
        </w:tc>
        <w:tc>
          <w:tcPr>
            <w:tcW w:w="2826" w:type="dxa"/>
          </w:tcPr>
          <w:p w14:paraId="72B9F018" w14:textId="77777777" w:rsidR="000F5D9D" w:rsidRPr="005A79C9" w:rsidRDefault="000F5D9D" w:rsidP="000B3CF0">
            <w:pPr>
              <w:pStyle w:val="NoSpacing"/>
              <w:rPr>
                <w:highlight w:val="yellow"/>
              </w:rPr>
            </w:pPr>
            <w:r w:rsidRPr="005A79C9">
              <w:rPr>
                <w:highlight w:val="yellow"/>
              </w:rPr>
              <w:t xml:space="preserve">  </w:t>
            </w:r>
          </w:p>
        </w:tc>
      </w:tr>
      <w:tr w:rsidR="000F5D9D" w:rsidRPr="005A79C9" w14:paraId="64844DA4" w14:textId="77777777" w:rsidTr="000B3CF0">
        <w:tc>
          <w:tcPr>
            <w:tcW w:w="708" w:type="dxa"/>
            <w:vAlign w:val="center"/>
          </w:tcPr>
          <w:p w14:paraId="5095FBD3" w14:textId="083374B0" w:rsidR="000F5D9D" w:rsidRPr="005A79C9" w:rsidRDefault="000F5D9D" w:rsidP="000B3CF0">
            <w:pPr>
              <w:pStyle w:val="NoSpacing"/>
              <w:rPr>
                <w:highlight w:val="yellow"/>
              </w:rPr>
            </w:pPr>
            <w:r w:rsidRPr="005A79C9">
              <w:rPr>
                <w:highlight w:val="yellow"/>
              </w:rPr>
              <w:t>1</w:t>
            </w:r>
            <w:r w:rsidR="000B3CF0">
              <w:rPr>
                <w:highlight w:val="yellow"/>
              </w:rPr>
              <w:t>2</w:t>
            </w:r>
            <w:r w:rsidRPr="005A79C9">
              <w:rPr>
                <w:highlight w:val="yellow"/>
              </w:rPr>
              <w:t>.</w:t>
            </w:r>
          </w:p>
        </w:tc>
        <w:tc>
          <w:tcPr>
            <w:tcW w:w="1418" w:type="dxa"/>
          </w:tcPr>
          <w:p w14:paraId="5C1DF9D0" w14:textId="77777777" w:rsidR="000B3CF0" w:rsidRDefault="000F5D9D" w:rsidP="000B3CF0">
            <w:pPr>
              <w:pStyle w:val="NoSpacing"/>
              <w:rPr>
                <w:highlight w:val="yellow"/>
              </w:rPr>
            </w:pPr>
            <w:r w:rsidRPr="005A79C9">
              <w:rPr>
                <w:highlight w:val="yellow"/>
              </w:rPr>
              <w:t xml:space="preserve">Which vaccine concern you the most? </w:t>
            </w:r>
          </w:p>
          <w:p w14:paraId="3FA58289" w14:textId="77777777" w:rsidR="000B3CF0" w:rsidRDefault="000B3CF0" w:rsidP="000B3CF0">
            <w:pPr>
              <w:pStyle w:val="NoSpacing"/>
              <w:rPr>
                <w:highlight w:val="yellow"/>
              </w:rPr>
            </w:pPr>
          </w:p>
          <w:p w14:paraId="24EAA386" w14:textId="050583FF" w:rsidR="000F5D9D" w:rsidRPr="005A79C9" w:rsidRDefault="000F5D9D" w:rsidP="000B3CF0">
            <w:pPr>
              <w:pStyle w:val="NoSpacing"/>
              <w:rPr>
                <w:highlight w:val="yellow"/>
              </w:rPr>
            </w:pPr>
            <w:r w:rsidRPr="005A79C9">
              <w:rPr>
                <w:highlight w:val="yellow"/>
              </w:rPr>
              <w:t>And why</w:t>
            </w:r>
          </w:p>
        </w:tc>
        <w:tc>
          <w:tcPr>
            <w:tcW w:w="1791" w:type="dxa"/>
          </w:tcPr>
          <w:p w14:paraId="5890054C" w14:textId="77777777" w:rsidR="000F5D9D" w:rsidRPr="005A79C9" w:rsidRDefault="000F5D9D" w:rsidP="000B3CF0">
            <w:pPr>
              <w:pStyle w:val="NoSpacing"/>
              <w:rPr>
                <w:highlight w:val="yellow"/>
              </w:rPr>
            </w:pPr>
            <w:r w:rsidRPr="005A79C9">
              <w:rPr>
                <w:highlight w:val="yellow"/>
              </w:rPr>
              <w:t>Type of vaccine</w:t>
            </w:r>
          </w:p>
        </w:tc>
        <w:tc>
          <w:tcPr>
            <w:tcW w:w="2045" w:type="dxa"/>
          </w:tcPr>
          <w:p w14:paraId="2828289A" w14:textId="77777777" w:rsidR="000F5D9D" w:rsidRPr="005A79C9" w:rsidRDefault="000F5D9D" w:rsidP="000B3CF0">
            <w:pPr>
              <w:pStyle w:val="NoSpacing"/>
              <w:rPr>
                <w:highlight w:val="yellow"/>
              </w:rPr>
            </w:pPr>
            <w:r w:rsidRPr="005A79C9">
              <w:rPr>
                <w:highlight w:val="yellow"/>
              </w:rPr>
              <w:t>Type of vaccine most concerned about</w:t>
            </w:r>
          </w:p>
        </w:tc>
        <w:tc>
          <w:tcPr>
            <w:tcW w:w="2826" w:type="dxa"/>
          </w:tcPr>
          <w:p w14:paraId="27AA5651" w14:textId="77777777" w:rsidR="000F5D9D" w:rsidRPr="005A79C9" w:rsidRDefault="000F5D9D" w:rsidP="000B3CF0">
            <w:pPr>
              <w:pStyle w:val="NoSpacing"/>
              <w:rPr>
                <w:highlight w:val="yellow"/>
              </w:rPr>
            </w:pPr>
            <w:r w:rsidRPr="005A79C9">
              <w:rPr>
                <w:highlight w:val="yellow"/>
              </w:rPr>
              <w:t>BCG</w:t>
            </w:r>
          </w:p>
          <w:p w14:paraId="4CBE2802" w14:textId="77777777" w:rsidR="000F5D9D" w:rsidRPr="005A79C9" w:rsidRDefault="000F5D9D" w:rsidP="000B3CF0">
            <w:pPr>
              <w:pStyle w:val="NoSpacing"/>
              <w:rPr>
                <w:highlight w:val="yellow"/>
              </w:rPr>
            </w:pPr>
            <w:r w:rsidRPr="005A79C9">
              <w:rPr>
                <w:highlight w:val="yellow"/>
              </w:rPr>
              <w:t>Hepatitis B</w:t>
            </w:r>
          </w:p>
          <w:p w14:paraId="3611B29D" w14:textId="77777777" w:rsidR="000F5D9D" w:rsidRPr="005A79C9" w:rsidRDefault="000F5D9D" w:rsidP="000B3CF0">
            <w:pPr>
              <w:pStyle w:val="NoSpacing"/>
              <w:rPr>
                <w:highlight w:val="yellow"/>
              </w:rPr>
            </w:pPr>
            <w:r w:rsidRPr="005A79C9">
              <w:rPr>
                <w:highlight w:val="yellow"/>
              </w:rPr>
              <w:t>DTaP</w:t>
            </w:r>
          </w:p>
          <w:p w14:paraId="5FFDFB5D" w14:textId="77777777" w:rsidR="000F5D9D" w:rsidRPr="005A79C9" w:rsidRDefault="000F5D9D" w:rsidP="000B3CF0">
            <w:pPr>
              <w:pStyle w:val="NoSpacing"/>
              <w:rPr>
                <w:highlight w:val="yellow"/>
              </w:rPr>
            </w:pPr>
            <w:r w:rsidRPr="005A79C9">
              <w:rPr>
                <w:highlight w:val="yellow"/>
              </w:rPr>
              <w:t>Hib</w:t>
            </w:r>
          </w:p>
          <w:p w14:paraId="2DA0FFD2" w14:textId="77777777" w:rsidR="000F5D9D" w:rsidRPr="005A79C9" w:rsidRDefault="000F5D9D" w:rsidP="000B3CF0">
            <w:pPr>
              <w:pStyle w:val="NoSpacing"/>
              <w:rPr>
                <w:highlight w:val="yellow"/>
              </w:rPr>
            </w:pPr>
            <w:r w:rsidRPr="005A79C9">
              <w:rPr>
                <w:highlight w:val="yellow"/>
              </w:rPr>
              <w:t>IPV</w:t>
            </w:r>
          </w:p>
          <w:p w14:paraId="1482D762" w14:textId="77777777" w:rsidR="000F5D9D" w:rsidRPr="005A79C9" w:rsidRDefault="000F5D9D" w:rsidP="000B3CF0">
            <w:pPr>
              <w:pStyle w:val="NoSpacing"/>
              <w:rPr>
                <w:highlight w:val="yellow"/>
              </w:rPr>
            </w:pPr>
            <w:r w:rsidRPr="005A79C9">
              <w:rPr>
                <w:highlight w:val="yellow"/>
              </w:rPr>
              <w:t>MMR</w:t>
            </w:r>
          </w:p>
          <w:p w14:paraId="3F8F1F25" w14:textId="77777777" w:rsidR="000B3CF0" w:rsidRDefault="000B3CF0" w:rsidP="000B3CF0">
            <w:pPr>
              <w:pStyle w:val="NoSpacing"/>
              <w:rPr>
                <w:highlight w:val="yellow"/>
              </w:rPr>
            </w:pPr>
          </w:p>
          <w:p w14:paraId="7A8D9800" w14:textId="391040B5" w:rsidR="000F5D9D" w:rsidRPr="005A79C9" w:rsidRDefault="000F5D9D" w:rsidP="000B3CF0">
            <w:pPr>
              <w:pStyle w:val="NoSpacing"/>
              <w:rPr>
                <w:highlight w:val="yellow"/>
              </w:rPr>
            </w:pPr>
            <w:proofErr w:type="gramStart"/>
            <w:r w:rsidRPr="005A79C9">
              <w:rPr>
                <w:highlight w:val="yellow"/>
              </w:rPr>
              <w:t>Why ?</w:t>
            </w:r>
            <w:proofErr w:type="gramEnd"/>
          </w:p>
          <w:p w14:paraId="250D2A31" w14:textId="77777777" w:rsidR="000F5D9D" w:rsidRPr="005A79C9" w:rsidRDefault="000F5D9D" w:rsidP="000B3CF0">
            <w:pPr>
              <w:pStyle w:val="NoSpacing"/>
              <w:rPr>
                <w:highlight w:val="yellow"/>
              </w:rPr>
            </w:pPr>
          </w:p>
          <w:p w14:paraId="05186CC0" w14:textId="77777777" w:rsidR="000F5D9D" w:rsidRPr="005A79C9" w:rsidRDefault="000F5D9D" w:rsidP="000B3CF0">
            <w:pPr>
              <w:pStyle w:val="NoSpacing"/>
              <w:rPr>
                <w:highlight w:val="yellow"/>
              </w:rPr>
            </w:pPr>
          </w:p>
          <w:p w14:paraId="1510B827" w14:textId="77777777" w:rsidR="000F5D9D" w:rsidRPr="005A79C9" w:rsidRDefault="000F5D9D" w:rsidP="000B3CF0">
            <w:pPr>
              <w:pStyle w:val="NoSpacing"/>
              <w:rPr>
                <w:highlight w:val="yellow"/>
              </w:rPr>
            </w:pPr>
          </w:p>
          <w:p w14:paraId="3D755EB3" w14:textId="77777777" w:rsidR="000F5D9D" w:rsidRPr="005A79C9" w:rsidRDefault="000F5D9D" w:rsidP="000B3CF0">
            <w:pPr>
              <w:pStyle w:val="NoSpacing"/>
              <w:rPr>
                <w:highlight w:val="yellow"/>
              </w:rPr>
            </w:pPr>
          </w:p>
          <w:p w14:paraId="5ABECB26" w14:textId="77777777" w:rsidR="000F5D9D" w:rsidRPr="005A79C9" w:rsidRDefault="000F5D9D" w:rsidP="000B3CF0">
            <w:pPr>
              <w:pStyle w:val="NoSpacing"/>
              <w:rPr>
                <w:highlight w:val="yellow"/>
              </w:rPr>
            </w:pPr>
          </w:p>
        </w:tc>
      </w:tr>
    </w:tbl>
    <w:p w14:paraId="42A36871" w14:textId="77777777" w:rsidR="000F5D9D" w:rsidRPr="005A79C9" w:rsidRDefault="000F5D9D" w:rsidP="000B3CF0">
      <w:pPr>
        <w:pStyle w:val="NoSpacing"/>
      </w:pPr>
    </w:p>
    <w:p w14:paraId="11EA850E" w14:textId="77777777" w:rsidR="000F5D9D" w:rsidRPr="005A79C9" w:rsidRDefault="000F5D9D" w:rsidP="000B3CF0">
      <w:pPr>
        <w:pStyle w:val="NoSpacing"/>
      </w:pPr>
    </w:p>
    <w:p w14:paraId="4E7CF295" w14:textId="5E1284BC" w:rsidR="000B3CF0" w:rsidRDefault="000B3CF0" w:rsidP="00F24855">
      <w:pPr>
        <w:pStyle w:val="Heading2"/>
        <w:numPr>
          <w:ilvl w:val="2"/>
          <w:numId w:val="14"/>
        </w:numPr>
        <w:spacing w:line="360" w:lineRule="auto"/>
        <w:jc w:val="both"/>
        <w:rPr>
          <w:rFonts w:ascii="Times New Roman" w:hAnsi="Times New Roman" w:cs="Times New Roman"/>
          <w:b/>
          <w:bCs/>
          <w:color w:val="auto"/>
          <w:sz w:val="24"/>
          <w:szCs w:val="24"/>
        </w:rPr>
      </w:pPr>
      <w:bookmarkStart w:id="32" w:name="_Toc31400971"/>
      <w:r w:rsidRPr="000B3CF0">
        <w:rPr>
          <w:rFonts w:ascii="Times New Roman" w:hAnsi="Times New Roman" w:cs="Times New Roman"/>
          <w:b/>
          <w:bCs/>
          <w:color w:val="auto"/>
          <w:sz w:val="24"/>
          <w:szCs w:val="24"/>
        </w:rPr>
        <w:t>Study variables</w:t>
      </w:r>
      <w:bookmarkEnd w:id="32"/>
    </w:p>
    <w:p w14:paraId="077B0827" w14:textId="77777777" w:rsidR="000B3CF0" w:rsidRPr="000B3CF0" w:rsidRDefault="000B3CF0" w:rsidP="000B3CF0"/>
    <w:p w14:paraId="03C6B018" w14:textId="77777777" w:rsidR="000F5D9D" w:rsidRPr="005A79C9" w:rsidRDefault="000F5D9D" w:rsidP="000B3CF0">
      <w:pPr>
        <w:pStyle w:val="NoSpacing"/>
        <w:ind w:left="130" w:firstLine="720"/>
      </w:pPr>
      <w:r w:rsidRPr="005A79C9">
        <w:t xml:space="preserve">Table 3.1 will show the dependent and independent variables in the study. </w:t>
      </w:r>
    </w:p>
    <w:p w14:paraId="785E4868" w14:textId="77777777" w:rsidR="000F5D9D" w:rsidRPr="005A79C9" w:rsidRDefault="000F5D9D" w:rsidP="000B3CF0">
      <w:pPr>
        <w:pStyle w:val="NoSpacing"/>
      </w:pPr>
    </w:p>
    <w:p w14:paraId="540CA6C1" w14:textId="77777777" w:rsidR="000F5D9D" w:rsidRPr="005A79C9" w:rsidRDefault="000F5D9D" w:rsidP="000B3CF0">
      <w:pPr>
        <w:pStyle w:val="NoSpacing"/>
        <w:ind w:left="130" w:firstLine="720"/>
      </w:pPr>
      <w:r w:rsidRPr="005A79C9">
        <w:t>Table 3.1: Dependent and independent variables</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4595"/>
      </w:tblGrid>
      <w:tr w:rsidR="000F5D9D" w:rsidRPr="005A79C9" w14:paraId="456B1C8E" w14:textId="77777777" w:rsidTr="000B3CF0">
        <w:trPr>
          <w:trHeight w:val="386"/>
          <w:jc w:val="center"/>
        </w:trPr>
        <w:tc>
          <w:tcPr>
            <w:tcW w:w="2351" w:type="dxa"/>
            <w:vAlign w:val="center"/>
          </w:tcPr>
          <w:p w14:paraId="04662663" w14:textId="77777777" w:rsidR="000F5D9D" w:rsidRPr="005A79C9" w:rsidRDefault="000F5D9D" w:rsidP="000B3CF0">
            <w:pPr>
              <w:pStyle w:val="NoSpacing"/>
            </w:pPr>
            <w:r w:rsidRPr="005A79C9">
              <w:rPr>
                <w:b/>
                <w:bCs/>
              </w:rPr>
              <w:t>Dependent variable</w:t>
            </w:r>
          </w:p>
        </w:tc>
        <w:tc>
          <w:tcPr>
            <w:tcW w:w="4595" w:type="dxa"/>
            <w:vAlign w:val="center"/>
          </w:tcPr>
          <w:p w14:paraId="5DDB697F" w14:textId="77777777" w:rsidR="000F5D9D" w:rsidRPr="005A79C9" w:rsidRDefault="000F5D9D" w:rsidP="000B3CF0">
            <w:pPr>
              <w:pStyle w:val="NoSpacing"/>
            </w:pPr>
            <w:r w:rsidRPr="005A79C9">
              <w:rPr>
                <w:b/>
                <w:bCs/>
              </w:rPr>
              <w:t>Independent variable</w:t>
            </w:r>
          </w:p>
        </w:tc>
      </w:tr>
      <w:tr w:rsidR="000F5D9D" w:rsidRPr="005A79C9" w14:paraId="21118837" w14:textId="77777777" w:rsidTr="00BB1102">
        <w:trPr>
          <w:trHeight w:val="4750"/>
          <w:jc w:val="center"/>
        </w:trPr>
        <w:tc>
          <w:tcPr>
            <w:tcW w:w="2351" w:type="dxa"/>
          </w:tcPr>
          <w:p w14:paraId="3933513F" w14:textId="77777777" w:rsidR="000F5D9D" w:rsidRPr="005A79C9" w:rsidRDefault="000F5D9D" w:rsidP="000B3CF0">
            <w:pPr>
              <w:pStyle w:val="NoSpacing"/>
              <w:rPr>
                <w:strike/>
              </w:rPr>
            </w:pPr>
            <w:r w:rsidRPr="005A79C9">
              <w:t xml:space="preserve">Vaccine hesitancy </w:t>
            </w:r>
          </w:p>
        </w:tc>
        <w:tc>
          <w:tcPr>
            <w:tcW w:w="4595" w:type="dxa"/>
          </w:tcPr>
          <w:p w14:paraId="00C0B9AE" w14:textId="77777777" w:rsidR="000F5D9D" w:rsidRPr="005A79C9" w:rsidRDefault="000F5D9D" w:rsidP="000B3CF0">
            <w:pPr>
              <w:pStyle w:val="NoSpacing"/>
            </w:pPr>
            <w:r w:rsidRPr="005A79C9">
              <w:t xml:space="preserve">Sociodemographic factors are; </w:t>
            </w:r>
          </w:p>
          <w:p w14:paraId="7C9FE8E0" w14:textId="77777777" w:rsidR="000F5D9D" w:rsidRPr="005A79C9" w:rsidRDefault="000F5D9D" w:rsidP="000B3CF0">
            <w:pPr>
              <w:pStyle w:val="NoSpacing"/>
            </w:pPr>
            <w:r w:rsidRPr="005A79C9">
              <w:t xml:space="preserve">Respondent </w:t>
            </w:r>
          </w:p>
          <w:p w14:paraId="1DB5E113" w14:textId="77777777" w:rsidR="000F5D9D" w:rsidRPr="005A79C9" w:rsidRDefault="000F5D9D" w:rsidP="000B3CF0">
            <w:pPr>
              <w:pStyle w:val="NoSpacing"/>
            </w:pPr>
            <w:r w:rsidRPr="005A79C9">
              <w:t>Age</w:t>
            </w:r>
          </w:p>
          <w:p w14:paraId="6588531E" w14:textId="77777777" w:rsidR="000F5D9D" w:rsidRPr="005A79C9" w:rsidRDefault="000F5D9D" w:rsidP="000B3CF0">
            <w:pPr>
              <w:pStyle w:val="NoSpacing"/>
            </w:pPr>
            <w:r w:rsidRPr="005A79C9">
              <w:t>Gender</w:t>
            </w:r>
          </w:p>
          <w:p w14:paraId="39E98F19" w14:textId="77777777" w:rsidR="000F5D9D" w:rsidRPr="005A79C9" w:rsidRDefault="000F5D9D" w:rsidP="000B3CF0">
            <w:pPr>
              <w:pStyle w:val="NoSpacing"/>
            </w:pPr>
            <w:r w:rsidRPr="005A79C9">
              <w:t xml:space="preserve">Ethnicity </w:t>
            </w:r>
          </w:p>
          <w:p w14:paraId="50238CD2" w14:textId="77777777" w:rsidR="000F5D9D" w:rsidRPr="005A79C9" w:rsidRDefault="000F5D9D" w:rsidP="000B3CF0">
            <w:pPr>
              <w:pStyle w:val="NoSpacing"/>
            </w:pPr>
            <w:r w:rsidRPr="005A79C9">
              <w:t>Religion</w:t>
            </w:r>
          </w:p>
          <w:p w14:paraId="7EDE2CDA" w14:textId="77777777" w:rsidR="000F5D9D" w:rsidRPr="005A79C9" w:rsidRDefault="000F5D9D" w:rsidP="000B3CF0">
            <w:pPr>
              <w:pStyle w:val="NoSpacing"/>
            </w:pPr>
            <w:r w:rsidRPr="005A79C9">
              <w:t xml:space="preserve">Marital status </w:t>
            </w:r>
          </w:p>
          <w:p w14:paraId="2C6B9BDC" w14:textId="77777777" w:rsidR="000F5D9D" w:rsidRPr="005A79C9" w:rsidRDefault="000F5D9D" w:rsidP="000B3CF0">
            <w:pPr>
              <w:pStyle w:val="NoSpacing"/>
            </w:pPr>
            <w:r w:rsidRPr="005A79C9">
              <w:t xml:space="preserve">Education level </w:t>
            </w:r>
          </w:p>
          <w:p w14:paraId="374719B8" w14:textId="77777777" w:rsidR="000F5D9D" w:rsidRPr="005A79C9" w:rsidRDefault="000F5D9D" w:rsidP="000B3CF0">
            <w:pPr>
              <w:pStyle w:val="NoSpacing"/>
            </w:pPr>
            <w:r w:rsidRPr="005A79C9">
              <w:t xml:space="preserve">Occupation </w:t>
            </w:r>
          </w:p>
          <w:p w14:paraId="3DB276AB" w14:textId="77777777" w:rsidR="000F5D9D" w:rsidRPr="005A79C9" w:rsidRDefault="000F5D9D" w:rsidP="000B3CF0">
            <w:pPr>
              <w:pStyle w:val="NoSpacing"/>
            </w:pPr>
            <w:r w:rsidRPr="005A79C9">
              <w:t xml:space="preserve">Income </w:t>
            </w:r>
          </w:p>
          <w:p w14:paraId="027F5B43" w14:textId="77777777" w:rsidR="000F5D9D" w:rsidRPr="005A79C9" w:rsidRDefault="000F5D9D" w:rsidP="000B3CF0">
            <w:pPr>
              <w:pStyle w:val="NoSpacing"/>
            </w:pPr>
            <w:r w:rsidRPr="005A79C9">
              <w:t>Number of children</w:t>
            </w:r>
          </w:p>
          <w:p w14:paraId="6ADCC459" w14:textId="77777777" w:rsidR="000F5D9D" w:rsidRPr="005A79C9" w:rsidRDefault="000F5D9D" w:rsidP="000B3CF0">
            <w:pPr>
              <w:pStyle w:val="NoSpacing"/>
            </w:pPr>
          </w:p>
          <w:p w14:paraId="32656E37" w14:textId="77777777" w:rsidR="000F5D9D" w:rsidRPr="005A79C9" w:rsidRDefault="000F5D9D" w:rsidP="000B3CF0">
            <w:pPr>
              <w:pStyle w:val="NoSpacing"/>
            </w:pPr>
            <w:r w:rsidRPr="005A79C9">
              <w:t>Vaccine specific issues:</w:t>
            </w:r>
          </w:p>
          <w:p w14:paraId="7BA318D0" w14:textId="6228CD62" w:rsidR="000F5D9D" w:rsidRDefault="000F5D9D" w:rsidP="000B3CF0">
            <w:pPr>
              <w:pStyle w:val="NoSpacing"/>
            </w:pPr>
            <w:r w:rsidRPr="005A79C9">
              <w:t>Type of vaccine</w:t>
            </w:r>
          </w:p>
          <w:p w14:paraId="17869512" w14:textId="7B23E7F9" w:rsidR="00BB1102" w:rsidRPr="005A79C9" w:rsidRDefault="00BB1102" w:rsidP="000B3CF0">
            <w:pPr>
              <w:pStyle w:val="NoSpacing"/>
            </w:pPr>
            <w:r>
              <w:t>Past experienced with vaccine</w:t>
            </w:r>
          </w:p>
        </w:tc>
      </w:tr>
    </w:tbl>
    <w:p w14:paraId="38A3740E" w14:textId="77777777" w:rsidR="000F5D9D" w:rsidRPr="005A79C9" w:rsidRDefault="000F5D9D" w:rsidP="000B3CF0">
      <w:pPr>
        <w:pStyle w:val="NoSpacing"/>
        <w:rPr>
          <w:b/>
          <w:bCs/>
        </w:rPr>
      </w:pPr>
    </w:p>
    <w:p w14:paraId="17198499" w14:textId="77777777" w:rsidR="000B3CF0" w:rsidRDefault="000B3CF0" w:rsidP="000B3CF0">
      <w:pPr>
        <w:pStyle w:val="NoSpacing"/>
        <w:rPr>
          <w:b/>
          <w:bCs/>
        </w:rPr>
      </w:pPr>
    </w:p>
    <w:p w14:paraId="3906B3BB" w14:textId="77777777" w:rsidR="000B3CF0" w:rsidRDefault="000B3CF0" w:rsidP="000B3CF0">
      <w:pPr>
        <w:pStyle w:val="NoSpacing"/>
        <w:rPr>
          <w:b/>
          <w:bCs/>
        </w:rPr>
      </w:pPr>
    </w:p>
    <w:p w14:paraId="4E0E7C8B" w14:textId="77777777" w:rsidR="000B3CF0" w:rsidRDefault="000B3CF0" w:rsidP="000B3CF0">
      <w:pPr>
        <w:pStyle w:val="NoSpacing"/>
        <w:rPr>
          <w:b/>
          <w:bCs/>
        </w:rPr>
      </w:pPr>
    </w:p>
    <w:p w14:paraId="756E62E7" w14:textId="77777777" w:rsidR="000B3CF0" w:rsidRDefault="000B3CF0" w:rsidP="000B3CF0">
      <w:pPr>
        <w:pStyle w:val="NoSpacing"/>
        <w:rPr>
          <w:b/>
          <w:bCs/>
        </w:rPr>
      </w:pPr>
    </w:p>
    <w:p w14:paraId="5A1101EC" w14:textId="1CCCBCA9" w:rsidR="000F5D9D" w:rsidRPr="005A79C9" w:rsidRDefault="000F5D9D" w:rsidP="000B3CF0">
      <w:pPr>
        <w:pStyle w:val="NoSpacing"/>
        <w:ind w:firstLine="720"/>
        <w:rPr>
          <w:b/>
          <w:bCs/>
        </w:rPr>
      </w:pPr>
      <w:r w:rsidRPr="005A79C9">
        <w:rPr>
          <w:b/>
          <w:bCs/>
        </w:rPr>
        <w:t>Dependent variable</w:t>
      </w:r>
    </w:p>
    <w:p w14:paraId="5ADFC590" w14:textId="77777777" w:rsidR="000B3CF0" w:rsidRDefault="000B3CF0" w:rsidP="000B3CF0">
      <w:pPr>
        <w:pStyle w:val="NoSpacing"/>
        <w:ind w:firstLine="720"/>
      </w:pPr>
    </w:p>
    <w:p w14:paraId="59839ADE" w14:textId="26D52B02" w:rsidR="000F5D9D" w:rsidRPr="005A79C9" w:rsidRDefault="000F5D9D" w:rsidP="000B3CF0">
      <w:pPr>
        <w:pStyle w:val="NoSpacing"/>
        <w:ind w:firstLine="720"/>
      </w:pPr>
      <w:r w:rsidRPr="005A79C9">
        <w:t>Table 3.1.1: Dependent and independent variables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685"/>
        <w:gridCol w:w="4965"/>
      </w:tblGrid>
      <w:tr w:rsidR="000F5D9D" w:rsidRPr="005A79C9" w14:paraId="762E6AB4" w14:textId="77777777" w:rsidTr="000B3CF0">
        <w:trPr>
          <w:trHeight w:val="377"/>
        </w:trPr>
        <w:tc>
          <w:tcPr>
            <w:tcW w:w="1705" w:type="dxa"/>
            <w:vAlign w:val="center"/>
          </w:tcPr>
          <w:p w14:paraId="28D91236" w14:textId="77777777" w:rsidR="000F5D9D" w:rsidRPr="005A79C9" w:rsidRDefault="000F5D9D" w:rsidP="000B3CF0">
            <w:pPr>
              <w:pStyle w:val="NoSpacing"/>
              <w:rPr>
                <w:b/>
              </w:rPr>
            </w:pPr>
            <w:r w:rsidRPr="005A79C9">
              <w:rPr>
                <w:b/>
              </w:rPr>
              <w:t>Variables</w:t>
            </w:r>
          </w:p>
        </w:tc>
        <w:tc>
          <w:tcPr>
            <w:tcW w:w="2685" w:type="dxa"/>
            <w:vAlign w:val="center"/>
          </w:tcPr>
          <w:p w14:paraId="2A9C7A1C" w14:textId="77777777" w:rsidR="000F5D9D" w:rsidRPr="005A79C9" w:rsidRDefault="000F5D9D" w:rsidP="000B3CF0">
            <w:pPr>
              <w:pStyle w:val="NoSpacing"/>
              <w:rPr>
                <w:b/>
              </w:rPr>
            </w:pPr>
            <w:r w:rsidRPr="005A79C9">
              <w:rPr>
                <w:b/>
              </w:rPr>
              <w:t>Definition</w:t>
            </w:r>
          </w:p>
        </w:tc>
        <w:tc>
          <w:tcPr>
            <w:tcW w:w="4965" w:type="dxa"/>
            <w:vAlign w:val="center"/>
          </w:tcPr>
          <w:p w14:paraId="50054B81" w14:textId="77777777" w:rsidR="000F5D9D" w:rsidRPr="005A79C9" w:rsidRDefault="000F5D9D" w:rsidP="000B3CF0">
            <w:pPr>
              <w:pStyle w:val="NoSpacing"/>
              <w:rPr>
                <w:b/>
              </w:rPr>
            </w:pPr>
            <w:r w:rsidRPr="005A79C9">
              <w:rPr>
                <w:b/>
              </w:rPr>
              <w:t>Measurement scale</w:t>
            </w:r>
          </w:p>
        </w:tc>
      </w:tr>
      <w:tr w:rsidR="000F5D9D" w:rsidRPr="005A79C9" w14:paraId="3351F796" w14:textId="77777777" w:rsidTr="000B3CF0">
        <w:trPr>
          <w:trHeight w:val="719"/>
        </w:trPr>
        <w:tc>
          <w:tcPr>
            <w:tcW w:w="1705" w:type="dxa"/>
            <w:vAlign w:val="center"/>
          </w:tcPr>
          <w:p w14:paraId="6DC0693C" w14:textId="77777777" w:rsidR="000F5D9D" w:rsidRPr="005A79C9" w:rsidRDefault="000F5D9D" w:rsidP="000B3CF0">
            <w:pPr>
              <w:pStyle w:val="NoSpacing"/>
            </w:pPr>
            <w:r w:rsidRPr="005A79C9">
              <w:t>Vaccine hesitancy</w:t>
            </w:r>
          </w:p>
        </w:tc>
        <w:tc>
          <w:tcPr>
            <w:tcW w:w="2685" w:type="dxa"/>
            <w:vAlign w:val="center"/>
          </w:tcPr>
          <w:p w14:paraId="099207BB" w14:textId="77777777" w:rsidR="000F5D9D" w:rsidRPr="005A79C9" w:rsidRDefault="000F5D9D" w:rsidP="000B3CF0">
            <w:pPr>
              <w:pStyle w:val="NoSpacing"/>
            </w:pPr>
            <w:r w:rsidRPr="005A79C9">
              <w:t xml:space="preserve">Vaccine hesitancy score </w:t>
            </w:r>
          </w:p>
          <w:p w14:paraId="423F37D2" w14:textId="77777777" w:rsidR="000F5D9D" w:rsidRPr="005A79C9" w:rsidRDefault="000F5D9D" w:rsidP="000B3CF0">
            <w:pPr>
              <w:pStyle w:val="NoSpacing"/>
            </w:pPr>
            <w:r w:rsidRPr="005A79C9">
              <w:t>More than 50</w:t>
            </w:r>
          </w:p>
          <w:p w14:paraId="0E4D578C" w14:textId="77777777" w:rsidR="000F5D9D" w:rsidRPr="005A79C9" w:rsidRDefault="000F5D9D" w:rsidP="000B3CF0">
            <w:pPr>
              <w:pStyle w:val="NoSpacing"/>
            </w:pPr>
            <w:r w:rsidRPr="005A79C9">
              <w:t>Less than 50</w:t>
            </w:r>
          </w:p>
        </w:tc>
        <w:tc>
          <w:tcPr>
            <w:tcW w:w="4965" w:type="dxa"/>
            <w:vAlign w:val="center"/>
          </w:tcPr>
          <w:p w14:paraId="48244AAF" w14:textId="77777777" w:rsidR="000F5D9D" w:rsidRPr="005A79C9" w:rsidRDefault="000F5D9D" w:rsidP="000B3CF0">
            <w:pPr>
              <w:pStyle w:val="NoSpacing"/>
            </w:pPr>
            <w:r w:rsidRPr="005A79C9">
              <w:t>Categorical (nominal)</w:t>
            </w:r>
          </w:p>
        </w:tc>
      </w:tr>
    </w:tbl>
    <w:p w14:paraId="6A94116D" w14:textId="77777777" w:rsidR="000F5D9D" w:rsidRPr="005A79C9" w:rsidRDefault="000F5D9D" w:rsidP="000B3CF0">
      <w:pPr>
        <w:pStyle w:val="NoSpacing"/>
        <w:rPr>
          <w:b/>
          <w:bCs/>
        </w:rPr>
      </w:pPr>
    </w:p>
    <w:p w14:paraId="4D6D7DEE" w14:textId="77777777" w:rsidR="000F5D9D" w:rsidRPr="00BB23F2" w:rsidRDefault="000F5D9D" w:rsidP="000B3CF0">
      <w:pPr>
        <w:pStyle w:val="NoSpacing"/>
        <w:ind w:firstLine="720"/>
        <w:rPr>
          <w:b/>
          <w:bCs/>
        </w:rPr>
      </w:pPr>
      <w:r w:rsidRPr="005A79C9">
        <w:rPr>
          <w:b/>
          <w:bCs/>
        </w:rPr>
        <w:t>Independent variable</w:t>
      </w:r>
    </w:p>
    <w:p w14:paraId="64441FBD" w14:textId="77777777" w:rsidR="000B3CF0" w:rsidRDefault="000B3CF0" w:rsidP="000B3CF0">
      <w:pPr>
        <w:pStyle w:val="NoSpacing"/>
        <w:ind w:firstLine="720"/>
      </w:pPr>
    </w:p>
    <w:p w14:paraId="7C84EC8C" w14:textId="3D5E432E" w:rsidR="000F5D9D" w:rsidRPr="005A79C9" w:rsidRDefault="000F5D9D" w:rsidP="000B3CF0">
      <w:pPr>
        <w:pStyle w:val="NoSpacing"/>
        <w:ind w:firstLine="720"/>
      </w:pPr>
      <w:r w:rsidRPr="005A79C9">
        <w:t>Table 3.1.2: Dependent and independent variables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
        <w:gridCol w:w="6278"/>
        <w:gridCol w:w="1629"/>
      </w:tblGrid>
      <w:tr w:rsidR="000F5D9D" w:rsidRPr="005A79C9" w14:paraId="0A2B9C06" w14:textId="77777777" w:rsidTr="00E22C20">
        <w:trPr>
          <w:trHeight w:val="305"/>
        </w:trPr>
        <w:tc>
          <w:tcPr>
            <w:tcW w:w="1448" w:type="dxa"/>
            <w:vAlign w:val="center"/>
          </w:tcPr>
          <w:p w14:paraId="1273B5F1" w14:textId="77777777" w:rsidR="000F5D9D" w:rsidRPr="005A79C9" w:rsidRDefault="000F5D9D" w:rsidP="000B3CF0">
            <w:pPr>
              <w:pStyle w:val="NoSpacing"/>
              <w:rPr>
                <w:b/>
              </w:rPr>
            </w:pPr>
            <w:r w:rsidRPr="005A79C9">
              <w:rPr>
                <w:b/>
              </w:rPr>
              <w:t>Variables</w:t>
            </w:r>
          </w:p>
        </w:tc>
        <w:tc>
          <w:tcPr>
            <w:tcW w:w="6278" w:type="dxa"/>
            <w:vAlign w:val="center"/>
          </w:tcPr>
          <w:p w14:paraId="7C17946C" w14:textId="77777777" w:rsidR="000F5D9D" w:rsidRPr="005A79C9" w:rsidRDefault="000F5D9D" w:rsidP="000B3CF0">
            <w:pPr>
              <w:pStyle w:val="NoSpacing"/>
              <w:rPr>
                <w:b/>
              </w:rPr>
            </w:pPr>
            <w:r w:rsidRPr="005A79C9">
              <w:rPr>
                <w:b/>
              </w:rPr>
              <w:t>Definition</w:t>
            </w:r>
          </w:p>
        </w:tc>
        <w:tc>
          <w:tcPr>
            <w:tcW w:w="1629" w:type="dxa"/>
            <w:vAlign w:val="center"/>
          </w:tcPr>
          <w:p w14:paraId="2FA5E414" w14:textId="77777777" w:rsidR="000F5D9D" w:rsidRPr="005A79C9" w:rsidRDefault="000F5D9D" w:rsidP="000B3CF0">
            <w:pPr>
              <w:pStyle w:val="NoSpacing"/>
              <w:rPr>
                <w:b/>
              </w:rPr>
            </w:pPr>
            <w:r w:rsidRPr="005A79C9">
              <w:rPr>
                <w:b/>
              </w:rPr>
              <w:t>Measurement scale</w:t>
            </w:r>
          </w:p>
        </w:tc>
      </w:tr>
      <w:tr w:rsidR="000F5D9D" w:rsidRPr="005A79C9" w14:paraId="7B48BCAA" w14:textId="77777777" w:rsidTr="00E22C20">
        <w:trPr>
          <w:trHeight w:val="305"/>
        </w:trPr>
        <w:tc>
          <w:tcPr>
            <w:tcW w:w="1448" w:type="dxa"/>
            <w:vAlign w:val="center"/>
          </w:tcPr>
          <w:p w14:paraId="460D53F7" w14:textId="77777777" w:rsidR="000F5D9D" w:rsidRPr="005A79C9" w:rsidRDefault="000F5D9D" w:rsidP="000B3CF0">
            <w:pPr>
              <w:pStyle w:val="NoSpacing"/>
              <w:rPr>
                <w:bCs/>
              </w:rPr>
            </w:pPr>
            <w:r w:rsidRPr="005A79C9">
              <w:rPr>
                <w:bCs/>
              </w:rPr>
              <w:t xml:space="preserve">Respondent </w:t>
            </w:r>
          </w:p>
        </w:tc>
        <w:tc>
          <w:tcPr>
            <w:tcW w:w="6278" w:type="dxa"/>
            <w:vAlign w:val="center"/>
          </w:tcPr>
          <w:p w14:paraId="085B1701" w14:textId="77777777" w:rsidR="000F5D9D" w:rsidRPr="005A79C9" w:rsidRDefault="000F5D9D" w:rsidP="000B3CF0">
            <w:pPr>
              <w:pStyle w:val="NoSpacing"/>
              <w:rPr>
                <w:bCs/>
              </w:rPr>
            </w:pPr>
            <w:r w:rsidRPr="005A79C9">
              <w:rPr>
                <w:bCs/>
              </w:rPr>
              <w:t>The respondent who answer the questionnaire. Being either:</w:t>
            </w:r>
          </w:p>
          <w:p w14:paraId="298E46E6" w14:textId="77777777" w:rsidR="000F5D9D" w:rsidRPr="005A79C9" w:rsidRDefault="000F5D9D" w:rsidP="000B3CF0">
            <w:pPr>
              <w:pStyle w:val="NoSpacing"/>
              <w:rPr>
                <w:bCs/>
              </w:rPr>
            </w:pPr>
            <w:r w:rsidRPr="005A79C9">
              <w:rPr>
                <w:bCs/>
              </w:rPr>
              <w:t>Father</w:t>
            </w:r>
          </w:p>
          <w:p w14:paraId="5242AE9C" w14:textId="77777777" w:rsidR="000F5D9D" w:rsidRPr="005A79C9" w:rsidRDefault="000F5D9D" w:rsidP="000B3CF0">
            <w:pPr>
              <w:pStyle w:val="NoSpacing"/>
              <w:rPr>
                <w:bCs/>
              </w:rPr>
            </w:pPr>
            <w:r w:rsidRPr="005A79C9">
              <w:rPr>
                <w:bCs/>
              </w:rPr>
              <w:t xml:space="preserve">Mother </w:t>
            </w:r>
          </w:p>
        </w:tc>
        <w:tc>
          <w:tcPr>
            <w:tcW w:w="1629" w:type="dxa"/>
            <w:vAlign w:val="center"/>
          </w:tcPr>
          <w:p w14:paraId="63317455" w14:textId="77777777" w:rsidR="000F5D9D" w:rsidRPr="005A79C9" w:rsidRDefault="000F5D9D" w:rsidP="000B3CF0">
            <w:pPr>
              <w:pStyle w:val="NoSpacing"/>
              <w:rPr>
                <w:b/>
              </w:rPr>
            </w:pPr>
            <w:r w:rsidRPr="005A79C9">
              <w:t>Categorical (nominal)</w:t>
            </w:r>
          </w:p>
        </w:tc>
      </w:tr>
      <w:tr w:rsidR="000F5D9D" w:rsidRPr="005A79C9" w14:paraId="292AA6A9" w14:textId="77777777" w:rsidTr="00E22C20">
        <w:trPr>
          <w:trHeight w:val="647"/>
        </w:trPr>
        <w:tc>
          <w:tcPr>
            <w:tcW w:w="1448" w:type="dxa"/>
          </w:tcPr>
          <w:p w14:paraId="307AB328" w14:textId="77777777" w:rsidR="000F5D9D" w:rsidRPr="005A79C9" w:rsidRDefault="000F5D9D" w:rsidP="000B3CF0">
            <w:pPr>
              <w:pStyle w:val="NoSpacing"/>
            </w:pPr>
            <w:r w:rsidRPr="005A79C9">
              <w:t xml:space="preserve">Age </w:t>
            </w:r>
          </w:p>
        </w:tc>
        <w:tc>
          <w:tcPr>
            <w:tcW w:w="6278" w:type="dxa"/>
          </w:tcPr>
          <w:p w14:paraId="6E37C07F" w14:textId="77777777" w:rsidR="000F5D9D" w:rsidRPr="005A79C9" w:rsidRDefault="000F5D9D" w:rsidP="000B3CF0">
            <w:pPr>
              <w:pStyle w:val="NoSpacing"/>
            </w:pPr>
            <w:r w:rsidRPr="005A79C9">
              <w:t xml:space="preserve">As stated by the respondent, as actual age in years for the current year </w:t>
            </w:r>
          </w:p>
        </w:tc>
        <w:tc>
          <w:tcPr>
            <w:tcW w:w="1629" w:type="dxa"/>
          </w:tcPr>
          <w:p w14:paraId="6BE0C677" w14:textId="77777777" w:rsidR="000F5D9D" w:rsidRPr="005A79C9" w:rsidRDefault="000F5D9D" w:rsidP="000B3CF0">
            <w:pPr>
              <w:pStyle w:val="NoSpacing"/>
            </w:pPr>
            <w:r w:rsidRPr="005A79C9">
              <w:t>Numerical (continuous)</w:t>
            </w:r>
          </w:p>
        </w:tc>
      </w:tr>
      <w:tr w:rsidR="000F5D9D" w:rsidRPr="005A79C9" w14:paraId="5326E210" w14:textId="77777777" w:rsidTr="00E22C20">
        <w:trPr>
          <w:trHeight w:val="629"/>
        </w:trPr>
        <w:tc>
          <w:tcPr>
            <w:tcW w:w="1448" w:type="dxa"/>
          </w:tcPr>
          <w:p w14:paraId="64487CBB" w14:textId="77777777" w:rsidR="000F5D9D" w:rsidRPr="005A79C9" w:rsidRDefault="000F5D9D" w:rsidP="000B3CF0">
            <w:pPr>
              <w:pStyle w:val="NoSpacing"/>
            </w:pPr>
            <w:r w:rsidRPr="005A79C9">
              <w:t xml:space="preserve">Gender </w:t>
            </w:r>
          </w:p>
        </w:tc>
        <w:tc>
          <w:tcPr>
            <w:tcW w:w="6278" w:type="dxa"/>
          </w:tcPr>
          <w:p w14:paraId="4BE5FBE2" w14:textId="77777777" w:rsidR="000F5D9D" w:rsidRPr="005A79C9" w:rsidRDefault="000F5D9D" w:rsidP="000B3CF0">
            <w:pPr>
              <w:pStyle w:val="NoSpacing"/>
            </w:pPr>
            <w:r w:rsidRPr="005A79C9">
              <w:t xml:space="preserve">Male </w:t>
            </w:r>
          </w:p>
          <w:p w14:paraId="50FCE0CC" w14:textId="77777777" w:rsidR="000F5D9D" w:rsidRPr="005A79C9" w:rsidRDefault="000F5D9D" w:rsidP="000B3CF0">
            <w:pPr>
              <w:pStyle w:val="NoSpacing"/>
            </w:pPr>
            <w:r w:rsidRPr="005A79C9">
              <w:t xml:space="preserve">Female </w:t>
            </w:r>
          </w:p>
        </w:tc>
        <w:tc>
          <w:tcPr>
            <w:tcW w:w="1629" w:type="dxa"/>
          </w:tcPr>
          <w:p w14:paraId="1048C7D5" w14:textId="77777777" w:rsidR="000F5D9D" w:rsidRPr="005A79C9" w:rsidRDefault="000F5D9D" w:rsidP="000B3CF0">
            <w:pPr>
              <w:pStyle w:val="NoSpacing"/>
            </w:pPr>
            <w:r w:rsidRPr="005A79C9">
              <w:t>Categorical (nominal)</w:t>
            </w:r>
          </w:p>
        </w:tc>
      </w:tr>
      <w:tr w:rsidR="000F5D9D" w:rsidRPr="005A79C9" w14:paraId="7B3A442D" w14:textId="77777777" w:rsidTr="00E22C20">
        <w:trPr>
          <w:trHeight w:val="1475"/>
        </w:trPr>
        <w:tc>
          <w:tcPr>
            <w:tcW w:w="1448" w:type="dxa"/>
          </w:tcPr>
          <w:p w14:paraId="15BB55AF" w14:textId="77777777" w:rsidR="000F5D9D" w:rsidRPr="005A79C9" w:rsidRDefault="000F5D9D" w:rsidP="000B3CF0">
            <w:pPr>
              <w:pStyle w:val="NoSpacing"/>
            </w:pPr>
            <w:r w:rsidRPr="005A79C9">
              <w:t xml:space="preserve">Ethnicity </w:t>
            </w:r>
          </w:p>
        </w:tc>
        <w:tc>
          <w:tcPr>
            <w:tcW w:w="6278" w:type="dxa"/>
          </w:tcPr>
          <w:p w14:paraId="4ED2D432" w14:textId="77777777" w:rsidR="000F5D9D" w:rsidRPr="005A79C9" w:rsidRDefault="000F5D9D" w:rsidP="000B3CF0">
            <w:pPr>
              <w:pStyle w:val="NoSpacing"/>
            </w:pPr>
            <w:r w:rsidRPr="005A79C9">
              <w:t xml:space="preserve">As stated by the respondent.  Being either: </w:t>
            </w:r>
          </w:p>
          <w:p w14:paraId="09234FCB" w14:textId="77777777" w:rsidR="000F5D9D" w:rsidRPr="005A79C9" w:rsidRDefault="000F5D9D" w:rsidP="000B3CF0">
            <w:pPr>
              <w:pStyle w:val="NoSpacing"/>
            </w:pPr>
            <w:r w:rsidRPr="005A79C9">
              <w:t xml:space="preserve">Malay </w:t>
            </w:r>
          </w:p>
          <w:p w14:paraId="2AB8D91E" w14:textId="77777777" w:rsidR="000F5D9D" w:rsidRPr="005A79C9" w:rsidRDefault="000F5D9D" w:rsidP="000B3CF0">
            <w:pPr>
              <w:pStyle w:val="NoSpacing"/>
            </w:pPr>
            <w:r w:rsidRPr="005A79C9">
              <w:t xml:space="preserve">Chinese </w:t>
            </w:r>
          </w:p>
          <w:p w14:paraId="106E1A7C" w14:textId="77777777" w:rsidR="000F5D9D" w:rsidRPr="005A79C9" w:rsidRDefault="000F5D9D" w:rsidP="000B3CF0">
            <w:pPr>
              <w:pStyle w:val="NoSpacing"/>
            </w:pPr>
            <w:r w:rsidRPr="005A79C9">
              <w:t xml:space="preserve">Indian </w:t>
            </w:r>
          </w:p>
          <w:p w14:paraId="6AFABE91" w14:textId="77777777" w:rsidR="000F5D9D" w:rsidRPr="005A79C9" w:rsidRDefault="000F5D9D" w:rsidP="000B3CF0">
            <w:pPr>
              <w:pStyle w:val="NoSpacing"/>
            </w:pPr>
            <w:r w:rsidRPr="005A79C9">
              <w:t xml:space="preserve">Other </w:t>
            </w:r>
          </w:p>
        </w:tc>
        <w:tc>
          <w:tcPr>
            <w:tcW w:w="1629" w:type="dxa"/>
          </w:tcPr>
          <w:p w14:paraId="306DB15F" w14:textId="77777777" w:rsidR="000F5D9D" w:rsidRPr="005A79C9" w:rsidRDefault="000F5D9D" w:rsidP="000B3CF0">
            <w:pPr>
              <w:pStyle w:val="NoSpacing"/>
            </w:pPr>
            <w:r w:rsidRPr="005A79C9">
              <w:t>Categorical (nominal)</w:t>
            </w:r>
          </w:p>
        </w:tc>
      </w:tr>
      <w:tr w:rsidR="000F5D9D" w:rsidRPr="005A79C9" w14:paraId="01154471" w14:textId="77777777" w:rsidTr="00E22C20">
        <w:trPr>
          <w:trHeight w:val="1475"/>
        </w:trPr>
        <w:tc>
          <w:tcPr>
            <w:tcW w:w="1448" w:type="dxa"/>
          </w:tcPr>
          <w:p w14:paraId="05567B2C" w14:textId="77777777" w:rsidR="000F5D9D" w:rsidRPr="005A79C9" w:rsidRDefault="000F5D9D" w:rsidP="000B3CF0">
            <w:pPr>
              <w:pStyle w:val="NoSpacing"/>
            </w:pPr>
            <w:r w:rsidRPr="005A79C9">
              <w:t xml:space="preserve">Religion </w:t>
            </w:r>
          </w:p>
        </w:tc>
        <w:tc>
          <w:tcPr>
            <w:tcW w:w="6278" w:type="dxa"/>
          </w:tcPr>
          <w:p w14:paraId="61BFEE2C" w14:textId="77777777" w:rsidR="000F5D9D" w:rsidRPr="005A79C9" w:rsidRDefault="000F5D9D" w:rsidP="000B3CF0">
            <w:pPr>
              <w:pStyle w:val="NoSpacing"/>
            </w:pPr>
            <w:r w:rsidRPr="005A79C9">
              <w:t>As stated by the respondent. Being either:</w:t>
            </w:r>
          </w:p>
          <w:p w14:paraId="1B20E7C0" w14:textId="77777777" w:rsidR="000F5D9D" w:rsidRPr="005A79C9" w:rsidRDefault="000F5D9D" w:rsidP="000B3CF0">
            <w:pPr>
              <w:pStyle w:val="NoSpacing"/>
            </w:pPr>
            <w:r w:rsidRPr="005A79C9">
              <w:t>Islam</w:t>
            </w:r>
          </w:p>
          <w:p w14:paraId="58677B74" w14:textId="77777777" w:rsidR="000F5D9D" w:rsidRPr="005A79C9" w:rsidRDefault="000F5D9D" w:rsidP="000B3CF0">
            <w:pPr>
              <w:pStyle w:val="NoSpacing"/>
            </w:pPr>
            <w:r w:rsidRPr="005A79C9">
              <w:t>Buddha</w:t>
            </w:r>
          </w:p>
          <w:p w14:paraId="14F7EEA7" w14:textId="77777777" w:rsidR="000F5D9D" w:rsidRPr="005A79C9" w:rsidRDefault="000F5D9D" w:rsidP="000B3CF0">
            <w:pPr>
              <w:pStyle w:val="NoSpacing"/>
            </w:pPr>
            <w:r w:rsidRPr="005A79C9">
              <w:t xml:space="preserve">Hindu </w:t>
            </w:r>
          </w:p>
          <w:p w14:paraId="068B4A86" w14:textId="77777777" w:rsidR="000F5D9D" w:rsidRPr="005A79C9" w:rsidRDefault="000F5D9D" w:rsidP="000B3CF0">
            <w:pPr>
              <w:pStyle w:val="NoSpacing"/>
            </w:pPr>
            <w:r w:rsidRPr="005A79C9">
              <w:t>Other</w:t>
            </w:r>
          </w:p>
        </w:tc>
        <w:tc>
          <w:tcPr>
            <w:tcW w:w="1629" w:type="dxa"/>
          </w:tcPr>
          <w:p w14:paraId="28B69F98" w14:textId="77777777" w:rsidR="000F5D9D" w:rsidRPr="005A79C9" w:rsidRDefault="000F5D9D" w:rsidP="000B3CF0">
            <w:pPr>
              <w:pStyle w:val="NoSpacing"/>
            </w:pPr>
            <w:r w:rsidRPr="005A79C9">
              <w:t>Categorical (nominal)</w:t>
            </w:r>
          </w:p>
        </w:tc>
      </w:tr>
      <w:tr w:rsidR="000F5D9D" w:rsidRPr="005A79C9" w14:paraId="6DCF4E2C" w14:textId="77777777" w:rsidTr="00E22C20">
        <w:trPr>
          <w:trHeight w:val="1187"/>
        </w:trPr>
        <w:tc>
          <w:tcPr>
            <w:tcW w:w="1448" w:type="dxa"/>
          </w:tcPr>
          <w:p w14:paraId="27EF5BB3" w14:textId="77777777" w:rsidR="000F5D9D" w:rsidRPr="005A79C9" w:rsidRDefault="000F5D9D" w:rsidP="000B3CF0">
            <w:pPr>
              <w:pStyle w:val="NoSpacing"/>
            </w:pPr>
            <w:r w:rsidRPr="005A79C9">
              <w:t xml:space="preserve">Marital status </w:t>
            </w:r>
          </w:p>
        </w:tc>
        <w:tc>
          <w:tcPr>
            <w:tcW w:w="6278" w:type="dxa"/>
          </w:tcPr>
          <w:p w14:paraId="249DA1CB" w14:textId="77777777" w:rsidR="000F5D9D" w:rsidRPr="005A79C9" w:rsidRDefault="000F5D9D" w:rsidP="000B3CF0">
            <w:pPr>
              <w:pStyle w:val="NoSpacing"/>
            </w:pPr>
            <w:r w:rsidRPr="005A79C9">
              <w:t xml:space="preserve">As stated by the respondent, the current marital status either </w:t>
            </w:r>
          </w:p>
          <w:p w14:paraId="4E54BDD4" w14:textId="77777777" w:rsidR="000F5D9D" w:rsidRPr="005A79C9" w:rsidRDefault="000F5D9D" w:rsidP="000B3CF0">
            <w:pPr>
              <w:pStyle w:val="NoSpacing"/>
            </w:pPr>
            <w:r w:rsidRPr="005A79C9">
              <w:t xml:space="preserve">Married: currently married </w:t>
            </w:r>
          </w:p>
          <w:p w14:paraId="24033E61" w14:textId="77777777" w:rsidR="000F5D9D" w:rsidRPr="005A79C9" w:rsidRDefault="000F5D9D" w:rsidP="000B3CF0">
            <w:pPr>
              <w:pStyle w:val="NoSpacing"/>
            </w:pPr>
            <w:r w:rsidRPr="005A79C9">
              <w:t xml:space="preserve">Unmarried: not married </w:t>
            </w:r>
          </w:p>
          <w:p w14:paraId="2B7CCEA1" w14:textId="77777777" w:rsidR="000F5D9D" w:rsidRPr="005A79C9" w:rsidRDefault="000F5D9D" w:rsidP="000B3CF0">
            <w:pPr>
              <w:pStyle w:val="NoSpacing"/>
            </w:pPr>
            <w:r w:rsidRPr="005A79C9">
              <w:t xml:space="preserve">Separated/ Divorced/ Widowed: was married before but already separated with the partner </w:t>
            </w:r>
          </w:p>
        </w:tc>
        <w:tc>
          <w:tcPr>
            <w:tcW w:w="1629" w:type="dxa"/>
          </w:tcPr>
          <w:p w14:paraId="6E0FC396" w14:textId="77777777" w:rsidR="000F5D9D" w:rsidRPr="005A79C9" w:rsidRDefault="000F5D9D" w:rsidP="000B3CF0">
            <w:pPr>
              <w:pStyle w:val="NoSpacing"/>
            </w:pPr>
            <w:r w:rsidRPr="005A79C9">
              <w:t>Categorical (nominal)</w:t>
            </w:r>
          </w:p>
        </w:tc>
      </w:tr>
      <w:tr w:rsidR="000F5D9D" w:rsidRPr="005A79C9" w14:paraId="6143E506" w14:textId="77777777" w:rsidTr="00E22C20">
        <w:trPr>
          <w:trHeight w:val="1781"/>
        </w:trPr>
        <w:tc>
          <w:tcPr>
            <w:tcW w:w="1448" w:type="dxa"/>
          </w:tcPr>
          <w:p w14:paraId="44F6D16A" w14:textId="77777777" w:rsidR="000F5D9D" w:rsidRPr="005A79C9" w:rsidRDefault="000F5D9D" w:rsidP="000B3CF0">
            <w:pPr>
              <w:pStyle w:val="NoSpacing"/>
            </w:pPr>
            <w:r w:rsidRPr="005A79C9">
              <w:t xml:space="preserve">Education </w:t>
            </w:r>
          </w:p>
        </w:tc>
        <w:tc>
          <w:tcPr>
            <w:tcW w:w="6278" w:type="dxa"/>
          </w:tcPr>
          <w:p w14:paraId="4BCCAAD8" w14:textId="77777777" w:rsidR="000F5D9D" w:rsidRPr="005A79C9" w:rsidRDefault="000F5D9D" w:rsidP="000B3CF0">
            <w:pPr>
              <w:pStyle w:val="NoSpacing"/>
            </w:pPr>
            <w:r w:rsidRPr="005A79C9">
              <w:t xml:space="preserve">The highest formal educational level obtained by the respondent according to Malaysian Education system: </w:t>
            </w:r>
          </w:p>
          <w:p w14:paraId="05C30A6C" w14:textId="77777777" w:rsidR="000F5D9D" w:rsidRPr="005A79C9" w:rsidRDefault="000F5D9D" w:rsidP="000B3CF0">
            <w:pPr>
              <w:pStyle w:val="NoSpacing"/>
            </w:pPr>
            <w:r w:rsidRPr="005A79C9">
              <w:t xml:space="preserve">No formal education </w:t>
            </w:r>
          </w:p>
          <w:p w14:paraId="26737E91" w14:textId="77777777" w:rsidR="000F5D9D" w:rsidRPr="005A79C9" w:rsidRDefault="000F5D9D" w:rsidP="000B3CF0">
            <w:pPr>
              <w:pStyle w:val="NoSpacing"/>
            </w:pPr>
            <w:r w:rsidRPr="005A79C9">
              <w:t xml:space="preserve">Primary Level: standard 1 to standard 6 </w:t>
            </w:r>
          </w:p>
          <w:p w14:paraId="37CB5665" w14:textId="77777777" w:rsidR="000F5D9D" w:rsidRPr="005A79C9" w:rsidRDefault="000F5D9D" w:rsidP="000B3CF0">
            <w:pPr>
              <w:pStyle w:val="NoSpacing"/>
            </w:pPr>
            <w:r w:rsidRPr="005A79C9">
              <w:t xml:space="preserve">Secondary Level: Form 1 to Form 6 </w:t>
            </w:r>
          </w:p>
          <w:p w14:paraId="0EBE32BE" w14:textId="77777777" w:rsidR="000F5D9D" w:rsidRPr="005A79C9" w:rsidRDefault="000F5D9D" w:rsidP="000B3CF0">
            <w:pPr>
              <w:pStyle w:val="NoSpacing"/>
            </w:pPr>
            <w:r w:rsidRPr="005A79C9">
              <w:t xml:space="preserve">Tertiary Level: Form 6/ College/ University </w:t>
            </w:r>
          </w:p>
        </w:tc>
        <w:tc>
          <w:tcPr>
            <w:tcW w:w="1629" w:type="dxa"/>
          </w:tcPr>
          <w:p w14:paraId="31AD5287" w14:textId="77777777" w:rsidR="000F5D9D" w:rsidRPr="005A79C9" w:rsidRDefault="000F5D9D" w:rsidP="000B3CF0">
            <w:pPr>
              <w:pStyle w:val="NoSpacing"/>
            </w:pPr>
            <w:r w:rsidRPr="005A79C9">
              <w:t>Categorical (nominal)</w:t>
            </w:r>
          </w:p>
        </w:tc>
      </w:tr>
      <w:tr w:rsidR="000F5D9D" w:rsidRPr="005A79C9" w14:paraId="0435D817" w14:textId="77777777" w:rsidTr="00E22C20">
        <w:trPr>
          <w:trHeight w:val="980"/>
        </w:trPr>
        <w:tc>
          <w:tcPr>
            <w:tcW w:w="1448" w:type="dxa"/>
          </w:tcPr>
          <w:p w14:paraId="04B60B2C" w14:textId="77777777" w:rsidR="000F5D9D" w:rsidRPr="005A79C9" w:rsidRDefault="000F5D9D" w:rsidP="000B3CF0">
            <w:pPr>
              <w:pStyle w:val="NoSpacing"/>
            </w:pPr>
            <w:r w:rsidRPr="005A79C9">
              <w:lastRenderedPageBreak/>
              <w:t xml:space="preserve">Occupation </w:t>
            </w:r>
          </w:p>
        </w:tc>
        <w:tc>
          <w:tcPr>
            <w:tcW w:w="6278" w:type="dxa"/>
          </w:tcPr>
          <w:p w14:paraId="56D7515A" w14:textId="77777777" w:rsidR="000F5D9D" w:rsidRPr="005A79C9" w:rsidRDefault="000F5D9D" w:rsidP="000B3CF0">
            <w:pPr>
              <w:pStyle w:val="NoSpacing"/>
            </w:pPr>
            <w:r w:rsidRPr="005A79C9">
              <w:t>As stated by the respondent, the current employment status either:</w:t>
            </w:r>
          </w:p>
          <w:p w14:paraId="1D58D6A5" w14:textId="77777777" w:rsidR="000F5D9D" w:rsidRPr="005A79C9" w:rsidRDefault="000F5D9D" w:rsidP="000B3CF0">
            <w:pPr>
              <w:pStyle w:val="NoSpacing"/>
            </w:pPr>
            <w:r w:rsidRPr="005A79C9">
              <w:t>Public Sector</w:t>
            </w:r>
          </w:p>
          <w:p w14:paraId="742F2F76" w14:textId="77777777" w:rsidR="000F5D9D" w:rsidRPr="005A79C9" w:rsidRDefault="000F5D9D" w:rsidP="000B3CF0">
            <w:pPr>
              <w:pStyle w:val="NoSpacing"/>
            </w:pPr>
            <w:r w:rsidRPr="005A79C9">
              <w:t xml:space="preserve">Private Sector </w:t>
            </w:r>
          </w:p>
          <w:p w14:paraId="513CB28F" w14:textId="77777777" w:rsidR="000F5D9D" w:rsidRPr="005A79C9" w:rsidRDefault="000F5D9D" w:rsidP="000B3CF0">
            <w:pPr>
              <w:pStyle w:val="NoSpacing"/>
            </w:pPr>
            <w:r w:rsidRPr="005A79C9">
              <w:t>Self-employed</w:t>
            </w:r>
          </w:p>
          <w:p w14:paraId="209AF8FC" w14:textId="77777777" w:rsidR="000F5D9D" w:rsidRPr="005A79C9" w:rsidRDefault="000F5D9D" w:rsidP="000B3CF0">
            <w:pPr>
              <w:pStyle w:val="NoSpacing"/>
            </w:pPr>
            <w:r w:rsidRPr="005A79C9">
              <w:t>Housewife/ unemployed</w:t>
            </w:r>
          </w:p>
          <w:p w14:paraId="744E97A3" w14:textId="77777777" w:rsidR="000F5D9D" w:rsidRPr="005A79C9" w:rsidRDefault="000F5D9D" w:rsidP="000B3CF0">
            <w:pPr>
              <w:pStyle w:val="NoSpacing"/>
            </w:pPr>
          </w:p>
        </w:tc>
        <w:tc>
          <w:tcPr>
            <w:tcW w:w="1629" w:type="dxa"/>
          </w:tcPr>
          <w:p w14:paraId="061C3BFC" w14:textId="77777777" w:rsidR="000F5D9D" w:rsidRPr="005A79C9" w:rsidRDefault="000F5D9D" w:rsidP="000B3CF0">
            <w:pPr>
              <w:pStyle w:val="NoSpacing"/>
            </w:pPr>
            <w:r w:rsidRPr="005A79C9">
              <w:t>Categorical (nominal)</w:t>
            </w:r>
          </w:p>
        </w:tc>
      </w:tr>
      <w:tr w:rsidR="000F5D9D" w:rsidRPr="005A79C9" w14:paraId="4274EC31" w14:textId="77777777" w:rsidTr="00E22C20">
        <w:tc>
          <w:tcPr>
            <w:tcW w:w="1448" w:type="dxa"/>
          </w:tcPr>
          <w:p w14:paraId="20AF9DE9" w14:textId="77777777" w:rsidR="000F5D9D" w:rsidRPr="005A79C9" w:rsidRDefault="000F5D9D" w:rsidP="000B3CF0">
            <w:pPr>
              <w:pStyle w:val="NoSpacing"/>
            </w:pPr>
            <w:r w:rsidRPr="005A79C9">
              <w:t xml:space="preserve">Household income </w:t>
            </w:r>
          </w:p>
        </w:tc>
        <w:tc>
          <w:tcPr>
            <w:tcW w:w="6278" w:type="dxa"/>
          </w:tcPr>
          <w:p w14:paraId="0C49A5ED" w14:textId="77777777" w:rsidR="000F5D9D" w:rsidRPr="005A79C9" w:rsidRDefault="000F5D9D" w:rsidP="000B3CF0">
            <w:pPr>
              <w:pStyle w:val="NoSpacing"/>
            </w:pPr>
            <w:r w:rsidRPr="005A79C9">
              <w:t>As stated by the respondent, based on the total household income:</w:t>
            </w:r>
          </w:p>
          <w:p w14:paraId="006F2402" w14:textId="77777777" w:rsidR="000F5D9D" w:rsidRPr="005A79C9" w:rsidRDefault="000F5D9D" w:rsidP="000B3CF0">
            <w:pPr>
              <w:pStyle w:val="NoSpacing"/>
            </w:pPr>
            <w:r w:rsidRPr="005A79C9">
              <w:t>Less than RM1000</w:t>
            </w:r>
          </w:p>
          <w:p w14:paraId="42C508F7" w14:textId="77777777" w:rsidR="000F5D9D" w:rsidRPr="005A79C9" w:rsidRDefault="000F5D9D" w:rsidP="000B3CF0">
            <w:pPr>
              <w:pStyle w:val="NoSpacing"/>
            </w:pPr>
            <w:r w:rsidRPr="005A79C9">
              <w:t>RM1000 – RM1999</w:t>
            </w:r>
          </w:p>
          <w:p w14:paraId="1BF5B3F7" w14:textId="77777777" w:rsidR="000F5D9D" w:rsidRPr="005A79C9" w:rsidRDefault="000F5D9D" w:rsidP="000B3CF0">
            <w:pPr>
              <w:pStyle w:val="NoSpacing"/>
            </w:pPr>
            <w:r w:rsidRPr="005A79C9">
              <w:t>RM2000 – RM2999</w:t>
            </w:r>
          </w:p>
          <w:p w14:paraId="3C05CD91" w14:textId="77777777" w:rsidR="000F5D9D" w:rsidRPr="005A79C9" w:rsidRDefault="000F5D9D" w:rsidP="000B3CF0">
            <w:pPr>
              <w:pStyle w:val="NoSpacing"/>
            </w:pPr>
            <w:r w:rsidRPr="005A79C9">
              <w:t>RM3000 – RM3999</w:t>
            </w:r>
          </w:p>
          <w:p w14:paraId="45AC0E6A" w14:textId="77777777" w:rsidR="000F5D9D" w:rsidRPr="005A79C9" w:rsidRDefault="000F5D9D" w:rsidP="000B3CF0">
            <w:pPr>
              <w:pStyle w:val="NoSpacing"/>
            </w:pPr>
            <w:r w:rsidRPr="005A79C9">
              <w:t>RM4000 – RM4999</w:t>
            </w:r>
          </w:p>
          <w:p w14:paraId="74B1D112" w14:textId="77777777" w:rsidR="000F5D9D" w:rsidRPr="005A79C9" w:rsidRDefault="000F5D9D" w:rsidP="000B3CF0">
            <w:pPr>
              <w:pStyle w:val="NoSpacing"/>
            </w:pPr>
            <w:r w:rsidRPr="005A79C9">
              <w:t>RM5000 – RM 10000</w:t>
            </w:r>
          </w:p>
          <w:p w14:paraId="64AE9433" w14:textId="77777777" w:rsidR="000F5D9D" w:rsidRPr="005A79C9" w:rsidRDefault="000F5D9D" w:rsidP="000B3CF0">
            <w:pPr>
              <w:pStyle w:val="NoSpacing"/>
            </w:pPr>
            <w:r w:rsidRPr="005A79C9">
              <w:t>More than RM 10000</w:t>
            </w:r>
          </w:p>
          <w:p w14:paraId="187861B0" w14:textId="77777777" w:rsidR="000F5D9D" w:rsidRPr="005A79C9" w:rsidRDefault="000F5D9D" w:rsidP="000B3CF0">
            <w:pPr>
              <w:pStyle w:val="NoSpacing"/>
            </w:pPr>
          </w:p>
        </w:tc>
        <w:tc>
          <w:tcPr>
            <w:tcW w:w="1629" w:type="dxa"/>
          </w:tcPr>
          <w:p w14:paraId="5D486BC3" w14:textId="77777777" w:rsidR="000F5D9D" w:rsidRPr="005A79C9" w:rsidRDefault="000F5D9D" w:rsidP="000B3CF0">
            <w:pPr>
              <w:pStyle w:val="NoSpacing"/>
            </w:pPr>
          </w:p>
          <w:p w14:paraId="3E5AF4FA" w14:textId="77777777" w:rsidR="000F5D9D" w:rsidRPr="005A79C9" w:rsidRDefault="000F5D9D" w:rsidP="000B3CF0">
            <w:pPr>
              <w:pStyle w:val="NoSpacing"/>
            </w:pPr>
            <w:r w:rsidRPr="005A79C9">
              <w:t>Categorical (nominal)</w:t>
            </w:r>
          </w:p>
        </w:tc>
      </w:tr>
      <w:tr w:rsidR="000F5D9D" w:rsidRPr="005A79C9" w14:paraId="617BE179" w14:textId="77777777" w:rsidTr="00E22C20">
        <w:trPr>
          <w:trHeight w:val="1511"/>
        </w:trPr>
        <w:tc>
          <w:tcPr>
            <w:tcW w:w="1448" w:type="dxa"/>
          </w:tcPr>
          <w:p w14:paraId="1A95F7AF" w14:textId="77777777" w:rsidR="000F5D9D" w:rsidRPr="005A79C9" w:rsidRDefault="000F5D9D" w:rsidP="000B3CF0">
            <w:pPr>
              <w:pStyle w:val="NoSpacing"/>
            </w:pPr>
            <w:r w:rsidRPr="005A79C9">
              <w:t xml:space="preserve">Number of children in the house </w:t>
            </w:r>
          </w:p>
          <w:p w14:paraId="064BACED" w14:textId="77777777" w:rsidR="000F5D9D" w:rsidRPr="005A79C9" w:rsidRDefault="000F5D9D" w:rsidP="000B3CF0">
            <w:pPr>
              <w:pStyle w:val="NoSpacing"/>
            </w:pPr>
            <w:r w:rsidRPr="005A79C9">
              <w:t xml:space="preserve"> </w:t>
            </w:r>
          </w:p>
        </w:tc>
        <w:tc>
          <w:tcPr>
            <w:tcW w:w="6278" w:type="dxa"/>
          </w:tcPr>
          <w:p w14:paraId="2035A3FE" w14:textId="77777777" w:rsidR="000F5D9D" w:rsidRPr="005A79C9" w:rsidRDefault="000F5D9D" w:rsidP="000B3CF0">
            <w:pPr>
              <w:pStyle w:val="NoSpacing"/>
            </w:pPr>
            <w:r w:rsidRPr="005A79C9">
              <w:t xml:space="preserve">Total number of children in the house </w:t>
            </w:r>
          </w:p>
          <w:p w14:paraId="44E0FAF9" w14:textId="77777777" w:rsidR="000F5D9D" w:rsidRPr="005A79C9" w:rsidRDefault="000F5D9D" w:rsidP="000B3CF0">
            <w:pPr>
              <w:pStyle w:val="NoSpacing"/>
            </w:pPr>
            <w:r w:rsidRPr="005A79C9">
              <w:t>One</w:t>
            </w:r>
          </w:p>
          <w:p w14:paraId="0609090A" w14:textId="77777777" w:rsidR="000F5D9D" w:rsidRPr="005A79C9" w:rsidRDefault="000F5D9D" w:rsidP="000B3CF0">
            <w:pPr>
              <w:pStyle w:val="NoSpacing"/>
            </w:pPr>
            <w:r w:rsidRPr="005A79C9">
              <w:t>Two</w:t>
            </w:r>
          </w:p>
          <w:p w14:paraId="23AC6B4C" w14:textId="77777777" w:rsidR="000F5D9D" w:rsidRPr="005A79C9" w:rsidRDefault="000F5D9D" w:rsidP="000B3CF0">
            <w:pPr>
              <w:pStyle w:val="NoSpacing"/>
            </w:pPr>
            <w:r w:rsidRPr="005A79C9">
              <w:t>Three</w:t>
            </w:r>
          </w:p>
          <w:p w14:paraId="289D11F6" w14:textId="77777777" w:rsidR="000F5D9D" w:rsidRPr="005A79C9" w:rsidRDefault="000F5D9D" w:rsidP="000B3CF0">
            <w:pPr>
              <w:pStyle w:val="NoSpacing"/>
            </w:pPr>
            <w:r w:rsidRPr="005A79C9">
              <w:t>Four or more</w:t>
            </w:r>
          </w:p>
        </w:tc>
        <w:tc>
          <w:tcPr>
            <w:tcW w:w="1629" w:type="dxa"/>
          </w:tcPr>
          <w:p w14:paraId="2CC6CB8E" w14:textId="77777777" w:rsidR="000F5D9D" w:rsidRPr="005A79C9" w:rsidRDefault="000F5D9D" w:rsidP="000B3CF0">
            <w:pPr>
              <w:pStyle w:val="NoSpacing"/>
            </w:pPr>
            <w:r w:rsidRPr="005A79C9">
              <w:t>Categorical (nominal)</w:t>
            </w:r>
          </w:p>
        </w:tc>
      </w:tr>
      <w:tr w:rsidR="00F24855" w:rsidRPr="005A79C9" w14:paraId="53B37D0F" w14:textId="77777777" w:rsidTr="00E22C20">
        <w:trPr>
          <w:trHeight w:val="1511"/>
        </w:trPr>
        <w:tc>
          <w:tcPr>
            <w:tcW w:w="1448" w:type="dxa"/>
          </w:tcPr>
          <w:p w14:paraId="58F8C748" w14:textId="6267ADDA" w:rsidR="00F24855" w:rsidRPr="005A79C9" w:rsidRDefault="00F24855" w:rsidP="000B3CF0">
            <w:pPr>
              <w:pStyle w:val="NoSpacing"/>
            </w:pPr>
            <w:r w:rsidRPr="00F24855">
              <w:rPr>
                <w:highlight w:val="yellow"/>
              </w:rPr>
              <w:t>Past experienced with vaccine</w:t>
            </w:r>
            <w:bookmarkStart w:id="33" w:name="_GoBack"/>
            <w:bookmarkEnd w:id="33"/>
          </w:p>
        </w:tc>
        <w:tc>
          <w:tcPr>
            <w:tcW w:w="6278" w:type="dxa"/>
          </w:tcPr>
          <w:p w14:paraId="5B01F271" w14:textId="77777777" w:rsidR="00F24855" w:rsidRPr="005A79C9" w:rsidRDefault="00F24855" w:rsidP="000B3CF0">
            <w:pPr>
              <w:pStyle w:val="NoSpacing"/>
            </w:pPr>
          </w:p>
        </w:tc>
        <w:tc>
          <w:tcPr>
            <w:tcW w:w="1629" w:type="dxa"/>
          </w:tcPr>
          <w:p w14:paraId="74BEB85B" w14:textId="77777777" w:rsidR="00F24855" w:rsidRPr="005A79C9" w:rsidRDefault="00F24855" w:rsidP="000B3CF0">
            <w:pPr>
              <w:pStyle w:val="NoSpacing"/>
            </w:pPr>
          </w:p>
        </w:tc>
      </w:tr>
      <w:tr w:rsidR="000F5D9D" w:rsidRPr="005A79C9" w14:paraId="70CFA70C" w14:textId="77777777" w:rsidTr="00E22C20">
        <w:tc>
          <w:tcPr>
            <w:tcW w:w="1448" w:type="dxa"/>
          </w:tcPr>
          <w:p w14:paraId="6885C575" w14:textId="77777777" w:rsidR="000F5D9D" w:rsidRPr="005A79C9" w:rsidRDefault="000F5D9D" w:rsidP="000B3CF0">
            <w:pPr>
              <w:pStyle w:val="NoSpacing"/>
              <w:rPr>
                <w:highlight w:val="yellow"/>
              </w:rPr>
            </w:pPr>
            <w:r w:rsidRPr="005A79C9">
              <w:rPr>
                <w:highlight w:val="yellow"/>
              </w:rPr>
              <w:t>Which vaccine concern you the most? And why</w:t>
            </w:r>
          </w:p>
        </w:tc>
        <w:tc>
          <w:tcPr>
            <w:tcW w:w="6278" w:type="dxa"/>
          </w:tcPr>
          <w:p w14:paraId="6EF505EC" w14:textId="77777777" w:rsidR="000F5D9D" w:rsidRPr="005A79C9" w:rsidRDefault="000F5D9D" w:rsidP="000B3CF0">
            <w:pPr>
              <w:pStyle w:val="NoSpacing"/>
              <w:rPr>
                <w:highlight w:val="yellow"/>
              </w:rPr>
            </w:pPr>
            <w:r w:rsidRPr="005A79C9">
              <w:rPr>
                <w:highlight w:val="yellow"/>
              </w:rPr>
              <w:t xml:space="preserve"> Type of vaccine most concerned about</w:t>
            </w:r>
          </w:p>
          <w:p w14:paraId="48F12891" w14:textId="77777777" w:rsidR="000F5D9D" w:rsidRPr="005A79C9" w:rsidRDefault="000F5D9D" w:rsidP="000B3CF0">
            <w:pPr>
              <w:pStyle w:val="NoSpacing"/>
              <w:rPr>
                <w:highlight w:val="yellow"/>
              </w:rPr>
            </w:pPr>
            <w:r w:rsidRPr="005A79C9">
              <w:rPr>
                <w:highlight w:val="yellow"/>
              </w:rPr>
              <w:t>BCG</w:t>
            </w:r>
          </w:p>
          <w:p w14:paraId="66AE2A00" w14:textId="77777777" w:rsidR="000F5D9D" w:rsidRPr="005A79C9" w:rsidRDefault="000F5D9D" w:rsidP="000B3CF0">
            <w:pPr>
              <w:pStyle w:val="NoSpacing"/>
              <w:rPr>
                <w:highlight w:val="yellow"/>
              </w:rPr>
            </w:pPr>
            <w:r w:rsidRPr="005A79C9">
              <w:rPr>
                <w:highlight w:val="yellow"/>
              </w:rPr>
              <w:t>Hepatitis B</w:t>
            </w:r>
          </w:p>
          <w:p w14:paraId="428E2E59" w14:textId="77777777" w:rsidR="000F5D9D" w:rsidRPr="005A79C9" w:rsidRDefault="000F5D9D" w:rsidP="000B3CF0">
            <w:pPr>
              <w:pStyle w:val="NoSpacing"/>
              <w:rPr>
                <w:highlight w:val="yellow"/>
              </w:rPr>
            </w:pPr>
            <w:r w:rsidRPr="005A79C9">
              <w:rPr>
                <w:highlight w:val="yellow"/>
              </w:rPr>
              <w:t>DTaP</w:t>
            </w:r>
          </w:p>
          <w:p w14:paraId="6394D8D5" w14:textId="77777777" w:rsidR="000F5D9D" w:rsidRPr="005A79C9" w:rsidRDefault="000F5D9D" w:rsidP="000B3CF0">
            <w:pPr>
              <w:pStyle w:val="NoSpacing"/>
              <w:rPr>
                <w:highlight w:val="yellow"/>
              </w:rPr>
            </w:pPr>
            <w:r w:rsidRPr="005A79C9">
              <w:rPr>
                <w:highlight w:val="yellow"/>
              </w:rPr>
              <w:t>Hib</w:t>
            </w:r>
          </w:p>
          <w:p w14:paraId="604F4EAD" w14:textId="77777777" w:rsidR="000F5D9D" w:rsidRPr="005A79C9" w:rsidRDefault="000F5D9D" w:rsidP="000B3CF0">
            <w:pPr>
              <w:pStyle w:val="NoSpacing"/>
              <w:rPr>
                <w:highlight w:val="yellow"/>
              </w:rPr>
            </w:pPr>
            <w:r w:rsidRPr="005A79C9">
              <w:rPr>
                <w:highlight w:val="yellow"/>
              </w:rPr>
              <w:t>IPV</w:t>
            </w:r>
          </w:p>
          <w:p w14:paraId="5D8A20E2" w14:textId="77777777" w:rsidR="000F5D9D" w:rsidRPr="005A79C9" w:rsidRDefault="000F5D9D" w:rsidP="000B3CF0">
            <w:pPr>
              <w:pStyle w:val="NoSpacing"/>
              <w:rPr>
                <w:highlight w:val="yellow"/>
              </w:rPr>
            </w:pPr>
            <w:r w:rsidRPr="005A79C9">
              <w:rPr>
                <w:highlight w:val="yellow"/>
              </w:rPr>
              <w:t>MMR</w:t>
            </w:r>
          </w:p>
          <w:p w14:paraId="171C565F" w14:textId="77777777" w:rsidR="000F5D9D" w:rsidRPr="005A79C9" w:rsidRDefault="000F5D9D" w:rsidP="000B3CF0">
            <w:pPr>
              <w:pStyle w:val="NoSpacing"/>
              <w:rPr>
                <w:highlight w:val="yellow"/>
              </w:rPr>
            </w:pPr>
            <w:proofErr w:type="gramStart"/>
            <w:r w:rsidRPr="005A79C9">
              <w:rPr>
                <w:highlight w:val="yellow"/>
              </w:rPr>
              <w:t>Why ?</w:t>
            </w:r>
            <w:proofErr w:type="gramEnd"/>
          </w:p>
          <w:p w14:paraId="352A2CF0" w14:textId="77777777" w:rsidR="000F5D9D" w:rsidRPr="005A79C9" w:rsidRDefault="000F5D9D" w:rsidP="000B3CF0">
            <w:pPr>
              <w:pStyle w:val="NoSpacing"/>
              <w:rPr>
                <w:highlight w:val="yellow"/>
              </w:rPr>
            </w:pPr>
          </w:p>
        </w:tc>
        <w:tc>
          <w:tcPr>
            <w:tcW w:w="1629" w:type="dxa"/>
          </w:tcPr>
          <w:p w14:paraId="2E0AD665" w14:textId="77777777" w:rsidR="000F5D9D" w:rsidRPr="005A79C9" w:rsidRDefault="000F5D9D" w:rsidP="000B3CF0">
            <w:pPr>
              <w:pStyle w:val="NoSpacing"/>
              <w:rPr>
                <w:highlight w:val="yellow"/>
              </w:rPr>
            </w:pPr>
            <w:r w:rsidRPr="005A79C9">
              <w:rPr>
                <w:highlight w:val="yellow"/>
              </w:rPr>
              <w:t>Categorical (nominal)</w:t>
            </w:r>
          </w:p>
        </w:tc>
      </w:tr>
    </w:tbl>
    <w:p w14:paraId="694866B3" w14:textId="77777777" w:rsidR="000F5D9D" w:rsidRPr="005A79C9" w:rsidRDefault="000F5D9D" w:rsidP="000B3CF0">
      <w:pPr>
        <w:pStyle w:val="NoSpacing"/>
        <w:rPr>
          <w:b/>
        </w:rPr>
      </w:pPr>
      <w:r w:rsidRPr="005A79C9">
        <w:rPr>
          <w:b/>
        </w:rPr>
        <w:br w:type="page"/>
      </w:r>
    </w:p>
    <w:p w14:paraId="1998DE3C" w14:textId="77777777" w:rsidR="000F5D9D" w:rsidRPr="005A79C9" w:rsidRDefault="000F5D9D" w:rsidP="00E22C20">
      <w:pPr>
        <w:spacing w:line="360" w:lineRule="auto"/>
        <w:ind w:left="851"/>
        <w:jc w:val="both"/>
        <w:rPr>
          <w:szCs w:val="24"/>
        </w:rPr>
      </w:pPr>
    </w:p>
    <w:p w14:paraId="18926B48" w14:textId="77777777" w:rsidR="000F5D9D" w:rsidRPr="005A79C9" w:rsidRDefault="000F5D9D" w:rsidP="000B3CF0">
      <w:pPr>
        <w:pStyle w:val="NoSpacing"/>
      </w:pPr>
      <w:r w:rsidRPr="005A79C9">
        <w:t>Proposed study variables</w:t>
      </w:r>
    </w:p>
    <w:p w14:paraId="442A6792" w14:textId="77777777" w:rsidR="000F5D9D" w:rsidRPr="005A79C9" w:rsidRDefault="000F5D9D" w:rsidP="000B3CF0">
      <w:pPr>
        <w:pStyle w:val="NoSpacing"/>
      </w:pPr>
    </w:p>
    <w:p w14:paraId="29D431A5" w14:textId="77777777" w:rsidR="000F5D9D" w:rsidRPr="005A79C9" w:rsidRDefault="000F5D9D" w:rsidP="000B3CF0">
      <w:pPr>
        <w:pStyle w:val="NoSpacing"/>
        <w:rPr>
          <w:b/>
        </w:rPr>
      </w:pPr>
      <w:r w:rsidRPr="005A79C9">
        <w:t>Table 3.2: Demographic distribution of study population (n=196)</w:t>
      </w:r>
    </w:p>
    <w:tbl>
      <w:tblPr>
        <w:tblW w:w="0" w:type="auto"/>
        <w:jc w:val="center"/>
        <w:tblLook w:val="04A0" w:firstRow="1" w:lastRow="0" w:firstColumn="1" w:lastColumn="0" w:noHBand="0" w:noVBand="1"/>
      </w:tblPr>
      <w:tblGrid>
        <w:gridCol w:w="4022"/>
        <w:gridCol w:w="1157"/>
        <w:gridCol w:w="1059"/>
        <w:gridCol w:w="1215"/>
        <w:gridCol w:w="1204"/>
      </w:tblGrid>
      <w:tr w:rsidR="000F5D9D" w:rsidRPr="005A79C9" w14:paraId="15F0638C" w14:textId="77777777" w:rsidTr="00E22C20">
        <w:trPr>
          <w:trHeight w:val="458"/>
          <w:jc w:val="center"/>
        </w:trPr>
        <w:tc>
          <w:tcPr>
            <w:tcW w:w="4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81461B" w14:textId="77777777" w:rsidR="000F5D9D" w:rsidRPr="005A79C9" w:rsidRDefault="000F5D9D" w:rsidP="000B3CF0">
            <w:pPr>
              <w:pStyle w:val="NoSpacing"/>
              <w:rPr>
                <w:b/>
              </w:rPr>
            </w:pPr>
          </w:p>
        </w:tc>
        <w:tc>
          <w:tcPr>
            <w:tcW w:w="11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6B585F" w14:textId="77777777" w:rsidR="000F5D9D" w:rsidRPr="005A79C9" w:rsidRDefault="000F5D9D" w:rsidP="000B3CF0">
            <w:pPr>
              <w:pStyle w:val="NoSpacing"/>
              <w:rPr>
                <w:b/>
              </w:rPr>
            </w:pPr>
            <w:r w:rsidRPr="005A79C9">
              <w:rPr>
                <w:b/>
              </w:rPr>
              <w:t>General</w:t>
            </w:r>
          </w:p>
        </w:tc>
        <w:tc>
          <w:tcPr>
            <w:tcW w:w="10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29F0D5" w14:textId="77777777" w:rsidR="000F5D9D" w:rsidRPr="005A79C9" w:rsidRDefault="000F5D9D" w:rsidP="000B3CF0">
            <w:pPr>
              <w:pStyle w:val="NoSpacing"/>
              <w:rPr>
                <w:b/>
              </w:rPr>
            </w:pPr>
            <w:r w:rsidRPr="005A79C9">
              <w:rPr>
                <w:b/>
              </w:rPr>
              <w:t>No VHP (Score less than 50)</w:t>
            </w:r>
          </w:p>
        </w:tc>
        <w:tc>
          <w:tcPr>
            <w:tcW w:w="12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08D752" w14:textId="77777777" w:rsidR="000F5D9D" w:rsidRPr="005A79C9" w:rsidRDefault="000F5D9D" w:rsidP="000B3CF0">
            <w:pPr>
              <w:pStyle w:val="NoSpacing"/>
              <w:rPr>
                <w:b/>
              </w:rPr>
            </w:pPr>
            <w:r w:rsidRPr="005A79C9">
              <w:rPr>
                <w:b/>
              </w:rPr>
              <w:t>VHP (Score more than 50)</w:t>
            </w:r>
          </w:p>
        </w:tc>
        <w:tc>
          <w:tcPr>
            <w:tcW w:w="12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94A9E" w14:textId="77777777" w:rsidR="000F5D9D" w:rsidRPr="005A79C9" w:rsidRDefault="000F5D9D" w:rsidP="000B3CF0">
            <w:pPr>
              <w:pStyle w:val="NoSpacing"/>
              <w:rPr>
                <w:b/>
              </w:rPr>
            </w:pPr>
            <w:r w:rsidRPr="005A79C9">
              <w:rPr>
                <w:b/>
              </w:rPr>
              <w:t>P value</w:t>
            </w:r>
          </w:p>
        </w:tc>
      </w:tr>
      <w:tr w:rsidR="000F5D9D" w:rsidRPr="005A79C9" w14:paraId="50A93327" w14:textId="77777777" w:rsidTr="00E22C20">
        <w:trPr>
          <w:trHeight w:val="458"/>
          <w:jc w:val="center"/>
        </w:trPr>
        <w:tc>
          <w:tcPr>
            <w:tcW w:w="4275" w:type="dxa"/>
            <w:tcBorders>
              <w:top w:val="single" w:sz="4" w:space="0" w:color="auto"/>
              <w:left w:val="single" w:sz="4" w:space="0" w:color="auto"/>
              <w:bottom w:val="single" w:sz="4" w:space="0" w:color="auto"/>
              <w:right w:val="single" w:sz="4" w:space="0" w:color="auto"/>
            </w:tcBorders>
            <w:shd w:val="clear" w:color="auto" w:fill="auto"/>
          </w:tcPr>
          <w:p w14:paraId="4227A4A9" w14:textId="77777777" w:rsidR="000F5D9D" w:rsidRPr="005A79C9" w:rsidRDefault="000F5D9D" w:rsidP="000B3CF0">
            <w:pPr>
              <w:pStyle w:val="NoSpacing"/>
              <w:rPr>
                <w:bCs/>
              </w:rPr>
            </w:pPr>
            <w:r w:rsidRPr="005A79C9">
              <w:rPr>
                <w:bCs/>
              </w:rPr>
              <w:t xml:space="preserve">Respondent </w:t>
            </w:r>
          </w:p>
          <w:p w14:paraId="05E4C715" w14:textId="77777777" w:rsidR="000F5D9D" w:rsidRPr="005A79C9" w:rsidRDefault="000F5D9D" w:rsidP="000B3CF0">
            <w:pPr>
              <w:pStyle w:val="NoSpacing"/>
              <w:rPr>
                <w:bCs/>
              </w:rPr>
            </w:pPr>
            <w:r w:rsidRPr="005A79C9">
              <w:rPr>
                <w:bCs/>
              </w:rPr>
              <w:t xml:space="preserve">    Father </w:t>
            </w:r>
          </w:p>
          <w:p w14:paraId="34B62262" w14:textId="77777777" w:rsidR="000F5D9D" w:rsidRPr="005A79C9" w:rsidRDefault="000F5D9D" w:rsidP="000B3CF0">
            <w:pPr>
              <w:pStyle w:val="NoSpacing"/>
              <w:rPr>
                <w:b/>
              </w:rPr>
            </w:pPr>
            <w:r w:rsidRPr="005A79C9">
              <w:rPr>
                <w:bCs/>
              </w:rPr>
              <w:t xml:space="preserve">    Mother</w:t>
            </w:r>
            <w:r w:rsidRPr="005A79C9">
              <w:rPr>
                <w:b/>
              </w:rPr>
              <w:t xml:space="preserve"> </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A51D474"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40505197"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14:paraId="6456D376"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14:paraId="71FB4C40" w14:textId="77777777" w:rsidR="000F5D9D" w:rsidRPr="005A79C9" w:rsidRDefault="000F5D9D" w:rsidP="000B3CF0">
            <w:pPr>
              <w:pStyle w:val="NoSpacing"/>
              <w:rPr>
                <w:b/>
              </w:rPr>
            </w:pPr>
          </w:p>
        </w:tc>
      </w:tr>
      <w:tr w:rsidR="000F5D9D" w:rsidRPr="005A79C9" w14:paraId="0D7E90F1" w14:textId="77777777" w:rsidTr="00E22C20">
        <w:trPr>
          <w:trHeight w:val="359"/>
          <w:jc w:val="center"/>
        </w:trPr>
        <w:tc>
          <w:tcPr>
            <w:tcW w:w="4275" w:type="dxa"/>
            <w:tcBorders>
              <w:top w:val="single" w:sz="4" w:space="0" w:color="auto"/>
              <w:left w:val="single" w:sz="4" w:space="0" w:color="auto"/>
              <w:bottom w:val="single" w:sz="4" w:space="0" w:color="auto"/>
              <w:right w:val="single" w:sz="4" w:space="0" w:color="auto"/>
            </w:tcBorders>
            <w:vAlign w:val="center"/>
          </w:tcPr>
          <w:p w14:paraId="061C3B69" w14:textId="77777777" w:rsidR="000F5D9D" w:rsidRPr="005A79C9" w:rsidRDefault="000F5D9D" w:rsidP="000B3CF0">
            <w:pPr>
              <w:pStyle w:val="NoSpacing"/>
              <w:rPr>
                <w:b/>
              </w:rPr>
            </w:pPr>
            <w:r w:rsidRPr="005A79C9">
              <w:t>Age (Mean ± SD)</w:t>
            </w:r>
          </w:p>
        </w:tc>
        <w:tc>
          <w:tcPr>
            <w:tcW w:w="1168" w:type="dxa"/>
            <w:tcBorders>
              <w:top w:val="single" w:sz="4" w:space="0" w:color="auto"/>
              <w:left w:val="single" w:sz="4" w:space="0" w:color="auto"/>
              <w:bottom w:val="single" w:sz="4" w:space="0" w:color="auto"/>
              <w:right w:val="single" w:sz="4" w:space="0" w:color="auto"/>
            </w:tcBorders>
          </w:tcPr>
          <w:p w14:paraId="041FCF44"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535F05F2"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7F73EF20"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1DA99324" w14:textId="77777777" w:rsidR="000F5D9D" w:rsidRPr="005A79C9" w:rsidRDefault="000F5D9D" w:rsidP="000B3CF0">
            <w:pPr>
              <w:pStyle w:val="NoSpacing"/>
              <w:rPr>
                <w:b/>
              </w:rPr>
            </w:pPr>
          </w:p>
        </w:tc>
      </w:tr>
      <w:tr w:rsidR="000F5D9D" w:rsidRPr="005A79C9" w14:paraId="44C70DD3" w14:textId="77777777" w:rsidTr="00E22C20">
        <w:trPr>
          <w:trHeight w:val="881"/>
          <w:jc w:val="center"/>
        </w:trPr>
        <w:tc>
          <w:tcPr>
            <w:tcW w:w="4275" w:type="dxa"/>
            <w:tcBorders>
              <w:top w:val="single" w:sz="4" w:space="0" w:color="auto"/>
              <w:left w:val="single" w:sz="4" w:space="0" w:color="auto"/>
              <w:bottom w:val="single" w:sz="4" w:space="0" w:color="auto"/>
              <w:right w:val="single" w:sz="4" w:space="0" w:color="auto"/>
            </w:tcBorders>
            <w:vAlign w:val="center"/>
          </w:tcPr>
          <w:p w14:paraId="4B8B1E41" w14:textId="77777777" w:rsidR="000F5D9D" w:rsidRPr="005A79C9" w:rsidRDefault="000F5D9D" w:rsidP="000B3CF0">
            <w:pPr>
              <w:pStyle w:val="NoSpacing"/>
            </w:pPr>
            <w:r w:rsidRPr="005A79C9">
              <w:t>Gender (%)</w:t>
            </w:r>
          </w:p>
          <w:p w14:paraId="33148000" w14:textId="77777777" w:rsidR="000F5D9D" w:rsidRPr="005A79C9" w:rsidRDefault="000F5D9D" w:rsidP="000B3CF0">
            <w:pPr>
              <w:pStyle w:val="NoSpacing"/>
            </w:pPr>
            <w:r w:rsidRPr="005A79C9">
              <w:t xml:space="preserve">    Male</w:t>
            </w:r>
          </w:p>
          <w:p w14:paraId="347F586B" w14:textId="77777777" w:rsidR="000F5D9D" w:rsidRPr="005A79C9" w:rsidRDefault="000F5D9D" w:rsidP="000B3CF0">
            <w:pPr>
              <w:pStyle w:val="NoSpacing"/>
            </w:pPr>
            <w:r w:rsidRPr="005A79C9">
              <w:t xml:space="preserve">    Female</w:t>
            </w:r>
          </w:p>
        </w:tc>
        <w:tc>
          <w:tcPr>
            <w:tcW w:w="1168" w:type="dxa"/>
            <w:tcBorders>
              <w:top w:val="single" w:sz="4" w:space="0" w:color="auto"/>
              <w:left w:val="single" w:sz="4" w:space="0" w:color="auto"/>
              <w:bottom w:val="single" w:sz="4" w:space="0" w:color="auto"/>
              <w:right w:val="single" w:sz="4" w:space="0" w:color="auto"/>
            </w:tcBorders>
            <w:vAlign w:val="center"/>
          </w:tcPr>
          <w:p w14:paraId="146FC13D"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1E54F5C3"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3C6500F3"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09E22C38" w14:textId="77777777" w:rsidR="000F5D9D" w:rsidRPr="005A79C9" w:rsidRDefault="000F5D9D" w:rsidP="000B3CF0">
            <w:pPr>
              <w:pStyle w:val="NoSpacing"/>
              <w:rPr>
                <w:b/>
              </w:rPr>
            </w:pPr>
          </w:p>
        </w:tc>
      </w:tr>
      <w:tr w:rsidR="000F5D9D" w:rsidRPr="005A79C9" w14:paraId="2CBEF17B" w14:textId="77777777" w:rsidTr="00E22C20">
        <w:trPr>
          <w:trHeight w:val="1448"/>
          <w:jc w:val="center"/>
        </w:trPr>
        <w:tc>
          <w:tcPr>
            <w:tcW w:w="4275" w:type="dxa"/>
            <w:tcBorders>
              <w:top w:val="single" w:sz="4" w:space="0" w:color="auto"/>
              <w:left w:val="single" w:sz="4" w:space="0" w:color="auto"/>
              <w:bottom w:val="single" w:sz="4" w:space="0" w:color="auto"/>
              <w:right w:val="single" w:sz="4" w:space="0" w:color="auto"/>
            </w:tcBorders>
            <w:vAlign w:val="center"/>
          </w:tcPr>
          <w:p w14:paraId="236A3B4F" w14:textId="77777777" w:rsidR="000F5D9D" w:rsidRPr="005A79C9" w:rsidRDefault="000F5D9D" w:rsidP="000B3CF0">
            <w:pPr>
              <w:pStyle w:val="NoSpacing"/>
            </w:pPr>
            <w:r w:rsidRPr="005A79C9">
              <w:t>Ethnicity (%)</w:t>
            </w:r>
          </w:p>
          <w:p w14:paraId="3D720F81" w14:textId="77777777" w:rsidR="000F5D9D" w:rsidRPr="005A79C9" w:rsidRDefault="000F5D9D" w:rsidP="000B3CF0">
            <w:pPr>
              <w:pStyle w:val="NoSpacing"/>
            </w:pPr>
            <w:r w:rsidRPr="005A79C9">
              <w:t xml:space="preserve">    Malay</w:t>
            </w:r>
          </w:p>
          <w:p w14:paraId="5BC99E7B" w14:textId="77777777" w:rsidR="000F5D9D" w:rsidRPr="005A79C9" w:rsidRDefault="000F5D9D" w:rsidP="000B3CF0">
            <w:pPr>
              <w:pStyle w:val="NoSpacing"/>
            </w:pPr>
            <w:r w:rsidRPr="005A79C9">
              <w:t xml:space="preserve">    Chinese</w:t>
            </w:r>
          </w:p>
          <w:p w14:paraId="60D1AD9F" w14:textId="77777777" w:rsidR="000F5D9D" w:rsidRPr="005A79C9" w:rsidRDefault="000F5D9D" w:rsidP="000B3CF0">
            <w:pPr>
              <w:pStyle w:val="NoSpacing"/>
            </w:pPr>
            <w:r w:rsidRPr="005A79C9">
              <w:t xml:space="preserve">    India</w:t>
            </w:r>
          </w:p>
          <w:p w14:paraId="66FE9DE7" w14:textId="77777777" w:rsidR="000F5D9D" w:rsidRPr="005A79C9" w:rsidRDefault="000F5D9D" w:rsidP="000B3CF0">
            <w:pPr>
              <w:pStyle w:val="NoSpacing"/>
            </w:pPr>
            <w:r w:rsidRPr="005A79C9">
              <w:t xml:space="preserve">    Others</w:t>
            </w:r>
          </w:p>
        </w:tc>
        <w:tc>
          <w:tcPr>
            <w:tcW w:w="1168" w:type="dxa"/>
            <w:tcBorders>
              <w:top w:val="single" w:sz="4" w:space="0" w:color="auto"/>
              <w:left w:val="single" w:sz="4" w:space="0" w:color="auto"/>
              <w:bottom w:val="single" w:sz="4" w:space="0" w:color="auto"/>
              <w:right w:val="single" w:sz="4" w:space="0" w:color="auto"/>
            </w:tcBorders>
            <w:vAlign w:val="center"/>
          </w:tcPr>
          <w:p w14:paraId="50FC8B65"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037C91CA"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5CF19BAB"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3BEDCC2F" w14:textId="77777777" w:rsidR="000F5D9D" w:rsidRPr="005A79C9" w:rsidRDefault="000F5D9D" w:rsidP="000B3CF0">
            <w:pPr>
              <w:pStyle w:val="NoSpacing"/>
              <w:rPr>
                <w:b/>
              </w:rPr>
            </w:pPr>
          </w:p>
        </w:tc>
      </w:tr>
      <w:tr w:rsidR="000F5D9D" w:rsidRPr="005A79C9" w14:paraId="53869ACB" w14:textId="77777777" w:rsidTr="00E22C20">
        <w:trPr>
          <w:trHeight w:val="1448"/>
          <w:jc w:val="center"/>
        </w:trPr>
        <w:tc>
          <w:tcPr>
            <w:tcW w:w="4275" w:type="dxa"/>
            <w:tcBorders>
              <w:top w:val="single" w:sz="4" w:space="0" w:color="auto"/>
              <w:left w:val="single" w:sz="4" w:space="0" w:color="auto"/>
              <w:bottom w:val="single" w:sz="4" w:space="0" w:color="auto"/>
              <w:right w:val="single" w:sz="4" w:space="0" w:color="auto"/>
            </w:tcBorders>
            <w:vAlign w:val="center"/>
          </w:tcPr>
          <w:p w14:paraId="3442BD52" w14:textId="77777777" w:rsidR="000F5D9D" w:rsidRPr="005A79C9" w:rsidRDefault="000F5D9D" w:rsidP="000B3CF0">
            <w:pPr>
              <w:pStyle w:val="NoSpacing"/>
            </w:pPr>
            <w:r w:rsidRPr="005A79C9">
              <w:t xml:space="preserve">Religion </w:t>
            </w:r>
          </w:p>
          <w:p w14:paraId="7F65D11F" w14:textId="77777777" w:rsidR="000F5D9D" w:rsidRPr="005A79C9" w:rsidRDefault="000F5D9D" w:rsidP="000B3CF0">
            <w:pPr>
              <w:pStyle w:val="NoSpacing"/>
            </w:pPr>
            <w:r w:rsidRPr="005A79C9">
              <w:t xml:space="preserve">   Islam</w:t>
            </w:r>
          </w:p>
          <w:p w14:paraId="00148668" w14:textId="77777777" w:rsidR="000F5D9D" w:rsidRPr="005A79C9" w:rsidRDefault="000F5D9D" w:rsidP="000B3CF0">
            <w:pPr>
              <w:pStyle w:val="NoSpacing"/>
            </w:pPr>
            <w:r w:rsidRPr="005A79C9">
              <w:t xml:space="preserve">   Buddha</w:t>
            </w:r>
          </w:p>
          <w:p w14:paraId="2E74E5E0" w14:textId="77777777" w:rsidR="000F5D9D" w:rsidRPr="005A79C9" w:rsidRDefault="000F5D9D" w:rsidP="000B3CF0">
            <w:pPr>
              <w:pStyle w:val="NoSpacing"/>
            </w:pPr>
            <w:r w:rsidRPr="005A79C9">
              <w:t xml:space="preserve">   Hindu</w:t>
            </w:r>
          </w:p>
          <w:p w14:paraId="55A38EA7" w14:textId="77777777" w:rsidR="000F5D9D" w:rsidRPr="005A79C9" w:rsidRDefault="000F5D9D" w:rsidP="000B3CF0">
            <w:pPr>
              <w:pStyle w:val="NoSpacing"/>
            </w:pPr>
            <w:r w:rsidRPr="005A79C9">
              <w:t xml:space="preserve">   Other</w:t>
            </w:r>
          </w:p>
        </w:tc>
        <w:tc>
          <w:tcPr>
            <w:tcW w:w="1168" w:type="dxa"/>
            <w:tcBorders>
              <w:top w:val="single" w:sz="4" w:space="0" w:color="auto"/>
              <w:left w:val="single" w:sz="4" w:space="0" w:color="auto"/>
              <w:bottom w:val="single" w:sz="4" w:space="0" w:color="auto"/>
              <w:right w:val="single" w:sz="4" w:space="0" w:color="auto"/>
            </w:tcBorders>
            <w:vAlign w:val="center"/>
          </w:tcPr>
          <w:p w14:paraId="7EA480B2"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07EA1950"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3AD9D43A"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51AF7775" w14:textId="77777777" w:rsidR="000F5D9D" w:rsidRPr="005A79C9" w:rsidRDefault="000F5D9D" w:rsidP="000B3CF0">
            <w:pPr>
              <w:pStyle w:val="NoSpacing"/>
              <w:rPr>
                <w:b/>
              </w:rPr>
            </w:pPr>
          </w:p>
        </w:tc>
      </w:tr>
      <w:tr w:rsidR="000F5D9D" w:rsidRPr="005A79C9" w14:paraId="6D752EE2" w14:textId="77777777" w:rsidTr="00E22C20">
        <w:trPr>
          <w:trHeight w:val="1043"/>
          <w:jc w:val="center"/>
        </w:trPr>
        <w:tc>
          <w:tcPr>
            <w:tcW w:w="4275" w:type="dxa"/>
            <w:tcBorders>
              <w:top w:val="single" w:sz="4" w:space="0" w:color="auto"/>
              <w:left w:val="single" w:sz="4" w:space="0" w:color="auto"/>
              <w:bottom w:val="single" w:sz="4" w:space="0" w:color="auto"/>
              <w:right w:val="single" w:sz="4" w:space="0" w:color="auto"/>
            </w:tcBorders>
            <w:vAlign w:val="center"/>
          </w:tcPr>
          <w:p w14:paraId="6DED4F09" w14:textId="77777777" w:rsidR="000F5D9D" w:rsidRPr="005A79C9" w:rsidRDefault="000F5D9D" w:rsidP="000B3CF0">
            <w:pPr>
              <w:pStyle w:val="NoSpacing"/>
            </w:pPr>
            <w:r w:rsidRPr="005A79C9">
              <w:t>Marital status (%)</w:t>
            </w:r>
          </w:p>
          <w:p w14:paraId="43FDFEAF" w14:textId="77777777" w:rsidR="000F5D9D" w:rsidRPr="005A79C9" w:rsidRDefault="000F5D9D" w:rsidP="000B3CF0">
            <w:pPr>
              <w:pStyle w:val="NoSpacing"/>
            </w:pPr>
            <w:r w:rsidRPr="005A79C9">
              <w:t xml:space="preserve">   Married </w:t>
            </w:r>
          </w:p>
          <w:p w14:paraId="02206781" w14:textId="77777777" w:rsidR="000F5D9D" w:rsidRPr="005A79C9" w:rsidRDefault="000F5D9D" w:rsidP="000B3CF0">
            <w:pPr>
              <w:pStyle w:val="NoSpacing"/>
            </w:pPr>
            <w:r w:rsidRPr="005A79C9">
              <w:t xml:space="preserve">   Not married </w:t>
            </w:r>
          </w:p>
          <w:p w14:paraId="302F70DE" w14:textId="77777777" w:rsidR="000F5D9D" w:rsidRPr="005A79C9" w:rsidRDefault="000F5D9D" w:rsidP="000B3CF0">
            <w:pPr>
              <w:pStyle w:val="NoSpacing"/>
            </w:pPr>
            <w:r w:rsidRPr="005A79C9">
              <w:t xml:space="preserve">   Separated/ Divorced/ Widowed</w:t>
            </w:r>
          </w:p>
        </w:tc>
        <w:tc>
          <w:tcPr>
            <w:tcW w:w="1168" w:type="dxa"/>
            <w:tcBorders>
              <w:top w:val="single" w:sz="4" w:space="0" w:color="auto"/>
              <w:left w:val="single" w:sz="4" w:space="0" w:color="auto"/>
              <w:bottom w:val="single" w:sz="4" w:space="0" w:color="auto"/>
              <w:right w:val="single" w:sz="4" w:space="0" w:color="auto"/>
            </w:tcBorders>
            <w:vAlign w:val="center"/>
          </w:tcPr>
          <w:p w14:paraId="2709C68D"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3D12C7CB"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148795E8"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308EB2FC" w14:textId="77777777" w:rsidR="000F5D9D" w:rsidRPr="005A79C9" w:rsidRDefault="000F5D9D" w:rsidP="000B3CF0">
            <w:pPr>
              <w:pStyle w:val="NoSpacing"/>
              <w:rPr>
                <w:b/>
              </w:rPr>
            </w:pPr>
          </w:p>
        </w:tc>
      </w:tr>
      <w:tr w:rsidR="000F5D9D" w:rsidRPr="005A79C9" w14:paraId="1E9E73E3" w14:textId="77777777" w:rsidTr="00E22C20">
        <w:trPr>
          <w:trHeight w:val="1511"/>
          <w:jc w:val="center"/>
        </w:trPr>
        <w:tc>
          <w:tcPr>
            <w:tcW w:w="4275" w:type="dxa"/>
            <w:tcBorders>
              <w:top w:val="single" w:sz="4" w:space="0" w:color="auto"/>
              <w:left w:val="single" w:sz="4" w:space="0" w:color="auto"/>
              <w:bottom w:val="single" w:sz="4" w:space="0" w:color="auto"/>
              <w:right w:val="single" w:sz="4" w:space="0" w:color="auto"/>
            </w:tcBorders>
            <w:vAlign w:val="center"/>
          </w:tcPr>
          <w:p w14:paraId="43947CED" w14:textId="77777777" w:rsidR="000F5D9D" w:rsidRPr="005A79C9" w:rsidRDefault="000F5D9D" w:rsidP="000B3CF0">
            <w:pPr>
              <w:pStyle w:val="NoSpacing"/>
            </w:pPr>
            <w:r w:rsidRPr="005A79C9">
              <w:t>Education level (%)</w:t>
            </w:r>
          </w:p>
          <w:p w14:paraId="32896E6F" w14:textId="77777777" w:rsidR="000F5D9D" w:rsidRPr="005A79C9" w:rsidRDefault="000F5D9D" w:rsidP="000B3CF0">
            <w:pPr>
              <w:pStyle w:val="NoSpacing"/>
            </w:pPr>
            <w:r w:rsidRPr="005A79C9">
              <w:t xml:space="preserve">    None</w:t>
            </w:r>
          </w:p>
          <w:p w14:paraId="5D5E6619" w14:textId="77777777" w:rsidR="000F5D9D" w:rsidRPr="005A79C9" w:rsidRDefault="000F5D9D" w:rsidP="000B3CF0">
            <w:pPr>
              <w:pStyle w:val="NoSpacing"/>
            </w:pPr>
            <w:r w:rsidRPr="005A79C9">
              <w:t xml:space="preserve">    Primary</w:t>
            </w:r>
          </w:p>
          <w:p w14:paraId="097FBBC1" w14:textId="77777777" w:rsidR="000F5D9D" w:rsidRPr="005A79C9" w:rsidRDefault="000F5D9D" w:rsidP="000B3CF0">
            <w:pPr>
              <w:pStyle w:val="NoSpacing"/>
            </w:pPr>
            <w:r w:rsidRPr="005A79C9">
              <w:t xml:space="preserve">    Secondary</w:t>
            </w:r>
          </w:p>
          <w:p w14:paraId="04529975" w14:textId="77777777" w:rsidR="000F5D9D" w:rsidRPr="005A79C9" w:rsidRDefault="000F5D9D" w:rsidP="000B3CF0">
            <w:pPr>
              <w:pStyle w:val="NoSpacing"/>
            </w:pPr>
            <w:r w:rsidRPr="005A79C9">
              <w:t xml:space="preserve">    Tertiary</w:t>
            </w:r>
          </w:p>
        </w:tc>
        <w:tc>
          <w:tcPr>
            <w:tcW w:w="1168" w:type="dxa"/>
            <w:tcBorders>
              <w:top w:val="single" w:sz="4" w:space="0" w:color="auto"/>
              <w:left w:val="single" w:sz="4" w:space="0" w:color="auto"/>
              <w:bottom w:val="single" w:sz="4" w:space="0" w:color="auto"/>
              <w:right w:val="single" w:sz="4" w:space="0" w:color="auto"/>
            </w:tcBorders>
            <w:vAlign w:val="center"/>
          </w:tcPr>
          <w:p w14:paraId="6FD5D5C6"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7976F693"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63DE6A19"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6699354B" w14:textId="77777777" w:rsidR="000F5D9D" w:rsidRPr="005A79C9" w:rsidRDefault="000F5D9D" w:rsidP="000B3CF0">
            <w:pPr>
              <w:pStyle w:val="NoSpacing"/>
              <w:rPr>
                <w:b/>
              </w:rPr>
            </w:pPr>
          </w:p>
        </w:tc>
      </w:tr>
      <w:tr w:rsidR="000F5D9D" w:rsidRPr="005A79C9" w14:paraId="6317B970" w14:textId="77777777" w:rsidTr="00E22C20">
        <w:trPr>
          <w:trHeight w:val="1088"/>
          <w:jc w:val="center"/>
        </w:trPr>
        <w:tc>
          <w:tcPr>
            <w:tcW w:w="4275" w:type="dxa"/>
            <w:tcBorders>
              <w:top w:val="single" w:sz="4" w:space="0" w:color="auto"/>
              <w:left w:val="single" w:sz="4" w:space="0" w:color="auto"/>
              <w:bottom w:val="single" w:sz="4" w:space="0" w:color="auto"/>
              <w:right w:val="single" w:sz="4" w:space="0" w:color="auto"/>
            </w:tcBorders>
            <w:vAlign w:val="center"/>
          </w:tcPr>
          <w:p w14:paraId="3FD085AF" w14:textId="77777777" w:rsidR="000F5D9D" w:rsidRPr="005A79C9" w:rsidRDefault="000F5D9D" w:rsidP="000B3CF0">
            <w:pPr>
              <w:pStyle w:val="NoSpacing"/>
            </w:pPr>
            <w:r w:rsidRPr="005A79C9">
              <w:t>Occupation (%)</w:t>
            </w:r>
          </w:p>
          <w:p w14:paraId="3DA56995" w14:textId="77777777" w:rsidR="000F5D9D" w:rsidRPr="005A79C9" w:rsidRDefault="000F5D9D" w:rsidP="000B3CF0">
            <w:pPr>
              <w:pStyle w:val="NoSpacing"/>
            </w:pPr>
            <w:r w:rsidRPr="005A79C9">
              <w:t xml:space="preserve">    Public Sector</w:t>
            </w:r>
          </w:p>
          <w:p w14:paraId="0DD05F42" w14:textId="77777777" w:rsidR="000F5D9D" w:rsidRPr="005A79C9" w:rsidRDefault="000F5D9D" w:rsidP="000B3CF0">
            <w:pPr>
              <w:pStyle w:val="NoSpacing"/>
            </w:pPr>
            <w:r w:rsidRPr="005A79C9">
              <w:t xml:space="preserve">    Private Sector </w:t>
            </w:r>
          </w:p>
          <w:p w14:paraId="0DE3308F" w14:textId="77777777" w:rsidR="000F5D9D" w:rsidRPr="005A79C9" w:rsidRDefault="000F5D9D" w:rsidP="000B3CF0">
            <w:pPr>
              <w:pStyle w:val="NoSpacing"/>
            </w:pPr>
            <w:r w:rsidRPr="005A79C9">
              <w:t xml:space="preserve">    Self-employed</w:t>
            </w:r>
          </w:p>
          <w:p w14:paraId="5FCA9FA9" w14:textId="77777777" w:rsidR="000F5D9D" w:rsidRPr="005A79C9" w:rsidRDefault="000F5D9D" w:rsidP="000B3CF0">
            <w:pPr>
              <w:pStyle w:val="NoSpacing"/>
            </w:pPr>
            <w:r w:rsidRPr="005A79C9">
              <w:t xml:space="preserve">    Housewife/ unemployed</w:t>
            </w:r>
          </w:p>
          <w:p w14:paraId="7B5BFBB2" w14:textId="77777777" w:rsidR="000F5D9D" w:rsidRPr="005A79C9" w:rsidRDefault="000F5D9D" w:rsidP="000B3CF0">
            <w:pPr>
              <w:pStyle w:val="NoSpacing"/>
            </w:pPr>
          </w:p>
        </w:tc>
        <w:tc>
          <w:tcPr>
            <w:tcW w:w="1168" w:type="dxa"/>
            <w:tcBorders>
              <w:top w:val="single" w:sz="4" w:space="0" w:color="auto"/>
              <w:left w:val="single" w:sz="4" w:space="0" w:color="auto"/>
              <w:bottom w:val="single" w:sz="4" w:space="0" w:color="auto"/>
              <w:right w:val="single" w:sz="4" w:space="0" w:color="auto"/>
            </w:tcBorders>
            <w:vAlign w:val="center"/>
          </w:tcPr>
          <w:p w14:paraId="12D3CBAF"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6239C154"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5CBA9BAA"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7DF2B507" w14:textId="77777777" w:rsidR="000F5D9D" w:rsidRPr="005A79C9" w:rsidRDefault="000F5D9D" w:rsidP="000B3CF0">
            <w:pPr>
              <w:pStyle w:val="NoSpacing"/>
              <w:rPr>
                <w:b/>
              </w:rPr>
            </w:pPr>
          </w:p>
        </w:tc>
      </w:tr>
      <w:tr w:rsidR="000F5D9D" w:rsidRPr="005A79C9" w14:paraId="1CBD3DAC" w14:textId="77777777" w:rsidTr="00E22C20">
        <w:trPr>
          <w:trHeight w:val="1250"/>
          <w:jc w:val="center"/>
        </w:trPr>
        <w:tc>
          <w:tcPr>
            <w:tcW w:w="4275" w:type="dxa"/>
            <w:tcBorders>
              <w:top w:val="single" w:sz="4" w:space="0" w:color="auto"/>
              <w:left w:val="single" w:sz="4" w:space="0" w:color="auto"/>
              <w:bottom w:val="single" w:sz="4" w:space="0" w:color="auto"/>
              <w:right w:val="single" w:sz="4" w:space="0" w:color="auto"/>
            </w:tcBorders>
            <w:vAlign w:val="center"/>
          </w:tcPr>
          <w:p w14:paraId="2031ED1C" w14:textId="77777777" w:rsidR="000F5D9D" w:rsidRPr="005A79C9" w:rsidRDefault="000F5D9D" w:rsidP="000B3CF0">
            <w:pPr>
              <w:pStyle w:val="NoSpacing"/>
            </w:pPr>
            <w:r w:rsidRPr="005A79C9">
              <w:lastRenderedPageBreak/>
              <w:t xml:space="preserve"> Household income</w:t>
            </w:r>
          </w:p>
          <w:p w14:paraId="36620278" w14:textId="77777777" w:rsidR="000F5D9D" w:rsidRPr="005A79C9" w:rsidRDefault="000F5D9D" w:rsidP="000B3CF0">
            <w:pPr>
              <w:pStyle w:val="NoSpacing"/>
            </w:pPr>
            <w:r w:rsidRPr="005A79C9">
              <w:t xml:space="preserve">    Less than RM1000</w:t>
            </w:r>
          </w:p>
          <w:p w14:paraId="69059161" w14:textId="77777777" w:rsidR="000F5D9D" w:rsidRPr="005A79C9" w:rsidRDefault="000F5D9D" w:rsidP="000B3CF0">
            <w:pPr>
              <w:pStyle w:val="NoSpacing"/>
            </w:pPr>
            <w:r w:rsidRPr="005A79C9">
              <w:t xml:space="preserve">    RM1000 – RM1999</w:t>
            </w:r>
          </w:p>
          <w:p w14:paraId="15A723A3" w14:textId="77777777" w:rsidR="000F5D9D" w:rsidRPr="005A79C9" w:rsidRDefault="000F5D9D" w:rsidP="000B3CF0">
            <w:pPr>
              <w:pStyle w:val="NoSpacing"/>
            </w:pPr>
            <w:r w:rsidRPr="005A79C9">
              <w:t xml:space="preserve">    RM2000 – RM2999</w:t>
            </w:r>
          </w:p>
          <w:p w14:paraId="480EDF2F" w14:textId="77777777" w:rsidR="000F5D9D" w:rsidRPr="005A79C9" w:rsidRDefault="000F5D9D" w:rsidP="000B3CF0">
            <w:pPr>
              <w:pStyle w:val="NoSpacing"/>
            </w:pPr>
            <w:r w:rsidRPr="005A79C9">
              <w:t xml:space="preserve">    RM3000 – RM3999</w:t>
            </w:r>
          </w:p>
          <w:p w14:paraId="7D94E609" w14:textId="77777777" w:rsidR="000F5D9D" w:rsidRPr="005A79C9" w:rsidRDefault="000F5D9D" w:rsidP="000B3CF0">
            <w:pPr>
              <w:pStyle w:val="NoSpacing"/>
            </w:pPr>
            <w:r w:rsidRPr="005A79C9">
              <w:t xml:space="preserve">    RM4000 – RM4999</w:t>
            </w:r>
          </w:p>
          <w:p w14:paraId="5449F0E9" w14:textId="77777777" w:rsidR="000F5D9D" w:rsidRPr="005A79C9" w:rsidRDefault="000F5D9D" w:rsidP="000B3CF0">
            <w:pPr>
              <w:pStyle w:val="NoSpacing"/>
            </w:pPr>
            <w:r w:rsidRPr="005A79C9">
              <w:t xml:space="preserve">    RM5000 – RM 10000</w:t>
            </w:r>
          </w:p>
          <w:p w14:paraId="33AC0E69" w14:textId="77777777" w:rsidR="000F5D9D" w:rsidRPr="005A79C9" w:rsidRDefault="000F5D9D" w:rsidP="000B3CF0">
            <w:pPr>
              <w:pStyle w:val="NoSpacing"/>
            </w:pPr>
            <w:r w:rsidRPr="005A79C9">
              <w:t xml:space="preserve">    More than RM 10000</w:t>
            </w:r>
          </w:p>
          <w:p w14:paraId="6AB19DF8" w14:textId="77777777" w:rsidR="000F5D9D" w:rsidRPr="005A79C9" w:rsidRDefault="000F5D9D" w:rsidP="000B3CF0">
            <w:pPr>
              <w:pStyle w:val="NoSpacing"/>
            </w:pPr>
          </w:p>
        </w:tc>
        <w:tc>
          <w:tcPr>
            <w:tcW w:w="1168" w:type="dxa"/>
            <w:tcBorders>
              <w:top w:val="single" w:sz="4" w:space="0" w:color="auto"/>
              <w:left w:val="single" w:sz="4" w:space="0" w:color="auto"/>
              <w:bottom w:val="single" w:sz="4" w:space="0" w:color="auto"/>
              <w:right w:val="single" w:sz="4" w:space="0" w:color="auto"/>
            </w:tcBorders>
            <w:vAlign w:val="center"/>
          </w:tcPr>
          <w:p w14:paraId="3B062C67"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76E2482D"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61F7E19A"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7D96C980" w14:textId="77777777" w:rsidR="000F5D9D" w:rsidRPr="005A79C9" w:rsidRDefault="000F5D9D" w:rsidP="000B3CF0">
            <w:pPr>
              <w:pStyle w:val="NoSpacing"/>
              <w:rPr>
                <w:b/>
              </w:rPr>
            </w:pPr>
          </w:p>
        </w:tc>
      </w:tr>
      <w:tr w:rsidR="000F5D9D" w:rsidRPr="005A79C9" w14:paraId="60E47320" w14:textId="77777777" w:rsidTr="00E22C20">
        <w:trPr>
          <w:trHeight w:val="971"/>
          <w:jc w:val="center"/>
        </w:trPr>
        <w:tc>
          <w:tcPr>
            <w:tcW w:w="4275" w:type="dxa"/>
            <w:tcBorders>
              <w:top w:val="single" w:sz="4" w:space="0" w:color="auto"/>
              <w:left w:val="single" w:sz="4" w:space="0" w:color="auto"/>
              <w:bottom w:val="single" w:sz="4" w:space="0" w:color="auto"/>
              <w:right w:val="single" w:sz="4" w:space="0" w:color="auto"/>
            </w:tcBorders>
            <w:vAlign w:val="center"/>
          </w:tcPr>
          <w:p w14:paraId="22F3A0DD" w14:textId="408FCC9D" w:rsidR="000F5D9D" w:rsidRPr="005A79C9" w:rsidRDefault="000F5D9D" w:rsidP="000B3CF0">
            <w:pPr>
              <w:pStyle w:val="NoSpacing"/>
            </w:pPr>
            <w:r w:rsidRPr="005A79C9">
              <w:t xml:space="preserve"> </w:t>
            </w:r>
            <w:r w:rsidR="000B3CF0" w:rsidRPr="000B3CF0">
              <w:rPr>
                <w:highlight w:val="yellow"/>
              </w:rPr>
              <w:t>Medical problem??</w:t>
            </w:r>
          </w:p>
        </w:tc>
        <w:tc>
          <w:tcPr>
            <w:tcW w:w="1168" w:type="dxa"/>
            <w:tcBorders>
              <w:top w:val="single" w:sz="4" w:space="0" w:color="auto"/>
              <w:left w:val="single" w:sz="4" w:space="0" w:color="auto"/>
              <w:bottom w:val="single" w:sz="4" w:space="0" w:color="auto"/>
              <w:right w:val="single" w:sz="4" w:space="0" w:color="auto"/>
            </w:tcBorders>
            <w:vAlign w:val="center"/>
          </w:tcPr>
          <w:p w14:paraId="776F0CA8"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7A458915"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58A8D4CD"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5FF8A525" w14:textId="77777777" w:rsidR="000F5D9D" w:rsidRPr="005A79C9" w:rsidRDefault="000F5D9D" w:rsidP="000B3CF0">
            <w:pPr>
              <w:pStyle w:val="NoSpacing"/>
              <w:rPr>
                <w:b/>
              </w:rPr>
            </w:pPr>
          </w:p>
        </w:tc>
      </w:tr>
      <w:tr w:rsidR="000F5D9D" w:rsidRPr="005A79C9" w14:paraId="6D704B9F" w14:textId="77777777" w:rsidTr="00E22C20">
        <w:trPr>
          <w:trHeight w:val="971"/>
          <w:jc w:val="center"/>
        </w:trPr>
        <w:tc>
          <w:tcPr>
            <w:tcW w:w="4275" w:type="dxa"/>
            <w:tcBorders>
              <w:top w:val="single" w:sz="4" w:space="0" w:color="auto"/>
              <w:left w:val="single" w:sz="4" w:space="0" w:color="auto"/>
              <w:bottom w:val="single" w:sz="4" w:space="0" w:color="auto"/>
              <w:right w:val="single" w:sz="4" w:space="0" w:color="auto"/>
            </w:tcBorders>
          </w:tcPr>
          <w:p w14:paraId="3721880A" w14:textId="77777777" w:rsidR="000F5D9D" w:rsidRPr="005A79C9" w:rsidRDefault="000F5D9D" w:rsidP="000B3CF0">
            <w:pPr>
              <w:pStyle w:val="NoSpacing"/>
            </w:pPr>
            <w:r w:rsidRPr="005A79C9">
              <w:t xml:space="preserve">Number of children in the house </w:t>
            </w:r>
          </w:p>
          <w:p w14:paraId="1C6CB350" w14:textId="77777777" w:rsidR="000F5D9D" w:rsidRPr="005A79C9" w:rsidRDefault="000F5D9D" w:rsidP="000B3CF0">
            <w:pPr>
              <w:pStyle w:val="NoSpacing"/>
            </w:pPr>
            <w:r w:rsidRPr="005A79C9">
              <w:t xml:space="preserve">    One</w:t>
            </w:r>
          </w:p>
          <w:p w14:paraId="1127C913" w14:textId="77777777" w:rsidR="000F5D9D" w:rsidRPr="005A79C9" w:rsidRDefault="000F5D9D" w:rsidP="000B3CF0">
            <w:pPr>
              <w:pStyle w:val="NoSpacing"/>
            </w:pPr>
            <w:r w:rsidRPr="005A79C9">
              <w:t xml:space="preserve">    Two</w:t>
            </w:r>
          </w:p>
          <w:p w14:paraId="3E599C8B" w14:textId="77777777" w:rsidR="000F5D9D" w:rsidRPr="005A79C9" w:rsidRDefault="000F5D9D" w:rsidP="000B3CF0">
            <w:pPr>
              <w:pStyle w:val="NoSpacing"/>
            </w:pPr>
            <w:r w:rsidRPr="005A79C9">
              <w:t xml:space="preserve">    Three</w:t>
            </w:r>
          </w:p>
          <w:p w14:paraId="0ED754A5" w14:textId="77777777" w:rsidR="000F5D9D" w:rsidRPr="005A79C9" w:rsidRDefault="000F5D9D" w:rsidP="000B3CF0">
            <w:pPr>
              <w:pStyle w:val="NoSpacing"/>
            </w:pPr>
            <w:r w:rsidRPr="005A79C9">
              <w:t xml:space="preserve">    Four or more</w:t>
            </w:r>
          </w:p>
        </w:tc>
        <w:tc>
          <w:tcPr>
            <w:tcW w:w="1168" w:type="dxa"/>
            <w:tcBorders>
              <w:top w:val="single" w:sz="4" w:space="0" w:color="auto"/>
              <w:left w:val="single" w:sz="4" w:space="0" w:color="auto"/>
              <w:bottom w:val="single" w:sz="4" w:space="0" w:color="auto"/>
              <w:right w:val="single" w:sz="4" w:space="0" w:color="auto"/>
            </w:tcBorders>
            <w:vAlign w:val="center"/>
          </w:tcPr>
          <w:p w14:paraId="75D6F0BD"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51DE88B5"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612F5FF1"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718098BC" w14:textId="77777777" w:rsidR="000F5D9D" w:rsidRPr="005A79C9" w:rsidRDefault="000F5D9D" w:rsidP="000B3CF0">
            <w:pPr>
              <w:pStyle w:val="NoSpacing"/>
              <w:rPr>
                <w:b/>
              </w:rPr>
            </w:pPr>
          </w:p>
        </w:tc>
      </w:tr>
      <w:tr w:rsidR="000F5D9D" w:rsidRPr="005A79C9" w14:paraId="5EB4F890" w14:textId="77777777" w:rsidTr="00E22C20">
        <w:trPr>
          <w:trHeight w:val="971"/>
          <w:jc w:val="center"/>
        </w:trPr>
        <w:tc>
          <w:tcPr>
            <w:tcW w:w="4275" w:type="dxa"/>
            <w:tcBorders>
              <w:top w:val="single" w:sz="4" w:space="0" w:color="auto"/>
              <w:left w:val="single" w:sz="4" w:space="0" w:color="auto"/>
              <w:bottom w:val="single" w:sz="4" w:space="0" w:color="auto"/>
              <w:right w:val="single" w:sz="4" w:space="0" w:color="auto"/>
            </w:tcBorders>
          </w:tcPr>
          <w:p w14:paraId="0811FF30" w14:textId="77777777" w:rsidR="000F5D9D" w:rsidRPr="005A79C9" w:rsidRDefault="000F5D9D" w:rsidP="000B3CF0">
            <w:pPr>
              <w:pStyle w:val="NoSpacing"/>
            </w:pPr>
            <w:r w:rsidRPr="005A79C9">
              <w:rPr>
                <w:highlight w:val="yellow"/>
              </w:rPr>
              <w:t>Which vaccine concern you the most? And why</w:t>
            </w:r>
          </w:p>
          <w:p w14:paraId="3577819F" w14:textId="77777777" w:rsidR="000F5D9D" w:rsidRPr="005A79C9" w:rsidRDefault="000F5D9D" w:rsidP="000B3CF0">
            <w:pPr>
              <w:pStyle w:val="NoSpacing"/>
            </w:pPr>
            <w:r w:rsidRPr="005A79C9">
              <w:t xml:space="preserve">   BCG</w:t>
            </w:r>
          </w:p>
          <w:p w14:paraId="44B4788B" w14:textId="77777777" w:rsidR="000F5D9D" w:rsidRPr="005A79C9" w:rsidRDefault="000F5D9D" w:rsidP="000B3CF0">
            <w:pPr>
              <w:pStyle w:val="NoSpacing"/>
            </w:pPr>
            <w:r w:rsidRPr="005A79C9">
              <w:t xml:space="preserve">   Hepatitis B</w:t>
            </w:r>
          </w:p>
          <w:p w14:paraId="5A8146C9" w14:textId="77777777" w:rsidR="000F5D9D" w:rsidRPr="005A79C9" w:rsidRDefault="000F5D9D" w:rsidP="000B3CF0">
            <w:pPr>
              <w:pStyle w:val="NoSpacing"/>
            </w:pPr>
            <w:r w:rsidRPr="005A79C9">
              <w:t xml:space="preserve">   DTaP</w:t>
            </w:r>
          </w:p>
          <w:p w14:paraId="2C856224" w14:textId="77777777" w:rsidR="000F5D9D" w:rsidRPr="005A79C9" w:rsidRDefault="000F5D9D" w:rsidP="000B3CF0">
            <w:pPr>
              <w:pStyle w:val="NoSpacing"/>
            </w:pPr>
            <w:r w:rsidRPr="005A79C9">
              <w:t xml:space="preserve">   Hib</w:t>
            </w:r>
          </w:p>
          <w:p w14:paraId="1412BFBF" w14:textId="77777777" w:rsidR="000F5D9D" w:rsidRPr="005A79C9" w:rsidRDefault="000F5D9D" w:rsidP="000B3CF0">
            <w:pPr>
              <w:pStyle w:val="NoSpacing"/>
            </w:pPr>
            <w:r w:rsidRPr="005A79C9">
              <w:t xml:space="preserve">   IPV</w:t>
            </w:r>
          </w:p>
          <w:p w14:paraId="2E52AC7F" w14:textId="77777777" w:rsidR="000F5D9D" w:rsidRPr="005A79C9" w:rsidRDefault="000F5D9D" w:rsidP="000B3CF0">
            <w:pPr>
              <w:pStyle w:val="NoSpacing"/>
            </w:pPr>
            <w:r w:rsidRPr="005A79C9">
              <w:t xml:space="preserve">   MMR</w:t>
            </w:r>
          </w:p>
          <w:p w14:paraId="34B06120" w14:textId="2482824F" w:rsidR="000F5D9D" w:rsidRPr="005A79C9" w:rsidRDefault="000F5D9D" w:rsidP="000B3CF0">
            <w:pPr>
              <w:pStyle w:val="NoSpacing"/>
            </w:pPr>
            <w:r w:rsidRPr="005A79C9">
              <w:t xml:space="preserve">   </w:t>
            </w:r>
            <w:proofErr w:type="gramStart"/>
            <w:r w:rsidRPr="005A79C9">
              <w:t>Why ?</w:t>
            </w:r>
            <w:proofErr w:type="gramEnd"/>
          </w:p>
          <w:p w14:paraId="6D8ACC0F" w14:textId="77777777" w:rsidR="000F5D9D" w:rsidRPr="005A79C9" w:rsidRDefault="000F5D9D" w:rsidP="000B3CF0">
            <w:pPr>
              <w:pStyle w:val="NoSpacing"/>
            </w:pPr>
          </w:p>
        </w:tc>
        <w:tc>
          <w:tcPr>
            <w:tcW w:w="1168" w:type="dxa"/>
            <w:tcBorders>
              <w:top w:val="single" w:sz="4" w:space="0" w:color="auto"/>
              <w:left w:val="single" w:sz="4" w:space="0" w:color="auto"/>
              <w:bottom w:val="single" w:sz="4" w:space="0" w:color="auto"/>
              <w:right w:val="single" w:sz="4" w:space="0" w:color="auto"/>
            </w:tcBorders>
            <w:vAlign w:val="center"/>
          </w:tcPr>
          <w:p w14:paraId="00C34793" w14:textId="77777777" w:rsidR="000F5D9D" w:rsidRPr="005A79C9" w:rsidRDefault="000F5D9D" w:rsidP="000B3CF0">
            <w:pPr>
              <w:pStyle w:val="NoSpacing"/>
              <w:rPr>
                <w:b/>
              </w:rPr>
            </w:pPr>
          </w:p>
        </w:tc>
        <w:tc>
          <w:tcPr>
            <w:tcW w:w="1077" w:type="dxa"/>
            <w:tcBorders>
              <w:top w:val="single" w:sz="4" w:space="0" w:color="auto"/>
              <w:left w:val="single" w:sz="4" w:space="0" w:color="auto"/>
              <w:bottom w:val="single" w:sz="4" w:space="0" w:color="auto"/>
              <w:right w:val="single" w:sz="4" w:space="0" w:color="auto"/>
            </w:tcBorders>
            <w:vAlign w:val="center"/>
          </w:tcPr>
          <w:p w14:paraId="5E9D8A13" w14:textId="77777777" w:rsidR="000F5D9D" w:rsidRPr="005A79C9" w:rsidRDefault="000F5D9D" w:rsidP="000B3CF0">
            <w:pPr>
              <w:pStyle w:val="NoSpacing"/>
              <w:rPr>
                <w:b/>
              </w:rPr>
            </w:pPr>
          </w:p>
        </w:tc>
        <w:tc>
          <w:tcPr>
            <w:tcW w:w="1249" w:type="dxa"/>
            <w:tcBorders>
              <w:top w:val="single" w:sz="4" w:space="0" w:color="auto"/>
              <w:left w:val="single" w:sz="4" w:space="0" w:color="auto"/>
              <w:bottom w:val="single" w:sz="4" w:space="0" w:color="auto"/>
              <w:right w:val="single" w:sz="4" w:space="0" w:color="auto"/>
            </w:tcBorders>
          </w:tcPr>
          <w:p w14:paraId="5CC6D32B" w14:textId="77777777" w:rsidR="000F5D9D" w:rsidRPr="005A79C9" w:rsidRDefault="000F5D9D" w:rsidP="000B3CF0">
            <w:pPr>
              <w:pStyle w:val="NoSpacing"/>
              <w:rPr>
                <w:b/>
              </w:rPr>
            </w:pPr>
          </w:p>
        </w:tc>
        <w:tc>
          <w:tcPr>
            <w:tcW w:w="1247" w:type="dxa"/>
            <w:tcBorders>
              <w:top w:val="single" w:sz="4" w:space="0" w:color="auto"/>
              <w:left w:val="single" w:sz="4" w:space="0" w:color="auto"/>
              <w:bottom w:val="single" w:sz="4" w:space="0" w:color="auto"/>
              <w:right w:val="single" w:sz="4" w:space="0" w:color="auto"/>
            </w:tcBorders>
          </w:tcPr>
          <w:p w14:paraId="529FFCE0" w14:textId="77777777" w:rsidR="000F5D9D" w:rsidRPr="005A79C9" w:rsidRDefault="000F5D9D" w:rsidP="000B3CF0">
            <w:pPr>
              <w:pStyle w:val="NoSpacing"/>
              <w:rPr>
                <w:b/>
              </w:rPr>
            </w:pPr>
          </w:p>
        </w:tc>
      </w:tr>
    </w:tbl>
    <w:p w14:paraId="5FB08853" w14:textId="77777777" w:rsidR="000F5D9D" w:rsidRPr="005A79C9" w:rsidRDefault="000F5D9D" w:rsidP="000B3CF0">
      <w:pPr>
        <w:pStyle w:val="NoSpacing"/>
      </w:pPr>
      <w:r w:rsidRPr="005A79C9">
        <w:t>*Statistically significant relation (P value &lt; 0.05)</w:t>
      </w:r>
    </w:p>
    <w:p w14:paraId="126AB418" w14:textId="77777777" w:rsidR="000F5D9D" w:rsidRPr="005A79C9" w:rsidRDefault="000F5D9D" w:rsidP="000B3CF0">
      <w:pPr>
        <w:pStyle w:val="NoSpacing"/>
      </w:pPr>
    </w:p>
    <w:p w14:paraId="228BAB54" w14:textId="77777777" w:rsidR="000F5D9D" w:rsidRPr="005A79C9" w:rsidRDefault="000F5D9D" w:rsidP="000B3CF0">
      <w:pPr>
        <w:pStyle w:val="NoSpacing"/>
      </w:pPr>
    </w:p>
    <w:p w14:paraId="6338683E" w14:textId="77777777" w:rsidR="000F5D9D" w:rsidRPr="005A79C9" w:rsidRDefault="000F5D9D" w:rsidP="000B3CF0">
      <w:pPr>
        <w:pStyle w:val="NoSpacing"/>
      </w:pPr>
    </w:p>
    <w:p w14:paraId="0603EB3E" w14:textId="77777777" w:rsidR="000F5D9D" w:rsidRPr="005A79C9" w:rsidRDefault="000F5D9D" w:rsidP="000B3CF0">
      <w:pPr>
        <w:pStyle w:val="NoSpacing"/>
      </w:pPr>
    </w:p>
    <w:p w14:paraId="5F645F65" w14:textId="77777777" w:rsidR="000F5D9D" w:rsidRPr="005A79C9" w:rsidRDefault="000F5D9D" w:rsidP="000B3CF0">
      <w:pPr>
        <w:pStyle w:val="NoSpacing"/>
      </w:pPr>
    </w:p>
    <w:p w14:paraId="28AC9689" w14:textId="77777777" w:rsidR="000F5D9D" w:rsidRPr="005A79C9" w:rsidRDefault="000F5D9D" w:rsidP="000B3CF0">
      <w:pPr>
        <w:pStyle w:val="NoSpacing"/>
      </w:pPr>
      <w:r w:rsidRPr="005A79C9">
        <w:br w:type="page"/>
      </w:r>
    </w:p>
    <w:p w14:paraId="0017CE61" w14:textId="6CA369BE" w:rsidR="000F5D9D" w:rsidRPr="007D5C0F" w:rsidRDefault="000F5D9D" w:rsidP="00E22C20">
      <w:pPr>
        <w:pStyle w:val="Heading2"/>
        <w:spacing w:line="360" w:lineRule="auto"/>
        <w:ind w:left="851"/>
        <w:jc w:val="both"/>
        <w:rPr>
          <w:rFonts w:ascii="Times New Roman" w:hAnsi="Times New Roman" w:cs="Times New Roman"/>
          <w:b/>
          <w:bCs/>
          <w:color w:val="auto"/>
          <w:sz w:val="24"/>
          <w:szCs w:val="24"/>
        </w:rPr>
      </w:pPr>
      <w:bookmarkStart w:id="34" w:name="_Toc31400972"/>
      <w:r w:rsidRPr="007D5C0F">
        <w:rPr>
          <w:rFonts w:ascii="Times New Roman" w:hAnsi="Times New Roman" w:cs="Times New Roman"/>
          <w:b/>
          <w:bCs/>
          <w:color w:val="auto"/>
          <w:sz w:val="24"/>
          <w:szCs w:val="24"/>
        </w:rPr>
        <w:lastRenderedPageBreak/>
        <w:t>3.</w:t>
      </w:r>
      <w:r w:rsidR="007D5C0F" w:rsidRPr="007D5C0F">
        <w:rPr>
          <w:rFonts w:ascii="Times New Roman" w:hAnsi="Times New Roman" w:cs="Times New Roman"/>
          <w:b/>
          <w:bCs/>
          <w:color w:val="auto"/>
          <w:sz w:val="24"/>
          <w:szCs w:val="24"/>
        </w:rPr>
        <w:t>9</w:t>
      </w:r>
      <w:r w:rsidRPr="007D5C0F">
        <w:rPr>
          <w:rFonts w:ascii="Times New Roman" w:hAnsi="Times New Roman" w:cs="Times New Roman"/>
          <w:b/>
          <w:bCs/>
          <w:color w:val="auto"/>
          <w:sz w:val="24"/>
          <w:szCs w:val="24"/>
        </w:rPr>
        <w:tab/>
        <w:t>Flow Chart of the Conduct of the Study</w:t>
      </w:r>
      <w:bookmarkEnd w:id="34"/>
      <w:r w:rsidRPr="007D5C0F">
        <w:rPr>
          <w:rFonts w:ascii="Times New Roman" w:hAnsi="Times New Roman" w:cs="Times New Roman"/>
          <w:b/>
          <w:bCs/>
          <w:color w:val="auto"/>
          <w:sz w:val="24"/>
          <w:szCs w:val="24"/>
        </w:rPr>
        <w:t xml:space="preserve"> </w:t>
      </w:r>
    </w:p>
    <w:p w14:paraId="2C551317" w14:textId="77777777" w:rsidR="000F5D9D" w:rsidRPr="005A79C9" w:rsidRDefault="000F5D9D" w:rsidP="00E22C20">
      <w:pPr>
        <w:spacing w:line="360" w:lineRule="auto"/>
        <w:ind w:left="851"/>
        <w:jc w:val="both"/>
        <w:rPr>
          <w:szCs w:val="24"/>
        </w:rPr>
      </w:pPr>
      <w:r w:rsidRPr="005A79C9">
        <w:rPr>
          <w:noProof/>
          <w:szCs w:val="24"/>
        </w:rPr>
        <mc:AlternateContent>
          <mc:Choice Requires="wpg">
            <w:drawing>
              <wp:anchor distT="0" distB="0" distL="114300" distR="114300" simplePos="0" relativeHeight="251661312" behindDoc="0" locked="0" layoutInCell="1" allowOverlap="1" wp14:anchorId="10A76D40" wp14:editId="0216E30F">
                <wp:simplePos x="0" y="0"/>
                <wp:positionH relativeFrom="column">
                  <wp:posOffset>1006475</wp:posOffset>
                </wp:positionH>
                <wp:positionV relativeFrom="paragraph">
                  <wp:posOffset>123190</wp:posOffset>
                </wp:positionV>
                <wp:extent cx="3964305" cy="8166100"/>
                <wp:effectExtent l="0" t="0" r="17145" b="25400"/>
                <wp:wrapNone/>
                <wp:docPr id="66" name="Group 53"/>
                <wp:cNvGraphicFramePr/>
                <a:graphic xmlns:a="http://schemas.openxmlformats.org/drawingml/2006/main">
                  <a:graphicData uri="http://schemas.microsoft.com/office/word/2010/wordprocessingGroup">
                    <wpg:wgp>
                      <wpg:cNvGrpSpPr/>
                      <wpg:grpSpPr>
                        <a:xfrm>
                          <a:off x="0" y="0"/>
                          <a:ext cx="3964305" cy="8166100"/>
                          <a:chOff x="0" y="0"/>
                          <a:chExt cx="3964538" cy="7794370"/>
                        </a:xfrm>
                      </wpg:grpSpPr>
                      <wps:wsp>
                        <wps:cNvPr id="67" name="Rectangle: Rounded Corners 67"/>
                        <wps:cNvSpPr/>
                        <wps:spPr>
                          <a:xfrm>
                            <a:off x="3" y="0"/>
                            <a:ext cx="3964535" cy="78901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BACC3"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 xml:space="preserve">Obtained consent for permission from </w:t>
                              </w:r>
                            </w:p>
                            <w:p w14:paraId="5F4F6F95"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1) NASOM</w:t>
                              </w:r>
                            </w:p>
                            <w:p w14:paraId="0578908F"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2) JKM for CBR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Rounded Corners 68"/>
                        <wps:cNvSpPr/>
                        <wps:spPr>
                          <a:xfrm>
                            <a:off x="3" y="1078695"/>
                            <a:ext cx="3964535" cy="4201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6F0DA"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 xml:space="preserve">Parents attending above mentioned </w:t>
                              </w:r>
                              <w:proofErr w:type="spellStart"/>
                              <w:r w:rsidRPr="00D22DAD">
                                <w:rPr>
                                  <w:color w:val="000000" w:themeColor="text1"/>
                                  <w:kern w:val="24"/>
                                  <w:sz w:val="20"/>
                                  <w:szCs w:val="20"/>
                                </w:rPr>
                                <w:t>center</w:t>
                              </w:r>
                              <w:proofErr w:type="spellEnd"/>
                              <w:r w:rsidRPr="00D22DAD">
                                <w:rPr>
                                  <w:color w:val="000000" w:themeColor="text1"/>
                                  <w:kern w:val="24"/>
                                  <w:sz w:val="20"/>
                                  <w:szCs w:val="20"/>
                                </w:rPr>
                                <w:t xml:space="preserve"> will be approached.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2" y="1784876"/>
                            <a:ext cx="3964535" cy="71619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B3DCA"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Patients who are interested to participate will be given the study information sheet.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2" y="2788691"/>
                            <a:ext cx="3964535" cy="7098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190CB"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Written informed consent will be obtained from those who agree to participate.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Rounded Corners 71"/>
                        <wps:cNvSpPr/>
                        <wps:spPr>
                          <a:xfrm>
                            <a:off x="2" y="3784556"/>
                            <a:ext cx="3964535" cy="7098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E193F"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Screening for eligibility will be done according to the inclusion and exclusion criteria.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3" y="4779186"/>
                            <a:ext cx="3964535" cy="74076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396D4"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Sociodemographic data will be obtained through face to face interview.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0" y="5804730"/>
                            <a:ext cx="3964535" cy="63630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B4DE5"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The PACV Malay version questionnaire will be given to the participants for self-administration.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3" y="6751076"/>
                            <a:ext cx="3964535" cy="39237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C4D66"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 xml:space="preserve">Data will be </w:t>
                              </w:r>
                              <w:proofErr w:type="spellStart"/>
                              <w:r w:rsidRPr="00D22DAD">
                                <w:rPr>
                                  <w:color w:val="000000" w:themeColor="text1"/>
                                  <w:kern w:val="24"/>
                                  <w:sz w:val="20"/>
                                  <w:szCs w:val="20"/>
                                </w:rPr>
                                <w:t>analyze</w:t>
                              </w:r>
                              <w:proofErr w:type="spellEnd"/>
                              <w:r w:rsidRPr="00D22DAD">
                                <w:rPr>
                                  <w:color w:val="000000" w:themeColor="text1"/>
                                  <w:kern w:val="24"/>
                                  <w:sz w:val="20"/>
                                  <w:szCs w:val="20"/>
                                </w:rPr>
                                <w:t xml:space="preserve"> using IBM SPSS programme.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0" y="7401996"/>
                            <a:ext cx="3964535" cy="39237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5BF1D"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Data interpretations and report writing.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cxnSpLocks/>
                        </wps:cNvCnPr>
                        <wps:spPr>
                          <a:xfrm>
                            <a:off x="1982271" y="789011"/>
                            <a:ext cx="0" cy="28968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a:cxnSpLocks/>
                        </wps:cNvCnPr>
                        <wps:spPr>
                          <a:xfrm flipH="1">
                            <a:off x="1982270" y="1498860"/>
                            <a:ext cx="1" cy="28601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a:cxnSpLocks/>
                        </wps:cNvCnPr>
                        <wps:spPr>
                          <a:xfrm>
                            <a:off x="1982270" y="2501072"/>
                            <a:ext cx="0" cy="2876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cxnSpLocks/>
                        </wps:cNvCnPr>
                        <wps:spPr>
                          <a:xfrm>
                            <a:off x="1982270" y="3498540"/>
                            <a:ext cx="0" cy="28601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a:cxnSpLocks/>
                        </wps:cNvCnPr>
                        <wps:spPr>
                          <a:xfrm>
                            <a:off x="1982270" y="4494405"/>
                            <a:ext cx="1" cy="28478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a:cxnSpLocks/>
                        </wps:cNvCnPr>
                        <wps:spPr>
                          <a:xfrm flipH="1">
                            <a:off x="1982268" y="5519949"/>
                            <a:ext cx="3" cy="28478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a:cxnSpLocks/>
                        </wps:cNvCnPr>
                        <wps:spPr>
                          <a:xfrm flipH="1">
                            <a:off x="1982268" y="7143450"/>
                            <a:ext cx="3" cy="25854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a:cxnSpLocks/>
                        </wps:cNvCnPr>
                        <wps:spPr>
                          <a:xfrm>
                            <a:off x="1982268" y="6441034"/>
                            <a:ext cx="3" cy="31004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0A76D40" id="Group 53" o:spid="_x0000_s1026" style="position:absolute;left:0;text-align:left;margin-left:79.25pt;margin-top:9.7pt;width:312.15pt;height:643pt;z-index:251661312;mso-height-relative:margin" coordsize="39645,77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">
                <v:roundrect id="Rectangle: Rounded Corners 67" o:spid="_x0000_s1027" style="position:absolute;width:39645;height:7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" filled="f" strokecolor="black [3213]" strokeweight="1pt">
                  <v:stroke joinstyle="miter"/>
                  <v:textbox>
                    <w:txbxContent>
                      <w:p w14:paraId="0FEBACC3"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 xml:space="preserve">Obtained consent for permission from </w:t>
                        </w:r>
                      </w:p>
                      <w:p w14:paraId="5F4F6F95"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1) NASOM</w:t>
                        </w:r>
                      </w:p>
                      <w:p w14:paraId="0578908F"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2) JKM for CBR</w:t>
                        </w:r>
                      </w:p>
                    </w:txbxContent>
                  </v:textbox>
                </v:roundrect>
                <v:roundrect id="Rectangle: Rounded Corners 68" o:spid="_x0000_s1028" style="position:absolute;top:10786;width:39645;height:4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" filled="f" strokecolor="black [3213]" strokeweight="1pt">
                  <v:stroke joinstyle="miter"/>
                  <v:textbox>
                    <w:txbxContent>
                      <w:p w14:paraId="42E6F0DA"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 xml:space="preserve">Parents attending above mentioned </w:t>
                        </w:r>
                        <w:proofErr w:type="spellStart"/>
                        <w:r w:rsidRPr="00D22DAD">
                          <w:rPr>
                            <w:color w:val="000000" w:themeColor="text1"/>
                            <w:kern w:val="24"/>
                            <w:sz w:val="20"/>
                            <w:szCs w:val="20"/>
                          </w:rPr>
                          <w:t>center</w:t>
                        </w:r>
                        <w:proofErr w:type="spellEnd"/>
                        <w:r w:rsidRPr="00D22DAD">
                          <w:rPr>
                            <w:color w:val="000000" w:themeColor="text1"/>
                            <w:kern w:val="24"/>
                            <w:sz w:val="20"/>
                            <w:szCs w:val="20"/>
                          </w:rPr>
                          <w:t xml:space="preserve"> will be approached.</w:t>
                        </w:r>
                      </w:p>
                    </w:txbxContent>
                  </v:textbox>
                </v:roundrect>
                <v:roundrect id="Rectangle: Rounded Corners 69" o:spid="_x0000_s1029" style="position:absolute;top:17848;width:39645;height:7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" filled="f" strokecolor="black [3213]" strokeweight="1pt">
                  <v:stroke joinstyle="miter"/>
                  <v:textbox>
                    <w:txbxContent>
                      <w:p w14:paraId="514B3DCA"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Patients who are interested to participate will be given the study information sheet.</w:t>
                        </w:r>
                      </w:p>
                    </w:txbxContent>
                  </v:textbox>
                </v:roundrect>
                <v:roundrect id="Rectangle: Rounded Corners 70" o:spid="_x0000_s1030" style="position:absolute;top:27886;width:39645;height:7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" filled="f" strokecolor="black [3213]" strokeweight="1pt">
                  <v:stroke joinstyle="miter"/>
                  <v:textbox>
                    <w:txbxContent>
                      <w:p w14:paraId="426190CB"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Written informed consent will be obtained from those who agree to participate.</w:t>
                        </w:r>
                      </w:p>
                    </w:txbxContent>
                  </v:textbox>
                </v:roundrect>
                <v:roundrect id="Rectangle: Rounded Corners 71" o:spid="_x0000_s1031" style="position:absolute;top:37845;width:39645;height:7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" filled="f" strokecolor="black [3213]" strokeweight="1pt">
                  <v:stroke joinstyle="miter"/>
                  <v:textbox>
                    <w:txbxContent>
                      <w:p w14:paraId="7DBE193F"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Screening for eligibility will be done according to the inclusion and exclusion criteria.</w:t>
                        </w:r>
                      </w:p>
                    </w:txbxContent>
                  </v:textbox>
                </v:roundrect>
                <v:roundrect id="Rectangle: Rounded Corners 72" o:spid="_x0000_s1032" style="position:absolute;top:47791;width:39645;height:7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" filled="f" strokecolor="black [3213]" strokeweight="1pt">
                  <v:stroke joinstyle="miter"/>
                  <v:textbox>
                    <w:txbxContent>
                      <w:p w14:paraId="7D8396D4"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Sociodemographic data will be obtained through face to face interview.</w:t>
                        </w:r>
                      </w:p>
                    </w:txbxContent>
                  </v:textbox>
                </v:roundrect>
                <v:roundrect id="Rectangle: Rounded Corners 73" o:spid="_x0000_s1033" style="position:absolute;top:58047;width:39645;height:6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" filled="f" strokecolor="black [3213]" strokeweight="1pt">
                  <v:stroke joinstyle="miter"/>
                  <v:textbox>
                    <w:txbxContent>
                      <w:p w14:paraId="39CB4DE5"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The PACV Malay version questionnaire will be given to the participants for self-administration.</w:t>
                        </w:r>
                      </w:p>
                    </w:txbxContent>
                  </v:textbox>
                </v:roundrect>
                <v:roundrect id="Rectangle: Rounded Corners 74" o:spid="_x0000_s1034" style="position:absolute;top:67510;width:39645;height:3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" filled="f" strokecolor="black [3213]" strokeweight="1pt">
                  <v:stroke joinstyle="miter"/>
                  <v:textbox>
                    <w:txbxContent>
                      <w:p w14:paraId="653C4D66"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 xml:space="preserve">Data will be </w:t>
                        </w:r>
                        <w:proofErr w:type="spellStart"/>
                        <w:r w:rsidRPr="00D22DAD">
                          <w:rPr>
                            <w:color w:val="000000" w:themeColor="text1"/>
                            <w:kern w:val="24"/>
                            <w:sz w:val="20"/>
                            <w:szCs w:val="20"/>
                          </w:rPr>
                          <w:t>analyze</w:t>
                        </w:r>
                        <w:proofErr w:type="spellEnd"/>
                        <w:r w:rsidRPr="00D22DAD">
                          <w:rPr>
                            <w:color w:val="000000" w:themeColor="text1"/>
                            <w:kern w:val="24"/>
                            <w:sz w:val="20"/>
                            <w:szCs w:val="20"/>
                          </w:rPr>
                          <w:t xml:space="preserve"> using IBM SPSS programme.</w:t>
                        </w:r>
                      </w:p>
                    </w:txbxContent>
                  </v:textbox>
                </v:roundrect>
                <v:roundrect id="Rectangle: Rounded Corners 75" o:spid="_x0000_s1035" style="position:absolute;top:74019;width:39645;height:3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" filled="f" strokecolor="black [3213]" strokeweight="1pt">
                  <v:stroke joinstyle="miter"/>
                  <v:textbox>
                    <w:txbxContent>
                      <w:p w14:paraId="1745BF1D" w14:textId="77777777" w:rsidR="001756D0" w:rsidRPr="00D22DAD" w:rsidRDefault="001756D0" w:rsidP="000F5D9D">
                        <w:pPr>
                          <w:spacing w:line="240" w:lineRule="auto"/>
                          <w:jc w:val="center"/>
                          <w:rPr>
                            <w:sz w:val="20"/>
                            <w:szCs w:val="20"/>
                          </w:rPr>
                        </w:pPr>
                        <w:r w:rsidRPr="00D22DAD">
                          <w:rPr>
                            <w:color w:val="000000" w:themeColor="text1"/>
                            <w:kern w:val="24"/>
                            <w:sz w:val="20"/>
                            <w:szCs w:val="20"/>
                          </w:rPr>
                          <w:t>Data interpretations and report writing.</w:t>
                        </w:r>
                      </w:p>
                    </w:txbxContent>
                  </v:textbox>
                </v:roundrect>
                <v:shapetype id="_x0000_t32" coordsize="21600,21600" o:spt="32" o:oned="t" path="m,l21600,21600e" filled="f">
                  <v:path arrowok="t" fillok="f" o:connecttype="none"/>
                  <o:lock v:ext="edit" shapetype="t"/>
                </v:shapetype>
                <v:shape id="Straight Arrow Connector 76" o:spid="_x0000_s1036" type="#_x0000_t32" style="position:absolute;left:19822;top:7890;width:0;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o:lock v:ext="edit" shapetype="f"/>
                </v:shape>
                <v:shape id="Straight Arrow Connector 77" o:spid="_x0000_s1037" type="#_x0000_t32" style="position:absolute;left:19822;top:14988;width:0;height:28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" strokecolor="black [3200]" strokeweight="1.5pt">
                  <v:stroke endarrow="block" joinstyle="miter"/>
                  <o:lock v:ext="edit" shapetype="f"/>
                </v:shape>
                <v:shape id="Straight Arrow Connector 78" o:spid="_x0000_s1038" type="#_x0000_t32" style="position:absolute;left:19822;top:25010;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" strokecolor="black [3200]" strokeweight="1.5pt">
                  <v:stroke endarrow="block" joinstyle="miter"/>
                  <o:lock v:ext="edit" shapetype="f"/>
                </v:shape>
                <v:shape id="Straight Arrow Connector 79" o:spid="_x0000_s1039" type="#_x0000_t32" style="position:absolute;left:19822;top:34985;width:0;height:2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V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RK/x9CT9ApjcAAAD//wMAUEsBAi0AFAAGAAgAAAAhANvh9svuAAAAhQEAABMAAAAAAAAA&#10;AAAAAAAAAAAAAFtDb250ZW50X1R5cGVzXS54bWxQSwECLQAUAAYACAAAACEAWvQsW78AAAAVAQAA&#10;CwAAAAAAAAAAAAAAAAAfAQAAX3JlbHMvLnJlbHNQSwECLQAUAAYACAAAACEAgKDL1cYAAADbAAAA&#10;DwAAAAAAAAAAAAAAAAAHAgAAZHJzL2Rvd25yZXYueG1sUEsFBgAAAAADAAMAtwAAAPoCAAAAAA==&#10;" strokecolor="black [3200]" strokeweight="1.5pt">
                  <v:stroke endarrow="block" joinstyle="miter"/>
                  <o:lock v:ext="edit" shapetype="f"/>
                </v:shape>
                <v:shape id="Straight Arrow Connector 80" o:spid="_x0000_s1040" type="#_x0000_t32" style="position:absolute;left:19822;top:44944;width:0;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" strokecolor="black [3200]" strokeweight="1.5pt">
                  <v:stroke endarrow="block" joinstyle="miter"/>
                  <o:lock v:ext="edit" shapetype="f"/>
                </v:shape>
                <v:shape id="Straight Arrow Connector 81" o:spid="_x0000_s1041" type="#_x0000_t32" style="position:absolute;left:19822;top:55199;width:0;height:2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" strokecolor="black [3200]" strokeweight="1.5pt">
                  <v:stroke endarrow="block" joinstyle="miter"/>
                  <o:lock v:ext="edit" shapetype="f"/>
                </v:shape>
                <v:shape id="Straight Arrow Connector 82" o:spid="_x0000_s1042" type="#_x0000_t32" style="position:absolute;left:19822;top:71434;width:0;height:2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" strokecolor="black [3200]" strokeweight="1.5pt">
                  <v:stroke endarrow="block" joinstyle="miter"/>
                  <o:lock v:ext="edit" shapetype="f"/>
                </v:shape>
                <v:shape id="Straight Arrow Connector 83" o:spid="_x0000_s1043" type="#_x0000_t32" style="position:absolute;left:19822;top:64410;width:0;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" strokecolor="black [3200]" strokeweight="1.5pt">
                  <v:stroke endarrow="block" joinstyle="miter"/>
                  <o:lock v:ext="edit" shapetype="f"/>
                </v:shape>
              </v:group>
            </w:pict>
          </mc:Fallback>
        </mc:AlternateContent>
      </w:r>
    </w:p>
    <w:p w14:paraId="56CA2782" w14:textId="77777777" w:rsidR="000F5D9D" w:rsidRPr="005A79C9" w:rsidRDefault="000F5D9D" w:rsidP="00E22C20">
      <w:pPr>
        <w:spacing w:line="360" w:lineRule="auto"/>
        <w:ind w:left="851"/>
        <w:jc w:val="both"/>
        <w:rPr>
          <w:szCs w:val="24"/>
        </w:rPr>
      </w:pPr>
    </w:p>
    <w:p w14:paraId="245A78A6" w14:textId="77777777" w:rsidR="000F5D9D" w:rsidRPr="005A79C9" w:rsidRDefault="000F5D9D" w:rsidP="00E22C20">
      <w:pPr>
        <w:spacing w:line="360" w:lineRule="auto"/>
        <w:ind w:left="851"/>
        <w:jc w:val="both"/>
        <w:rPr>
          <w:szCs w:val="24"/>
        </w:rPr>
      </w:pPr>
    </w:p>
    <w:p w14:paraId="3DD34AA7" w14:textId="77777777" w:rsidR="000F5D9D" w:rsidRPr="005A79C9" w:rsidRDefault="000F5D9D" w:rsidP="00E22C20">
      <w:pPr>
        <w:spacing w:line="360" w:lineRule="auto"/>
        <w:ind w:left="851"/>
        <w:jc w:val="both"/>
        <w:rPr>
          <w:szCs w:val="24"/>
        </w:rPr>
      </w:pPr>
    </w:p>
    <w:p w14:paraId="6DE3B40B" w14:textId="77777777" w:rsidR="000F5D9D" w:rsidRPr="005A79C9" w:rsidRDefault="000F5D9D" w:rsidP="00E22C20">
      <w:pPr>
        <w:spacing w:line="360" w:lineRule="auto"/>
        <w:ind w:left="851"/>
        <w:jc w:val="both"/>
        <w:rPr>
          <w:szCs w:val="24"/>
        </w:rPr>
      </w:pPr>
    </w:p>
    <w:p w14:paraId="537EFFDC" w14:textId="77777777" w:rsidR="000F5D9D" w:rsidRPr="005A79C9" w:rsidRDefault="000F5D9D" w:rsidP="00E22C20">
      <w:pPr>
        <w:spacing w:line="360" w:lineRule="auto"/>
        <w:ind w:left="851"/>
        <w:jc w:val="both"/>
        <w:rPr>
          <w:szCs w:val="24"/>
        </w:rPr>
      </w:pPr>
      <w:r w:rsidRPr="005A79C9">
        <w:rPr>
          <w:szCs w:val="24"/>
        </w:rPr>
        <w:br w:type="page"/>
      </w:r>
    </w:p>
    <w:p w14:paraId="4A2A6A1F" w14:textId="698A21D5" w:rsidR="000F5D9D" w:rsidRPr="005A79C9" w:rsidRDefault="000F5D9D" w:rsidP="00E22C20">
      <w:pPr>
        <w:pStyle w:val="Heading2"/>
        <w:spacing w:line="360" w:lineRule="auto"/>
        <w:ind w:left="851"/>
        <w:jc w:val="both"/>
        <w:rPr>
          <w:rFonts w:ascii="Times New Roman" w:hAnsi="Times New Roman" w:cs="Times New Roman"/>
          <w:color w:val="auto"/>
          <w:sz w:val="24"/>
          <w:szCs w:val="24"/>
        </w:rPr>
      </w:pPr>
      <w:bookmarkStart w:id="35" w:name="_Toc31400973"/>
      <w:r w:rsidRPr="007D5C0F">
        <w:rPr>
          <w:rFonts w:ascii="Times New Roman" w:hAnsi="Times New Roman" w:cs="Times New Roman"/>
          <w:b/>
          <w:bCs/>
          <w:color w:val="auto"/>
          <w:sz w:val="24"/>
          <w:szCs w:val="24"/>
        </w:rPr>
        <w:lastRenderedPageBreak/>
        <w:t>3.1</w:t>
      </w:r>
      <w:r w:rsidR="007D5C0F" w:rsidRPr="007D5C0F">
        <w:rPr>
          <w:rFonts w:ascii="Times New Roman" w:hAnsi="Times New Roman" w:cs="Times New Roman"/>
          <w:b/>
          <w:bCs/>
          <w:color w:val="auto"/>
          <w:sz w:val="24"/>
          <w:szCs w:val="24"/>
        </w:rPr>
        <w:t>0</w:t>
      </w:r>
      <w:r w:rsidRPr="007D5C0F">
        <w:rPr>
          <w:rFonts w:ascii="Times New Roman" w:hAnsi="Times New Roman" w:cs="Times New Roman"/>
          <w:b/>
          <w:bCs/>
          <w:color w:val="auto"/>
          <w:sz w:val="24"/>
          <w:szCs w:val="24"/>
        </w:rPr>
        <w:tab/>
        <w:t>Study Limitations</w:t>
      </w:r>
      <w:bookmarkEnd w:id="35"/>
      <w:r w:rsidRPr="005A79C9">
        <w:rPr>
          <w:rFonts w:ascii="Times New Roman" w:hAnsi="Times New Roman" w:cs="Times New Roman"/>
          <w:color w:val="auto"/>
          <w:sz w:val="24"/>
          <w:szCs w:val="24"/>
        </w:rPr>
        <w:t xml:space="preserve"> </w:t>
      </w:r>
    </w:p>
    <w:p w14:paraId="583600E0" w14:textId="77777777" w:rsidR="000F5D9D" w:rsidRPr="005A79C9" w:rsidRDefault="000F5D9D" w:rsidP="00E22C20">
      <w:pPr>
        <w:spacing w:line="360" w:lineRule="auto"/>
        <w:ind w:left="851"/>
        <w:jc w:val="both"/>
        <w:rPr>
          <w:szCs w:val="24"/>
        </w:rPr>
      </w:pPr>
    </w:p>
    <w:p w14:paraId="2ACC7482" w14:textId="77777777" w:rsidR="000F5D9D" w:rsidRPr="005A79C9" w:rsidRDefault="000F5D9D" w:rsidP="00E22C20">
      <w:pPr>
        <w:spacing w:line="360" w:lineRule="auto"/>
        <w:ind w:left="851"/>
        <w:jc w:val="both"/>
        <w:rPr>
          <w:szCs w:val="24"/>
        </w:rPr>
      </w:pPr>
      <w:r w:rsidRPr="005A79C9">
        <w:rPr>
          <w:szCs w:val="24"/>
        </w:rPr>
        <w:t xml:space="preserve">This study has several limitations. Firstly, the population in this study is limited to parents of child with ASD therefore, the findings may not be generalizable to the population in Malaysia. Second, the study is conducted in Selangor only and as mentioned above it is also may not re-presenting the other population in Malaysia. </w:t>
      </w:r>
    </w:p>
    <w:p w14:paraId="009E5E9F" w14:textId="77777777" w:rsidR="000F5D9D" w:rsidRPr="007D5C0F" w:rsidRDefault="000F5D9D" w:rsidP="00E22C20">
      <w:pPr>
        <w:spacing w:line="360" w:lineRule="auto"/>
        <w:ind w:left="851"/>
        <w:jc w:val="both"/>
        <w:rPr>
          <w:b/>
          <w:bCs/>
          <w:szCs w:val="24"/>
        </w:rPr>
      </w:pPr>
    </w:p>
    <w:p w14:paraId="56A0A080" w14:textId="1886F793" w:rsidR="000F5D9D" w:rsidRPr="007D5C0F" w:rsidRDefault="000F5D9D" w:rsidP="00E22C20">
      <w:pPr>
        <w:pStyle w:val="Heading2"/>
        <w:spacing w:line="360" w:lineRule="auto"/>
        <w:ind w:left="851"/>
        <w:jc w:val="both"/>
        <w:rPr>
          <w:rFonts w:ascii="Times New Roman" w:hAnsi="Times New Roman" w:cs="Times New Roman"/>
          <w:b/>
          <w:bCs/>
          <w:color w:val="auto"/>
          <w:sz w:val="24"/>
          <w:szCs w:val="24"/>
        </w:rPr>
      </w:pPr>
      <w:bookmarkStart w:id="36" w:name="_Toc31400974"/>
      <w:r w:rsidRPr="007D5C0F">
        <w:rPr>
          <w:rFonts w:ascii="Times New Roman" w:hAnsi="Times New Roman" w:cs="Times New Roman"/>
          <w:b/>
          <w:bCs/>
          <w:color w:val="auto"/>
          <w:sz w:val="24"/>
          <w:szCs w:val="24"/>
        </w:rPr>
        <w:t>3.1</w:t>
      </w:r>
      <w:r w:rsidR="007D5C0F" w:rsidRPr="007D5C0F">
        <w:rPr>
          <w:rFonts w:ascii="Times New Roman" w:hAnsi="Times New Roman" w:cs="Times New Roman"/>
          <w:b/>
          <w:bCs/>
          <w:color w:val="auto"/>
          <w:sz w:val="24"/>
          <w:szCs w:val="24"/>
        </w:rPr>
        <w:t>1</w:t>
      </w:r>
      <w:r w:rsidRPr="007D5C0F">
        <w:rPr>
          <w:rFonts w:ascii="Times New Roman" w:hAnsi="Times New Roman" w:cs="Times New Roman"/>
          <w:b/>
          <w:bCs/>
          <w:color w:val="auto"/>
          <w:sz w:val="24"/>
          <w:szCs w:val="24"/>
        </w:rPr>
        <w:tab/>
        <w:t>Expected Outcomes</w:t>
      </w:r>
      <w:bookmarkEnd w:id="36"/>
      <w:r w:rsidRPr="007D5C0F">
        <w:rPr>
          <w:rFonts w:ascii="Times New Roman" w:hAnsi="Times New Roman" w:cs="Times New Roman"/>
          <w:b/>
          <w:bCs/>
          <w:color w:val="auto"/>
          <w:sz w:val="24"/>
          <w:szCs w:val="24"/>
        </w:rPr>
        <w:t xml:space="preserve"> </w:t>
      </w:r>
    </w:p>
    <w:p w14:paraId="6B3A24D1" w14:textId="77777777" w:rsidR="000F5D9D" w:rsidRPr="005A79C9" w:rsidRDefault="000F5D9D" w:rsidP="00E22C20">
      <w:pPr>
        <w:spacing w:line="360" w:lineRule="auto"/>
        <w:ind w:left="851"/>
        <w:jc w:val="both"/>
        <w:rPr>
          <w:szCs w:val="24"/>
        </w:rPr>
      </w:pPr>
    </w:p>
    <w:p w14:paraId="30A354D2" w14:textId="5638C86B" w:rsidR="000F5D9D" w:rsidRPr="005A79C9" w:rsidRDefault="000F5D9D" w:rsidP="00E22C20">
      <w:pPr>
        <w:spacing w:line="360" w:lineRule="auto"/>
        <w:ind w:left="851"/>
        <w:jc w:val="both"/>
        <w:rPr>
          <w:szCs w:val="24"/>
        </w:rPr>
      </w:pPr>
      <w:r w:rsidRPr="005A79C9">
        <w:rPr>
          <w:szCs w:val="24"/>
        </w:rPr>
        <w:t>This study will determine the</w:t>
      </w:r>
      <w:r w:rsidR="007D5C0F">
        <w:rPr>
          <w:szCs w:val="24"/>
        </w:rPr>
        <w:t xml:space="preserve"> factors associated with vaccine </w:t>
      </w:r>
      <w:r w:rsidRPr="005A79C9">
        <w:rPr>
          <w:szCs w:val="24"/>
        </w:rPr>
        <w:t>hesitancy among parents of child</w:t>
      </w:r>
      <w:r w:rsidR="007D5C0F">
        <w:rPr>
          <w:szCs w:val="24"/>
        </w:rPr>
        <w:t>ren</w:t>
      </w:r>
      <w:r w:rsidRPr="005A79C9">
        <w:rPr>
          <w:szCs w:val="24"/>
        </w:rPr>
        <w:t xml:space="preserve"> with ASD. These findings can be used for the healthcare provider for future research to assess the outcome of VH in subpopulation in Malaysia. From this study, we would be able to identify </w:t>
      </w:r>
      <w:r w:rsidR="007D5C0F">
        <w:rPr>
          <w:szCs w:val="24"/>
        </w:rPr>
        <w:t xml:space="preserve">factors </w:t>
      </w:r>
      <w:r w:rsidRPr="005A79C9">
        <w:rPr>
          <w:szCs w:val="24"/>
        </w:rPr>
        <w:t xml:space="preserve">associated of VH </w:t>
      </w:r>
      <w:r w:rsidR="007D5C0F">
        <w:rPr>
          <w:szCs w:val="24"/>
        </w:rPr>
        <w:t xml:space="preserve">among </w:t>
      </w:r>
      <w:r w:rsidRPr="005A79C9">
        <w:rPr>
          <w:szCs w:val="24"/>
        </w:rPr>
        <w:t xml:space="preserve">parents of child with ASD. Intervention can then be developed and directed in particular towards the ASD population to those associated with vaccine hesitant parents. </w:t>
      </w:r>
    </w:p>
    <w:p w14:paraId="04F9CF8A" w14:textId="77777777" w:rsidR="000F5D9D" w:rsidRPr="005A79C9" w:rsidRDefault="000F5D9D" w:rsidP="00E22C20">
      <w:pPr>
        <w:spacing w:line="360" w:lineRule="auto"/>
        <w:ind w:left="851"/>
        <w:jc w:val="both"/>
        <w:rPr>
          <w:szCs w:val="24"/>
        </w:rPr>
      </w:pPr>
      <w:r w:rsidRPr="005A79C9">
        <w:rPr>
          <w:szCs w:val="24"/>
        </w:rPr>
        <w:br w:type="page"/>
      </w:r>
    </w:p>
    <w:p w14:paraId="7E9B8D0A" w14:textId="77777777" w:rsidR="000F5D9D" w:rsidRPr="005A79C9" w:rsidRDefault="000F5D9D" w:rsidP="00E22C20">
      <w:pPr>
        <w:pStyle w:val="Heading1"/>
        <w:spacing w:line="360" w:lineRule="auto"/>
        <w:ind w:left="851"/>
        <w:jc w:val="both"/>
        <w:rPr>
          <w:rFonts w:ascii="Times New Roman" w:hAnsi="Times New Roman" w:cs="Times New Roman"/>
          <w:color w:val="auto"/>
          <w:sz w:val="24"/>
          <w:szCs w:val="24"/>
        </w:rPr>
      </w:pPr>
      <w:bookmarkStart w:id="37" w:name="_Toc31400975"/>
      <w:r w:rsidRPr="005A79C9">
        <w:rPr>
          <w:rFonts w:ascii="Times New Roman" w:hAnsi="Times New Roman" w:cs="Times New Roman"/>
          <w:caps/>
          <w:color w:val="auto"/>
          <w:sz w:val="24"/>
          <w:szCs w:val="24"/>
        </w:rPr>
        <w:lastRenderedPageBreak/>
        <w:t>ETHICAL CONSIDERATION</w:t>
      </w:r>
      <w:bookmarkEnd w:id="37"/>
      <w:r w:rsidRPr="005A79C9">
        <w:rPr>
          <w:rFonts w:ascii="Times New Roman" w:hAnsi="Times New Roman" w:cs="Times New Roman"/>
          <w:caps/>
          <w:color w:val="auto"/>
          <w:sz w:val="24"/>
          <w:szCs w:val="24"/>
        </w:rPr>
        <w:t xml:space="preserve"> </w:t>
      </w:r>
    </w:p>
    <w:p w14:paraId="307EA368" w14:textId="77777777" w:rsidR="000F5D9D" w:rsidRPr="005A79C9" w:rsidRDefault="000F5D9D" w:rsidP="00E22C20">
      <w:pPr>
        <w:spacing w:line="360" w:lineRule="auto"/>
        <w:ind w:left="851"/>
        <w:jc w:val="both"/>
        <w:rPr>
          <w:szCs w:val="24"/>
        </w:rPr>
      </w:pPr>
    </w:p>
    <w:p w14:paraId="054FA07B" w14:textId="77777777" w:rsidR="000F5D9D" w:rsidRPr="005A79C9" w:rsidRDefault="000F5D9D" w:rsidP="00E22C20">
      <w:pPr>
        <w:spacing w:line="360" w:lineRule="auto"/>
        <w:ind w:left="851"/>
        <w:jc w:val="both"/>
        <w:rPr>
          <w:szCs w:val="24"/>
        </w:rPr>
      </w:pPr>
      <w:r w:rsidRPr="005A79C9">
        <w:rPr>
          <w:szCs w:val="24"/>
        </w:rPr>
        <w:t xml:space="preserve">Ethical approval will be obtained from the Research Ethics Committee, Research Management Institute, UiTM before the study is conducted. Patient information sheet will be given to the participants who are interested to participate. Once they have understood and agreed to participate, written informed consent will then be obtained. Confidentiality will be reassured to participants. Information obtained from the questionnaire will only be used for research and educational purpose. </w:t>
      </w:r>
      <w:r w:rsidRPr="005A79C9">
        <w:rPr>
          <w:szCs w:val="24"/>
        </w:rPr>
        <w:br w:type="page"/>
      </w:r>
    </w:p>
    <w:p w14:paraId="5ACC3E09" w14:textId="77777777" w:rsidR="000F5D9D" w:rsidRPr="005A79C9" w:rsidRDefault="000F5D9D" w:rsidP="00E22C20">
      <w:pPr>
        <w:pStyle w:val="Heading1"/>
        <w:spacing w:line="360" w:lineRule="auto"/>
        <w:ind w:left="851"/>
        <w:jc w:val="both"/>
        <w:rPr>
          <w:rFonts w:ascii="Times New Roman" w:hAnsi="Times New Roman" w:cs="Times New Roman"/>
          <w:color w:val="auto"/>
          <w:sz w:val="24"/>
          <w:szCs w:val="24"/>
        </w:rPr>
      </w:pPr>
      <w:bookmarkStart w:id="38" w:name="_Toc31400976"/>
      <w:r w:rsidRPr="005A79C9">
        <w:rPr>
          <w:rFonts w:ascii="Times New Roman" w:hAnsi="Times New Roman" w:cs="Times New Roman"/>
          <w:caps/>
          <w:color w:val="auto"/>
          <w:sz w:val="24"/>
          <w:szCs w:val="24"/>
        </w:rPr>
        <w:lastRenderedPageBreak/>
        <w:t>FUNDING AND BUDGET</w:t>
      </w:r>
      <w:bookmarkEnd w:id="38"/>
      <w:r w:rsidRPr="005A79C9">
        <w:rPr>
          <w:rFonts w:ascii="Times New Roman" w:hAnsi="Times New Roman" w:cs="Times New Roman"/>
          <w:caps/>
          <w:color w:val="auto"/>
          <w:sz w:val="24"/>
          <w:szCs w:val="24"/>
        </w:rPr>
        <w:t xml:space="preserve"> </w:t>
      </w:r>
    </w:p>
    <w:p w14:paraId="6874D7AD" w14:textId="77777777" w:rsidR="000F5D9D" w:rsidRPr="005A79C9" w:rsidRDefault="000F5D9D" w:rsidP="00E22C20">
      <w:pPr>
        <w:spacing w:line="360" w:lineRule="auto"/>
        <w:ind w:left="851"/>
        <w:jc w:val="both"/>
        <w:rPr>
          <w:szCs w:val="24"/>
        </w:rPr>
      </w:pPr>
    </w:p>
    <w:p w14:paraId="65830414" w14:textId="77777777" w:rsidR="000F5D9D" w:rsidRPr="005A79C9" w:rsidRDefault="000F5D9D" w:rsidP="00E22C20">
      <w:pPr>
        <w:spacing w:line="360" w:lineRule="auto"/>
        <w:ind w:left="851"/>
        <w:jc w:val="both"/>
        <w:rPr>
          <w:szCs w:val="24"/>
        </w:rPr>
      </w:pPr>
      <w:r w:rsidRPr="005A79C9">
        <w:rPr>
          <w:szCs w:val="24"/>
        </w:rPr>
        <w:t>This study will be self-funded.</w:t>
      </w:r>
    </w:p>
    <w:p w14:paraId="6E40533F" w14:textId="77777777" w:rsidR="000F5D9D" w:rsidRPr="005A79C9" w:rsidRDefault="000F5D9D" w:rsidP="00E22C20">
      <w:pPr>
        <w:spacing w:line="360" w:lineRule="auto"/>
        <w:ind w:left="851"/>
        <w:jc w:val="both"/>
        <w:rPr>
          <w:szCs w:val="24"/>
        </w:rPr>
      </w:pPr>
      <w:r w:rsidRPr="005A79C9">
        <w:rPr>
          <w:szCs w:val="24"/>
        </w:rPr>
        <w:t xml:space="preserve"> </w:t>
      </w:r>
    </w:p>
    <w:p w14:paraId="34C68BE0" w14:textId="77777777" w:rsidR="000F5D9D" w:rsidRPr="005A79C9" w:rsidRDefault="000F5D9D" w:rsidP="00E22C20">
      <w:pPr>
        <w:spacing w:line="360" w:lineRule="auto"/>
        <w:ind w:left="851"/>
        <w:jc w:val="both"/>
        <w:rPr>
          <w:szCs w:val="24"/>
        </w:rPr>
      </w:pPr>
      <w:r w:rsidRPr="005A79C9">
        <w:rPr>
          <w:szCs w:val="24"/>
        </w:rPr>
        <w:t>Proposed budget for this study is as followed:</w:t>
      </w:r>
    </w:p>
    <w:p w14:paraId="3FF0F11C" w14:textId="77777777" w:rsidR="000F5D9D" w:rsidRPr="005A79C9" w:rsidRDefault="000F5D9D" w:rsidP="00E22C20">
      <w:pPr>
        <w:spacing w:line="360" w:lineRule="auto"/>
        <w:ind w:left="851"/>
        <w:jc w:val="both"/>
        <w:rPr>
          <w:szCs w:val="24"/>
        </w:rPr>
      </w:pP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9"/>
        <w:gridCol w:w="2250"/>
        <w:gridCol w:w="2070"/>
        <w:gridCol w:w="2232"/>
      </w:tblGrid>
      <w:tr w:rsidR="000F5D9D" w:rsidRPr="007D5C0F" w14:paraId="28873951" w14:textId="77777777" w:rsidTr="007D5C0F">
        <w:trPr>
          <w:trHeight w:val="728"/>
        </w:trPr>
        <w:tc>
          <w:tcPr>
            <w:tcW w:w="1669" w:type="dxa"/>
            <w:vAlign w:val="center"/>
          </w:tcPr>
          <w:p w14:paraId="195E85C2" w14:textId="77777777" w:rsidR="000F5D9D" w:rsidRPr="007D5C0F" w:rsidRDefault="000F5D9D" w:rsidP="007D5C0F">
            <w:pPr>
              <w:pStyle w:val="NoSpacing"/>
            </w:pPr>
            <w:r w:rsidRPr="007D5C0F">
              <w:t>Budget items</w:t>
            </w:r>
          </w:p>
        </w:tc>
        <w:tc>
          <w:tcPr>
            <w:tcW w:w="2250" w:type="dxa"/>
            <w:vAlign w:val="center"/>
          </w:tcPr>
          <w:p w14:paraId="5A3E1AFF" w14:textId="77777777" w:rsidR="000F5D9D" w:rsidRPr="007D5C0F" w:rsidRDefault="000F5D9D" w:rsidP="007D5C0F">
            <w:pPr>
              <w:pStyle w:val="NoSpacing"/>
            </w:pPr>
            <w:r w:rsidRPr="007D5C0F">
              <w:t>Cost per items (RM)</w:t>
            </w:r>
          </w:p>
        </w:tc>
        <w:tc>
          <w:tcPr>
            <w:tcW w:w="2070" w:type="dxa"/>
            <w:vAlign w:val="center"/>
          </w:tcPr>
          <w:p w14:paraId="1B9E9955" w14:textId="77777777" w:rsidR="000F5D9D" w:rsidRPr="007D5C0F" w:rsidRDefault="000F5D9D" w:rsidP="007D5C0F">
            <w:pPr>
              <w:pStyle w:val="NoSpacing"/>
            </w:pPr>
            <w:r w:rsidRPr="007D5C0F">
              <w:t>Number of items</w:t>
            </w:r>
          </w:p>
        </w:tc>
        <w:tc>
          <w:tcPr>
            <w:tcW w:w="2232" w:type="dxa"/>
            <w:vAlign w:val="center"/>
          </w:tcPr>
          <w:p w14:paraId="2E6D0C8D" w14:textId="77777777" w:rsidR="000F5D9D" w:rsidRPr="007D5C0F" w:rsidRDefault="000F5D9D" w:rsidP="007D5C0F">
            <w:pPr>
              <w:pStyle w:val="NoSpacing"/>
            </w:pPr>
            <w:r w:rsidRPr="007D5C0F">
              <w:t>Total cash cost (RM)</w:t>
            </w:r>
          </w:p>
        </w:tc>
      </w:tr>
      <w:tr w:rsidR="000F5D9D" w:rsidRPr="007D5C0F" w14:paraId="3CE18CF6" w14:textId="77777777" w:rsidTr="007D5C0F">
        <w:trPr>
          <w:trHeight w:val="552"/>
        </w:trPr>
        <w:tc>
          <w:tcPr>
            <w:tcW w:w="1669" w:type="dxa"/>
            <w:vAlign w:val="center"/>
          </w:tcPr>
          <w:p w14:paraId="66AEA5D3" w14:textId="77777777" w:rsidR="000F5D9D" w:rsidRPr="007D5C0F" w:rsidRDefault="000F5D9D" w:rsidP="007D5C0F">
            <w:pPr>
              <w:pStyle w:val="NoSpacing"/>
            </w:pPr>
            <w:r w:rsidRPr="007D5C0F">
              <w:t xml:space="preserve">Paper A4 size </w:t>
            </w:r>
          </w:p>
        </w:tc>
        <w:tc>
          <w:tcPr>
            <w:tcW w:w="2250" w:type="dxa"/>
            <w:vAlign w:val="center"/>
          </w:tcPr>
          <w:p w14:paraId="551C81D8" w14:textId="77777777" w:rsidR="000F5D9D" w:rsidRPr="007D5C0F" w:rsidRDefault="000F5D9D" w:rsidP="007D5C0F">
            <w:pPr>
              <w:pStyle w:val="NoSpacing"/>
            </w:pPr>
            <w:r w:rsidRPr="007D5C0F">
              <w:t>15</w:t>
            </w:r>
          </w:p>
        </w:tc>
        <w:tc>
          <w:tcPr>
            <w:tcW w:w="2070" w:type="dxa"/>
            <w:vAlign w:val="center"/>
          </w:tcPr>
          <w:p w14:paraId="41AE0E6A" w14:textId="77777777" w:rsidR="000F5D9D" w:rsidRPr="007D5C0F" w:rsidRDefault="000F5D9D" w:rsidP="007D5C0F">
            <w:pPr>
              <w:pStyle w:val="NoSpacing"/>
            </w:pPr>
            <w:r w:rsidRPr="007D5C0F">
              <w:t>6</w:t>
            </w:r>
          </w:p>
        </w:tc>
        <w:tc>
          <w:tcPr>
            <w:tcW w:w="2232" w:type="dxa"/>
            <w:vAlign w:val="center"/>
          </w:tcPr>
          <w:p w14:paraId="4D6BD545" w14:textId="77777777" w:rsidR="000F5D9D" w:rsidRPr="007D5C0F" w:rsidRDefault="000F5D9D" w:rsidP="007D5C0F">
            <w:pPr>
              <w:pStyle w:val="NoSpacing"/>
            </w:pPr>
            <w:r w:rsidRPr="007D5C0F">
              <w:t>90</w:t>
            </w:r>
          </w:p>
        </w:tc>
      </w:tr>
      <w:tr w:rsidR="000F5D9D" w:rsidRPr="007D5C0F" w14:paraId="4AA928F6" w14:textId="77777777" w:rsidTr="007D5C0F">
        <w:trPr>
          <w:trHeight w:val="552"/>
        </w:trPr>
        <w:tc>
          <w:tcPr>
            <w:tcW w:w="1669" w:type="dxa"/>
            <w:vAlign w:val="center"/>
          </w:tcPr>
          <w:p w14:paraId="33E98B7D" w14:textId="77777777" w:rsidR="000F5D9D" w:rsidRPr="007D5C0F" w:rsidRDefault="000F5D9D" w:rsidP="007D5C0F">
            <w:pPr>
              <w:pStyle w:val="NoSpacing"/>
            </w:pPr>
            <w:r w:rsidRPr="007D5C0F">
              <w:t xml:space="preserve">Printing </w:t>
            </w:r>
          </w:p>
        </w:tc>
        <w:tc>
          <w:tcPr>
            <w:tcW w:w="2250" w:type="dxa"/>
            <w:vAlign w:val="center"/>
          </w:tcPr>
          <w:p w14:paraId="21991740" w14:textId="77777777" w:rsidR="000F5D9D" w:rsidRPr="007D5C0F" w:rsidRDefault="000F5D9D" w:rsidP="007D5C0F">
            <w:pPr>
              <w:pStyle w:val="NoSpacing"/>
            </w:pPr>
            <w:r w:rsidRPr="007D5C0F">
              <w:t>0.10 per paper</w:t>
            </w:r>
          </w:p>
        </w:tc>
        <w:tc>
          <w:tcPr>
            <w:tcW w:w="2070" w:type="dxa"/>
            <w:vAlign w:val="center"/>
          </w:tcPr>
          <w:p w14:paraId="091DA7C1" w14:textId="01C75CA3" w:rsidR="000F5D9D" w:rsidRPr="007D5C0F" w:rsidRDefault="007D5C0F" w:rsidP="007D5C0F">
            <w:pPr>
              <w:pStyle w:val="NoSpacing"/>
            </w:pPr>
            <w:r>
              <w:t>5</w:t>
            </w:r>
          </w:p>
        </w:tc>
        <w:tc>
          <w:tcPr>
            <w:tcW w:w="2232" w:type="dxa"/>
            <w:vAlign w:val="center"/>
          </w:tcPr>
          <w:p w14:paraId="51B93EC0" w14:textId="33D2769A" w:rsidR="000F5D9D" w:rsidRPr="007D5C0F" w:rsidRDefault="007D5C0F" w:rsidP="007D5C0F">
            <w:pPr>
              <w:pStyle w:val="NoSpacing"/>
            </w:pPr>
            <w:r>
              <w:t>115</w:t>
            </w:r>
          </w:p>
        </w:tc>
      </w:tr>
      <w:tr w:rsidR="000F5D9D" w:rsidRPr="007D5C0F" w14:paraId="512A6896" w14:textId="77777777" w:rsidTr="007D5C0F">
        <w:trPr>
          <w:trHeight w:val="552"/>
        </w:trPr>
        <w:tc>
          <w:tcPr>
            <w:tcW w:w="1669" w:type="dxa"/>
            <w:vAlign w:val="center"/>
          </w:tcPr>
          <w:p w14:paraId="56953DB5" w14:textId="77777777" w:rsidR="000F5D9D" w:rsidRPr="007D5C0F" w:rsidRDefault="000F5D9D" w:rsidP="007D5C0F">
            <w:pPr>
              <w:pStyle w:val="NoSpacing"/>
            </w:pPr>
            <w:r w:rsidRPr="007D5C0F">
              <w:t xml:space="preserve">Stationary (files/pen) </w:t>
            </w:r>
          </w:p>
        </w:tc>
        <w:tc>
          <w:tcPr>
            <w:tcW w:w="2250" w:type="dxa"/>
            <w:vAlign w:val="center"/>
          </w:tcPr>
          <w:p w14:paraId="366D2883" w14:textId="77777777" w:rsidR="000F5D9D" w:rsidRPr="007D5C0F" w:rsidRDefault="000F5D9D" w:rsidP="007D5C0F">
            <w:pPr>
              <w:pStyle w:val="NoSpacing"/>
            </w:pPr>
            <w:r w:rsidRPr="007D5C0F">
              <w:t>10</w:t>
            </w:r>
          </w:p>
        </w:tc>
        <w:tc>
          <w:tcPr>
            <w:tcW w:w="2070" w:type="dxa"/>
            <w:vAlign w:val="center"/>
          </w:tcPr>
          <w:p w14:paraId="14B808AD" w14:textId="77777777" w:rsidR="000F5D9D" w:rsidRPr="007D5C0F" w:rsidRDefault="000F5D9D" w:rsidP="007D5C0F">
            <w:pPr>
              <w:pStyle w:val="NoSpacing"/>
            </w:pPr>
            <w:r w:rsidRPr="007D5C0F">
              <w:t>10</w:t>
            </w:r>
          </w:p>
        </w:tc>
        <w:tc>
          <w:tcPr>
            <w:tcW w:w="2232" w:type="dxa"/>
            <w:vAlign w:val="center"/>
          </w:tcPr>
          <w:p w14:paraId="73319B94" w14:textId="77777777" w:rsidR="000F5D9D" w:rsidRPr="007D5C0F" w:rsidRDefault="000F5D9D" w:rsidP="007D5C0F">
            <w:pPr>
              <w:pStyle w:val="NoSpacing"/>
            </w:pPr>
            <w:r w:rsidRPr="007D5C0F">
              <w:t>100</w:t>
            </w:r>
          </w:p>
        </w:tc>
      </w:tr>
      <w:tr w:rsidR="000F5D9D" w:rsidRPr="007D5C0F" w14:paraId="2B3C9F2F" w14:textId="77777777" w:rsidTr="007D5C0F">
        <w:trPr>
          <w:trHeight w:val="552"/>
        </w:trPr>
        <w:tc>
          <w:tcPr>
            <w:tcW w:w="3919" w:type="dxa"/>
            <w:gridSpan w:val="2"/>
            <w:vAlign w:val="center"/>
          </w:tcPr>
          <w:p w14:paraId="62FB2B04" w14:textId="77777777" w:rsidR="000F5D9D" w:rsidRPr="007D5C0F" w:rsidRDefault="000F5D9D" w:rsidP="007D5C0F">
            <w:pPr>
              <w:pStyle w:val="NoSpacing"/>
            </w:pPr>
            <w:r w:rsidRPr="007D5C0F">
              <w:t xml:space="preserve">Research total </w:t>
            </w:r>
          </w:p>
        </w:tc>
        <w:tc>
          <w:tcPr>
            <w:tcW w:w="4302" w:type="dxa"/>
            <w:gridSpan w:val="2"/>
            <w:vAlign w:val="center"/>
          </w:tcPr>
          <w:p w14:paraId="58AE2134" w14:textId="74A994E4" w:rsidR="000F5D9D" w:rsidRPr="007D5C0F" w:rsidRDefault="000F5D9D" w:rsidP="007D5C0F">
            <w:pPr>
              <w:pStyle w:val="NoSpacing"/>
            </w:pPr>
            <w:r w:rsidRPr="007D5C0F">
              <w:t>RM</w:t>
            </w:r>
            <w:r w:rsidR="007D5C0F">
              <w:t xml:space="preserve"> 305</w:t>
            </w:r>
          </w:p>
        </w:tc>
      </w:tr>
    </w:tbl>
    <w:p w14:paraId="4FB39900" w14:textId="77777777" w:rsidR="000F5D9D" w:rsidRPr="005A79C9" w:rsidRDefault="000F5D9D" w:rsidP="00E22C20">
      <w:pPr>
        <w:spacing w:line="360" w:lineRule="auto"/>
        <w:ind w:left="851"/>
        <w:jc w:val="both"/>
        <w:rPr>
          <w:szCs w:val="24"/>
        </w:rPr>
      </w:pPr>
    </w:p>
    <w:p w14:paraId="3801876B" w14:textId="77777777" w:rsidR="000F5D9D" w:rsidRPr="005A79C9" w:rsidRDefault="000F5D9D" w:rsidP="00E22C20">
      <w:pPr>
        <w:spacing w:line="360" w:lineRule="auto"/>
        <w:ind w:left="851"/>
        <w:jc w:val="both"/>
        <w:rPr>
          <w:szCs w:val="24"/>
        </w:rPr>
      </w:pPr>
    </w:p>
    <w:p w14:paraId="2DB4D55C" w14:textId="77777777" w:rsidR="000F5D9D" w:rsidRPr="005A79C9" w:rsidRDefault="000F5D9D" w:rsidP="00E22C20">
      <w:pPr>
        <w:spacing w:line="360" w:lineRule="auto"/>
        <w:ind w:left="851"/>
        <w:jc w:val="both"/>
        <w:rPr>
          <w:szCs w:val="24"/>
        </w:rPr>
      </w:pPr>
      <w:r w:rsidRPr="005A79C9">
        <w:rPr>
          <w:szCs w:val="24"/>
        </w:rPr>
        <w:br w:type="page"/>
      </w:r>
    </w:p>
    <w:p w14:paraId="0D69FAD3" w14:textId="77777777" w:rsidR="000F5D9D" w:rsidRPr="005A79C9" w:rsidRDefault="000F5D9D" w:rsidP="00E22C20">
      <w:pPr>
        <w:spacing w:line="360" w:lineRule="auto"/>
        <w:ind w:left="851"/>
        <w:jc w:val="both"/>
        <w:rPr>
          <w:szCs w:val="24"/>
        </w:rPr>
        <w:sectPr w:rsidR="000F5D9D" w:rsidRPr="005A79C9" w:rsidSect="00E22C20">
          <w:pgSz w:w="12240" w:h="15840" w:code="1"/>
          <w:pgMar w:top="1418" w:right="1418" w:bottom="1418" w:left="2155" w:header="720" w:footer="720" w:gutter="0"/>
          <w:cols w:space="720"/>
          <w:titlePg/>
          <w:docGrid w:linePitch="360"/>
        </w:sectPr>
      </w:pPr>
    </w:p>
    <w:p w14:paraId="35C8204F" w14:textId="77777777" w:rsidR="000F5D9D" w:rsidRPr="007D5C0F" w:rsidRDefault="000F5D9D" w:rsidP="00E22C20">
      <w:pPr>
        <w:pStyle w:val="Heading1"/>
        <w:spacing w:line="360" w:lineRule="auto"/>
        <w:ind w:left="851"/>
        <w:jc w:val="both"/>
        <w:rPr>
          <w:rFonts w:ascii="Times New Roman" w:hAnsi="Times New Roman" w:cs="Times New Roman"/>
          <w:b/>
          <w:bCs/>
          <w:color w:val="auto"/>
          <w:sz w:val="24"/>
          <w:szCs w:val="24"/>
        </w:rPr>
      </w:pPr>
      <w:bookmarkStart w:id="39" w:name="_Toc31400977"/>
      <w:r w:rsidRPr="007D5C0F">
        <w:rPr>
          <w:rFonts w:ascii="Times New Roman" w:hAnsi="Times New Roman" w:cs="Times New Roman"/>
          <w:b/>
          <w:bCs/>
          <w:color w:val="auto"/>
          <w:sz w:val="24"/>
          <w:szCs w:val="24"/>
        </w:rPr>
        <w:lastRenderedPageBreak/>
        <w:t>GANTT CHART</w:t>
      </w:r>
      <w:bookmarkEnd w:id="39"/>
    </w:p>
    <w:p w14:paraId="598C3E41" w14:textId="77777777" w:rsidR="000F5D9D" w:rsidRPr="005A79C9" w:rsidRDefault="000F5D9D" w:rsidP="00E22C20">
      <w:pPr>
        <w:spacing w:line="360" w:lineRule="auto"/>
        <w:ind w:left="851"/>
        <w:jc w:val="both"/>
        <w:rPr>
          <w:szCs w:val="24"/>
        </w:rPr>
      </w:pPr>
    </w:p>
    <w:p w14:paraId="743D2F5B" w14:textId="77777777" w:rsidR="000F5D9D" w:rsidRPr="005A79C9" w:rsidRDefault="000F5D9D" w:rsidP="00E22C20">
      <w:pPr>
        <w:spacing w:line="360" w:lineRule="auto"/>
        <w:ind w:left="851"/>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508"/>
        <w:gridCol w:w="508"/>
        <w:gridCol w:w="485"/>
        <w:gridCol w:w="484"/>
        <w:gridCol w:w="484"/>
        <w:gridCol w:w="483"/>
        <w:gridCol w:w="484"/>
        <w:gridCol w:w="483"/>
        <w:gridCol w:w="484"/>
        <w:gridCol w:w="483"/>
        <w:gridCol w:w="484"/>
        <w:gridCol w:w="507"/>
        <w:gridCol w:w="507"/>
        <w:gridCol w:w="508"/>
        <w:gridCol w:w="483"/>
        <w:gridCol w:w="484"/>
        <w:gridCol w:w="483"/>
        <w:gridCol w:w="484"/>
        <w:gridCol w:w="483"/>
        <w:gridCol w:w="484"/>
        <w:gridCol w:w="483"/>
        <w:gridCol w:w="484"/>
      </w:tblGrid>
      <w:tr w:rsidR="000F5D9D" w:rsidRPr="005A79C9" w14:paraId="6F2E303C" w14:textId="77777777" w:rsidTr="00E22C20">
        <w:trPr>
          <w:trHeight w:val="432"/>
        </w:trPr>
        <w:tc>
          <w:tcPr>
            <w:tcW w:w="1522" w:type="dxa"/>
            <w:vAlign w:val="center"/>
          </w:tcPr>
          <w:p w14:paraId="6A4EBDE7" w14:textId="77777777" w:rsidR="000F5D9D" w:rsidRPr="005A79C9" w:rsidRDefault="000F5D9D" w:rsidP="007D5C0F">
            <w:pPr>
              <w:pStyle w:val="NoSpacing"/>
            </w:pPr>
            <w:r w:rsidRPr="005A79C9">
              <w:t>Year</w:t>
            </w:r>
          </w:p>
        </w:tc>
        <w:tc>
          <w:tcPr>
            <w:tcW w:w="1038" w:type="dxa"/>
            <w:gridSpan w:val="2"/>
            <w:vAlign w:val="center"/>
          </w:tcPr>
          <w:p w14:paraId="69D82CE5" w14:textId="77777777" w:rsidR="000F5D9D" w:rsidRPr="005A79C9" w:rsidRDefault="000F5D9D" w:rsidP="007D5C0F">
            <w:pPr>
              <w:pStyle w:val="NoSpacing"/>
            </w:pPr>
            <w:r w:rsidRPr="005A79C9">
              <w:t>2019</w:t>
            </w:r>
          </w:p>
        </w:tc>
        <w:tc>
          <w:tcPr>
            <w:tcW w:w="6234" w:type="dxa"/>
            <w:gridSpan w:val="12"/>
            <w:vAlign w:val="center"/>
          </w:tcPr>
          <w:p w14:paraId="253F2F33" w14:textId="77777777" w:rsidR="000F5D9D" w:rsidRPr="005A79C9" w:rsidRDefault="000F5D9D" w:rsidP="007D5C0F">
            <w:pPr>
              <w:pStyle w:val="NoSpacing"/>
            </w:pPr>
            <w:r w:rsidRPr="005A79C9">
              <w:t>2020</w:t>
            </w:r>
          </w:p>
        </w:tc>
        <w:tc>
          <w:tcPr>
            <w:tcW w:w="4156" w:type="dxa"/>
            <w:gridSpan w:val="8"/>
            <w:vAlign w:val="center"/>
          </w:tcPr>
          <w:p w14:paraId="0402817C" w14:textId="77777777" w:rsidR="000F5D9D" w:rsidRPr="005A79C9" w:rsidRDefault="000F5D9D" w:rsidP="007D5C0F">
            <w:pPr>
              <w:pStyle w:val="NoSpacing"/>
            </w:pPr>
            <w:r w:rsidRPr="005A79C9">
              <w:t>2021</w:t>
            </w:r>
          </w:p>
        </w:tc>
      </w:tr>
      <w:tr w:rsidR="000F5D9D" w:rsidRPr="005A79C9" w14:paraId="39EC028B" w14:textId="77777777" w:rsidTr="00E22C20">
        <w:trPr>
          <w:trHeight w:val="432"/>
        </w:trPr>
        <w:tc>
          <w:tcPr>
            <w:tcW w:w="1522" w:type="dxa"/>
            <w:vAlign w:val="center"/>
          </w:tcPr>
          <w:p w14:paraId="59FD64DB" w14:textId="77777777" w:rsidR="000F5D9D" w:rsidRPr="005A79C9" w:rsidRDefault="000F5D9D" w:rsidP="007D5C0F">
            <w:pPr>
              <w:pStyle w:val="NoSpacing"/>
            </w:pPr>
            <w:r w:rsidRPr="005A79C9">
              <w:t>Months</w:t>
            </w:r>
          </w:p>
        </w:tc>
        <w:tc>
          <w:tcPr>
            <w:tcW w:w="519" w:type="dxa"/>
            <w:vAlign w:val="center"/>
          </w:tcPr>
          <w:p w14:paraId="69131786" w14:textId="77777777" w:rsidR="000F5D9D" w:rsidRPr="005A79C9" w:rsidRDefault="000F5D9D" w:rsidP="007D5C0F">
            <w:pPr>
              <w:pStyle w:val="NoSpacing"/>
            </w:pPr>
            <w:r w:rsidRPr="005A79C9">
              <w:t>11</w:t>
            </w:r>
          </w:p>
        </w:tc>
        <w:tc>
          <w:tcPr>
            <w:tcW w:w="519" w:type="dxa"/>
            <w:vAlign w:val="center"/>
          </w:tcPr>
          <w:p w14:paraId="1C7A5416" w14:textId="77777777" w:rsidR="000F5D9D" w:rsidRPr="005A79C9" w:rsidRDefault="000F5D9D" w:rsidP="007D5C0F">
            <w:pPr>
              <w:pStyle w:val="NoSpacing"/>
            </w:pPr>
            <w:r w:rsidRPr="005A79C9">
              <w:t>12</w:t>
            </w:r>
          </w:p>
        </w:tc>
        <w:tc>
          <w:tcPr>
            <w:tcW w:w="520" w:type="dxa"/>
            <w:vAlign w:val="center"/>
          </w:tcPr>
          <w:p w14:paraId="1BF892C1" w14:textId="77777777" w:rsidR="000F5D9D" w:rsidRPr="005A79C9" w:rsidRDefault="000F5D9D" w:rsidP="007D5C0F">
            <w:pPr>
              <w:pStyle w:val="NoSpacing"/>
            </w:pPr>
            <w:r w:rsidRPr="005A79C9">
              <w:t>1</w:t>
            </w:r>
          </w:p>
        </w:tc>
        <w:tc>
          <w:tcPr>
            <w:tcW w:w="519" w:type="dxa"/>
            <w:vAlign w:val="center"/>
          </w:tcPr>
          <w:p w14:paraId="2A22C9E3" w14:textId="77777777" w:rsidR="000F5D9D" w:rsidRPr="005A79C9" w:rsidRDefault="000F5D9D" w:rsidP="007D5C0F">
            <w:pPr>
              <w:pStyle w:val="NoSpacing"/>
            </w:pPr>
            <w:r w:rsidRPr="005A79C9">
              <w:t>2</w:t>
            </w:r>
          </w:p>
        </w:tc>
        <w:tc>
          <w:tcPr>
            <w:tcW w:w="520" w:type="dxa"/>
            <w:vAlign w:val="center"/>
          </w:tcPr>
          <w:p w14:paraId="13A7BFCA" w14:textId="77777777" w:rsidR="000F5D9D" w:rsidRPr="005A79C9" w:rsidRDefault="000F5D9D" w:rsidP="007D5C0F">
            <w:pPr>
              <w:pStyle w:val="NoSpacing"/>
            </w:pPr>
            <w:r w:rsidRPr="005A79C9">
              <w:t>3</w:t>
            </w:r>
          </w:p>
        </w:tc>
        <w:tc>
          <w:tcPr>
            <w:tcW w:w="519" w:type="dxa"/>
            <w:vAlign w:val="center"/>
          </w:tcPr>
          <w:p w14:paraId="2575764F" w14:textId="77777777" w:rsidR="000F5D9D" w:rsidRPr="005A79C9" w:rsidRDefault="000F5D9D" w:rsidP="007D5C0F">
            <w:pPr>
              <w:pStyle w:val="NoSpacing"/>
            </w:pPr>
            <w:r w:rsidRPr="005A79C9">
              <w:t>4</w:t>
            </w:r>
          </w:p>
        </w:tc>
        <w:tc>
          <w:tcPr>
            <w:tcW w:w="520" w:type="dxa"/>
            <w:vAlign w:val="center"/>
          </w:tcPr>
          <w:p w14:paraId="26488AF2" w14:textId="77777777" w:rsidR="000F5D9D" w:rsidRPr="005A79C9" w:rsidRDefault="000F5D9D" w:rsidP="007D5C0F">
            <w:pPr>
              <w:pStyle w:val="NoSpacing"/>
            </w:pPr>
            <w:r w:rsidRPr="005A79C9">
              <w:t>5</w:t>
            </w:r>
          </w:p>
        </w:tc>
        <w:tc>
          <w:tcPr>
            <w:tcW w:w="519" w:type="dxa"/>
            <w:vAlign w:val="center"/>
          </w:tcPr>
          <w:p w14:paraId="48071C03" w14:textId="77777777" w:rsidR="000F5D9D" w:rsidRPr="005A79C9" w:rsidRDefault="000F5D9D" w:rsidP="007D5C0F">
            <w:pPr>
              <w:pStyle w:val="NoSpacing"/>
            </w:pPr>
            <w:r w:rsidRPr="005A79C9">
              <w:t>6</w:t>
            </w:r>
          </w:p>
        </w:tc>
        <w:tc>
          <w:tcPr>
            <w:tcW w:w="520" w:type="dxa"/>
            <w:vAlign w:val="center"/>
          </w:tcPr>
          <w:p w14:paraId="53CA7E79" w14:textId="77777777" w:rsidR="000F5D9D" w:rsidRPr="005A79C9" w:rsidRDefault="000F5D9D" w:rsidP="007D5C0F">
            <w:pPr>
              <w:pStyle w:val="NoSpacing"/>
            </w:pPr>
            <w:r w:rsidRPr="005A79C9">
              <w:t>7</w:t>
            </w:r>
          </w:p>
        </w:tc>
        <w:tc>
          <w:tcPr>
            <w:tcW w:w="519" w:type="dxa"/>
            <w:vAlign w:val="center"/>
          </w:tcPr>
          <w:p w14:paraId="1A62CA91" w14:textId="77777777" w:rsidR="000F5D9D" w:rsidRPr="005A79C9" w:rsidRDefault="000F5D9D" w:rsidP="007D5C0F">
            <w:pPr>
              <w:pStyle w:val="NoSpacing"/>
            </w:pPr>
            <w:r w:rsidRPr="005A79C9">
              <w:t>8</w:t>
            </w:r>
          </w:p>
        </w:tc>
        <w:tc>
          <w:tcPr>
            <w:tcW w:w="520" w:type="dxa"/>
            <w:vAlign w:val="center"/>
          </w:tcPr>
          <w:p w14:paraId="5B01D1A6" w14:textId="77777777" w:rsidR="000F5D9D" w:rsidRPr="005A79C9" w:rsidRDefault="000F5D9D" w:rsidP="007D5C0F">
            <w:pPr>
              <w:pStyle w:val="NoSpacing"/>
            </w:pPr>
            <w:r w:rsidRPr="005A79C9">
              <w:t>9</w:t>
            </w:r>
          </w:p>
        </w:tc>
        <w:tc>
          <w:tcPr>
            <w:tcW w:w="519" w:type="dxa"/>
            <w:vAlign w:val="center"/>
          </w:tcPr>
          <w:p w14:paraId="6FD4B740" w14:textId="77777777" w:rsidR="000F5D9D" w:rsidRPr="005A79C9" w:rsidRDefault="000F5D9D" w:rsidP="007D5C0F">
            <w:pPr>
              <w:pStyle w:val="NoSpacing"/>
            </w:pPr>
            <w:r w:rsidRPr="005A79C9">
              <w:t>10</w:t>
            </w:r>
          </w:p>
        </w:tc>
        <w:tc>
          <w:tcPr>
            <w:tcW w:w="519" w:type="dxa"/>
            <w:vAlign w:val="center"/>
          </w:tcPr>
          <w:p w14:paraId="4E870C4F" w14:textId="77777777" w:rsidR="000F5D9D" w:rsidRPr="005A79C9" w:rsidRDefault="000F5D9D" w:rsidP="007D5C0F">
            <w:pPr>
              <w:pStyle w:val="NoSpacing"/>
            </w:pPr>
            <w:r w:rsidRPr="005A79C9">
              <w:t>11</w:t>
            </w:r>
          </w:p>
        </w:tc>
        <w:tc>
          <w:tcPr>
            <w:tcW w:w="520" w:type="dxa"/>
            <w:vAlign w:val="center"/>
          </w:tcPr>
          <w:p w14:paraId="2DF0087E" w14:textId="77777777" w:rsidR="000F5D9D" w:rsidRPr="005A79C9" w:rsidRDefault="000F5D9D" w:rsidP="007D5C0F">
            <w:pPr>
              <w:pStyle w:val="NoSpacing"/>
            </w:pPr>
            <w:r w:rsidRPr="005A79C9">
              <w:t>12</w:t>
            </w:r>
          </w:p>
        </w:tc>
        <w:tc>
          <w:tcPr>
            <w:tcW w:w="519" w:type="dxa"/>
            <w:vAlign w:val="center"/>
          </w:tcPr>
          <w:p w14:paraId="6C82A2C9" w14:textId="77777777" w:rsidR="000F5D9D" w:rsidRPr="005A79C9" w:rsidRDefault="000F5D9D" w:rsidP="007D5C0F">
            <w:pPr>
              <w:pStyle w:val="NoSpacing"/>
            </w:pPr>
            <w:r w:rsidRPr="005A79C9">
              <w:t>1</w:t>
            </w:r>
          </w:p>
        </w:tc>
        <w:tc>
          <w:tcPr>
            <w:tcW w:w="520" w:type="dxa"/>
            <w:vAlign w:val="center"/>
          </w:tcPr>
          <w:p w14:paraId="6AABF121" w14:textId="77777777" w:rsidR="000F5D9D" w:rsidRPr="005A79C9" w:rsidRDefault="000F5D9D" w:rsidP="007D5C0F">
            <w:pPr>
              <w:pStyle w:val="NoSpacing"/>
            </w:pPr>
            <w:r w:rsidRPr="005A79C9">
              <w:t>2</w:t>
            </w:r>
          </w:p>
        </w:tc>
        <w:tc>
          <w:tcPr>
            <w:tcW w:w="519" w:type="dxa"/>
            <w:vAlign w:val="center"/>
          </w:tcPr>
          <w:p w14:paraId="614E5F6B" w14:textId="77777777" w:rsidR="000F5D9D" w:rsidRPr="005A79C9" w:rsidRDefault="000F5D9D" w:rsidP="007D5C0F">
            <w:pPr>
              <w:pStyle w:val="NoSpacing"/>
            </w:pPr>
            <w:r w:rsidRPr="005A79C9">
              <w:t>3</w:t>
            </w:r>
          </w:p>
        </w:tc>
        <w:tc>
          <w:tcPr>
            <w:tcW w:w="520" w:type="dxa"/>
            <w:vAlign w:val="center"/>
          </w:tcPr>
          <w:p w14:paraId="16AF834F" w14:textId="77777777" w:rsidR="000F5D9D" w:rsidRPr="005A79C9" w:rsidRDefault="000F5D9D" w:rsidP="007D5C0F">
            <w:pPr>
              <w:pStyle w:val="NoSpacing"/>
            </w:pPr>
            <w:r w:rsidRPr="005A79C9">
              <w:t>4</w:t>
            </w:r>
          </w:p>
        </w:tc>
        <w:tc>
          <w:tcPr>
            <w:tcW w:w="519" w:type="dxa"/>
            <w:vAlign w:val="center"/>
          </w:tcPr>
          <w:p w14:paraId="664D35B4" w14:textId="77777777" w:rsidR="000F5D9D" w:rsidRPr="005A79C9" w:rsidRDefault="000F5D9D" w:rsidP="007D5C0F">
            <w:pPr>
              <w:pStyle w:val="NoSpacing"/>
            </w:pPr>
            <w:r w:rsidRPr="005A79C9">
              <w:t>5</w:t>
            </w:r>
          </w:p>
        </w:tc>
        <w:tc>
          <w:tcPr>
            <w:tcW w:w="520" w:type="dxa"/>
            <w:vAlign w:val="center"/>
          </w:tcPr>
          <w:p w14:paraId="3B122996" w14:textId="77777777" w:rsidR="000F5D9D" w:rsidRPr="005A79C9" w:rsidRDefault="000F5D9D" w:rsidP="007D5C0F">
            <w:pPr>
              <w:pStyle w:val="NoSpacing"/>
            </w:pPr>
            <w:r w:rsidRPr="005A79C9">
              <w:t>6</w:t>
            </w:r>
          </w:p>
        </w:tc>
        <w:tc>
          <w:tcPr>
            <w:tcW w:w="519" w:type="dxa"/>
            <w:vAlign w:val="center"/>
          </w:tcPr>
          <w:p w14:paraId="42D2283F" w14:textId="77777777" w:rsidR="000F5D9D" w:rsidRPr="005A79C9" w:rsidRDefault="000F5D9D" w:rsidP="007D5C0F">
            <w:pPr>
              <w:pStyle w:val="NoSpacing"/>
            </w:pPr>
            <w:r w:rsidRPr="005A79C9">
              <w:t>7</w:t>
            </w:r>
          </w:p>
        </w:tc>
        <w:tc>
          <w:tcPr>
            <w:tcW w:w="520" w:type="dxa"/>
            <w:vAlign w:val="center"/>
          </w:tcPr>
          <w:p w14:paraId="135EE10A" w14:textId="77777777" w:rsidR="000F5D9D" w:rsidRPr="005A79C9" w:rsidRDefault="000F5D9D" w:rsidP="007D5C0F">
            <w:pPr>
              <w:pStyle w:val="NoSpacing"/>
            </w:pPr>
            <w:r w:rsidRPr="005A79C9">
              <w:t>8</w:t>
            </w:r>
          </w:p>
        </w:tc>
      </w:tr>
      <w:tr w:rsidR="000F5D9D" w:rsidRPr="005A79C9" w14:paraId="550E8534" w14:textId="77777777" w:rsidTr="00E22C20">
        <w:trPr>
          <w:trHeight w:val="576"/>
        </w:trPr>
        <w:tc>
          <w:tcPr>
            <w:tcW w:w="1522" w:type="dxa"/>
            <w:vAlign w:val="center"/>
          </w:tcPr>
          <w:p w14:paraId="2E2A5408" w14:textId="77777777" w:rsidR="000F5D9D" w:rsidRPr="005A79C9" w:rsidRDefault="000F5D9D" w:rsidP="007D5C0F">
            <w:pPr>
              <w:pStyle w:val="NoSpacing"/>
            </w:pPr>
            <w:r w:rsidRPr="005A79C9">
              <w:t>Literature Review</w:t>
            </w:r>
          </w:p>
        </w:tc>
        <w:tc>
          <w:tcPr>
            <w:tcW w:w="519" w:type="dxa"/>
            <w:shd w:val="clear" w:color="auto" w:fill="767171" w:themeFill="background2" w:themeFillShade="80"/>
          </w:tcPr>
          <w:p w14:paraId="28E67FF7" w14:textId="77777777" w:rsidR="000F5D9D" w:rsidRPr="005A79C9" w:rsidRDefault="000F5D9D" w:rsidP="007D5C0F">
            <w:pPr>
              <w:pStyle w:val="NoSpacing"/>
            </w:pPr>
          </w:p>
        </w:tc>
        <w:tc>
          <w:tcPr>
            <w:tcW w:w="519" w:type="dxa"/>
            <w:shd w:val="clear" w:color="auto" w:fill="767171" w:themeFill="background2" w:themeFillShade="80"/>
          </w:tcPr>
          <w:p w14:paraId="2DC7DE07" w14:textId="77777777" w:rsidR="000F5D9D" w:rsidRPr="005A79C9" w:rsidRDefault="000F5D9D" w:rsidP="007D5C0F">
            <w:pPr>
              <w:pStyle w:val="NoSpacing"/>
            </w:pPr>
          </w:p>
        </w:tc>
        <w:tc>
          <w:tcPr>
            <w:tcW w:w="520" w:type="dxa"/>
            <w:shd w:val="clear" w:color="auto" w:fill="767171" w:themeFill="background2" w:themeFillShade="80"/>
          </w:tcPr>
          <w:p w14:paraId="679D8E54" w14:textId="77777777" w:rsidR="000F5D9D" w:rsidRPr="005A79C9" w:rsidRDefault="000F5D9D" w:rsidP="007D5C0F">
            <w:pPr>
              <w:pStyle w:val="NoSpacing"/>
            </w:pPr>
          </w:p>
        </w:tc>
        <w:tc>
          <w:tcPr>
            <w:tcW w:w="519" w:type="dxa"/>
            <w:shd w:val="clear" w:color="auto" w:fill="767171" w:themeFill="background2" w:themeFillShade="80"/>
          </w:tcPr>
          <w:p w14:paraId="226A19EA" w14:textId="77777777" w:rsidR="000F5D9D" w:rsidRPr="005A79C9" w:rsidRDefault="000F5D9D" w:rsidP="007D5C0F">
            <w:pPr>
              <w:pStyle w:val="NoSpacing"/>
            </w:pPr>
          </w:p>
        </w:tc>
        <w:tc>
          <w:tcPr>
            <w:tcW w:w="520" w:type="dxa"/>
            <w:shd w:val="clear" w:color="auto" w:fill="767171" w:themeFill="background2" w:themeFillShade="80"/>
          </w:tcPr>
          <w:p w14:paraId="5B70E0FA" w14:textId="77777777" w:rsidR="000F5D9D" w:rsidRPr="005A79C9" w:rsidRDefault="000F5D9D" w:rsidP="007D5C0F">
            <w:pPr>
              <w:pStyle w:val="NoSpacing"/>
            </w:pPr>
          </w:p>
        </w:tc>
        <w:tc>
          <w:tcPr>
            <w:tcW w:w="519" w:type="dxa"/>
            <w:shd w:val="clear" w:color="auto" w:fill="767171" w:themeFill="background2" w:themeFillShade="80"/>
          </w:tcPr>
          <w:p w14:paraId="1473AECA" w14:textId="77777777" w:rsidR="000F5D9D" w:rsidRPr="005A79C9" w:rsidRDefault="000F5D9D" w:rsidP="007D5C0F">
            <w:pPr>
              <w:pStyle w:val="NoSpacing"/>
            </w:pPr>
          </w:p>
        </w:tc>
        <w:tc>
          <w:tcPr>
            <w:tcW w:w="520" w:type="dxa"/>
            <w:shd w:val="clear" w:color="auto" w:fill="767171" w:themeFill="background2" w:themeFillShade="80"/>
          </w:tcPr>
          <w:p w14:paraId="3505384D" w14:textId="77777777" w:rsidR="000F5D9D" w:rsidRPr="005A79C9" w:rsidRDefault="000F5D9D" w:rsidP="007D5C0F">
            <w:pPr>
              <w:pStyle w:val="NoSpacing"/>
            </w:pPr>
          </w:p>
        </w:tc>
        <w:tc>
          <w:tcPr>
            <w:tcW w:w="519" w:type="dxa"/>
            <w:shd w:val="clear" w:color="auto" w:fill="767171" w:themeFill="background2" w:themeFillShade="80"/>
          </w:tcPr>
          <w:p w14:paraId="244DAF4D" w14:textId="77777777" w:rsidR="000F5D9D" w:rsidRPr="005A79C9" w:rsidRDefault="000F5D9D" w:rsidP="007D5C0F">
            <w:pPr>
              <w:pStyle w:val="NoSpacing"/>
            </w:pPr>
          </w:p>
        </w:tc>
        <w:tc>
          <w:tcPr>
            <w:tcW w:w="520" w:type="dxa"/>
            <w:shd w:val="clear" w:color="auto" w:fill="767171" w:themeFill="background2" w:themeFillShade="80"/>
          </w:tcPr>
          <w:p w14:paraId="534AE1D5" w14:textId="77777777" w:rsidR="000F5D9D" w:rsidRPr="005A79C9" w:rsidRDefault="000F5D9D" w:rsidP="007D5C0F">
            <w:pPr>
              <w:pStyle w:val="NoSpacing"/>
            </w:pPr>
          </w:p>
        </w:tc>
        <w:tc>
          <w:tcPr>
            <w:tcW w:w="519" w:type="dxa"/>
            <w:shd w:val="clear" w:color="auto" w:fill="767171" w:themeFill="background2" w:themeFillShade="80"/>
          </w:tcPr>
          <w:p w14:paraId="7AC67F71" w14:textId="77777777" w:rsidR="000F5D9D" w:rsidRPr="005A79C9" w:rsidRDefault="000F5D9D" w:rsidP="007D5C0F">
            <w:pPr>
              <w:pStyle w:val="NoSpacing"/>
            </w:pPr>
          </w:p>
        </w:tc>
        <w:tc>
          <w:tcPr>
            <w:tcW w:w="520" w:type="dxa"/>
            <w:shd w:val="clear" w:color="auto" w:fill="767171" w:themeFill="background2" w:themeFillShade="80"/>
          </w:tcPr>
          <w:p w14:paraId="2C1414CD" w14:textId="77777777" w:rsidR="000F5D9D" w:rsidRPr="005A79C9" w:rsidRDefault="000F5D9D" w:rsidP="007D5C0F">
            <w:pPr>
              <w:pStyle w:val="NoSpacing"/>
            </w:pPr>
          </w:p>
        </w:tc>
        <w:tc>
          <w:tcPr>
            <w:tcW w:w="519" w:type="dxa"/>
            <w:shd w:val="clear" w:color="auto" w:fill="767171" w:themeFill="background2" w:themeFillShade="80"/>
          </w:tcPr>
          <w:p w14:paraId="196ED4F7" w14:textId="77777777" w:rsidR="000F5D9D" w:rsidRPr="005A79C9" w:rsidRDefault="000F5D9D" w:rsidP="007D5C0F">
            <w:pPr>
              <w:pStyle w:val="NoSpacing"/>
            </w:pPr>
          </w:p>
        </w:tc>
        <w:tc>
          <w:tcPr>
            <w:tcW w:w="519" w:type="dxa"/>
            <w:shd w:val="clear" w:color="auto" w:fill="767171" w:themeFill="background2" w:themeFillShade="80"/>
          </w:tcPr>
          <w:p w14:paraId="4BECCF10" w14:textId="77777777" w:rsidR="000F5D9D" w:rsidRPr="005A79C9" w:rsidRDefault="000F5D9D" w:rsidP="007D5C0F">
            <w:pPr>
              <w:pStyle w:val="NoSpacing"/>
            </w:pPr>
          </w:p>
        </w:tc>
        <w:tc>
          <w:tcPr>
            <w:tcW w:w="520" w:type="dxa"/>
            <w:shd w:val="clear" w:color="auto" w:fill="767171" w:themeFill="background2" w:themeFillShade="80"/>
          </w:tcPr>
          <w:p w14:paraId="56D06FA7" w14:textId="77777777" w:rsidR="000F5D9D" w:rsidRPr="005A79C9" w:rsidRDefault="000F5D9D" w:rsidP="007D5C0F">
            <w:pPr>
              <w:pStyle w:val="NoSpacing"/>
            </w:pPr>
          </w:p>
        </w:tc>
        <w:tc>
          <w:tcPr>
            <w:tcW w:w="519" w:type="dxa"/>
            <w:shd w:val="clear" w:color="auto" w:fill="767171" w:themeFill="background2" w:themeFillShade="80"/>
          </w:tcPr>
          <w:p w14:paraId="15584784" w14:textId="77777777" w:rsidR="000F5D9D" w:rsidRPr="005A79C9" w:rsidRDefault="000F5D9D" w:rsidP="007D5C0F">
            <w:pPr>
              <w:pStyle w:val="NoSpacing"/>
            </w:pPr>
          </w:p>
        </w:tc>
        <w:tc>
          <w:tcPr>
            <w:tcW w:w="520" w:type="dxa"/>
            <w:shd w:val="clear" w:color="auto" w:fill="767171" w:themeFill="background2" w:themeFillShade="80"/>
          </w:tcPr>
          <w:p w14:paraId="76BC515E" w14:textId="77777777" w:rsidR="000F5D9D" w:rsidRPr="005A79C9" w:rsidRDefault="000F5D9D" w:rsidP="007D5C0F">
            <w:pPr>
              <w:pStyle w:val="NoSpacing"/>
            </w:pPr>
          </w:p>
        </w:tc>
        <w:tc>
          <w:tcPr>
            <w:tcW w:w="519" w:type="dxa"/>
            <w:shd w:val="clear" w:color="auto" w:fill="767171" w:themeFill="background2" w:themeFillShade="80"/>
          </w:tcPr>
          <w:p w14:paraId="318A68C1" w14:textId="77777777" w:rsidR="000F5D9D" w:rsidRPr="005A79C9" w:rsidRDefault="000F5D9D" w:rsidP="007D5C0F">
            <w:pPr>
              <w:pStyle w:val="NoSpacing"/>
            </w:pPr>
          </w:p>
        </w:tc>
        <w:tc>
          <w:tcPr>
            <w:tcW w:w="520" w:type="dxa"/>
            <w:shd w:val="clear" w:color="auto" w:fill="767171" w:themeFill="background2" w:themeFillShade="80"/>
          </w:tcPr>
          <w:p w14:paraId="25E17348" w14:textId="77777777" w:rsidR="000F5D9D" w:rsidRPr="005A79C9" w:rsidRDefault="000F5D9D" w:rsidP="007D5C0F">
            <w:pPr>
              <w:pStyle w:val="NoSpacing"/>
            </w:pPr>
          </w:p>
        </w:tc>
        <w:tc>
          <w:tcPr>
            <w:tcW w:w="519" w:type="dxa"/>
            <w:shd w:val="clear" w:color="auto" w:fill="767171" w:themeFill="background2" w:themeFillShade="80"/>
          </w:tcPr>
          <w:p w14:paraId="5510495A" w14:textId="77777777" w:rsidR="000F5D9D" w:rsidRPr="005A79C9" w:rsidRDefault="000F5D9D" w:rsidP="007D5C0F">
            <w:pPr>
              <w:pStyle w:val="NoSpacing"/>
            </w:pPr>
          </w:p>
        </w:tc>
        <w:tc>
          <w:tcPr>
            <w:tcW w:w="520" w:type="dxa"/>
            <w:shd w:val="clear" w:color="auto" w:fill="767171" w:themeFill="background2" w:themeFillShade="80"/>
          </w:tcPr>
          <w:p w14:paraId="6CDAE460" w14:textId="77777777" w:rsidR="000F5D9D" w:rsidRPr="005A79C9" w:rsidRDefault="000F5D9D" w:rsidP="007D5C0F">
            <w:pPr>
              <w:pStyle w:val="NoSpacing"/>
            </w:pPr>
          </w:p>
        </w:tc>
        <w:tc>
          <w:tcPr>
            <w:tcW w:w="519" w:type="dxa"/>
            <w:shd w:val="clear" w:color="auto" w:fill="767171" w:themeFill="background2" w:themeFillShade="80"/>
          </w:tcPr>
          <w:p w14:paraId="2478192F" w14:textId="77777777" w:rsidR="000F5D9D" w:rsidRPr="005A79C9" w:rsidRDefault="000F5D9D" w:rsidP="007D5C0F">
            <w:pPr>
              <w:pStyle w:val="NoSpacing"/>
            </w:pPr>
          </w:p>
        </w:tc>
        <w:tc>
          <w:tcPr>
            <w:tcW w:w="520" w:type="dxa"/>
          </w:tcPr>
          <w:p w14:paraId="2E6ADF8A" w14:textId="77777777" w:rsidR="000F5D9D" w:rsidRPr="005A79C9" w:rsidRDefault="000F5D9D" w:rsidP="007D5C0F">
            <w:pPr>
              <w:pStyle w:val="NoSpacing"/>
            </w:pPr>
          </w:p>
        </w:tc>
      </w:tr>
      <w:tr w:rsidR="000F5D9D" w:rsidRPr="005A79C9" w14:paraId="1596F0C8" w14:textId="77777777" w:rsidTr="00E22C20">
        <w:trPr>
          <w:trHeight w:val="576"/>
        </w:trPr>
        <w:tc>
          <w:tcPr>
            <w:tcW w:w="1522" w:type="dxa"/>
            <w:vAlign w:val="center"/>
          </w:tcPr>
          <w:p w14:paraId="2918EE17" w14:textId="77777777" w:rsidR="000F5D9D" w:rsidRPr="005A79C9" w:rsidRDefault="000F5D9D" w:rsidP="007D5C0F">
            <w:pPr>
              <w:pStyle w:val="NoSpacing"/>
            </w:pPr>
            <w:r w:rsidRPr="005A79C9">
              <w:t>Proposal preparation</w:t>
            </w:r>
          </w:p>
        </w:tc>
        <w:tc>
          <w:tcPr>
            <w:tcW w:w="519" w:type="dxa"/>
          </w:tcPr>
          <w:p w14:paraId="3C72A5CC" w14:textId="77777777" w:rsidR="000F5D9D" w:rsidRPr="005A79C9" w:rsidRDefault="000F5D9D" w:rsidP="007D5C0F">
            <w:pPr>
              <w:pStyle w:val="NoSpacing"/>
            </w:pPr>
          </w:p>
        </w:tc>
        <w:tc>
          <w:tcPr>
            <w:tcW w:w="519" w:type="dxa"/>
            <w:shd w:val="clear" w:color="auto" w:fill="767171" w:themeFill="background2" w:themeFillShade="80"/>
          </w:tcPr>
          <w:p w14:paraId="154F5ADA" w14:textId="77777777" w:rsidR="000F5D9D" w:rsidRPr="005A79C9" w:rsidRDefault="000F5D9D" w:rsidP="007D5C0F">
            <w:pPr>
              <w:pStyle w:val="NoSpacing"/>
            </w:pPr>
          </w:p>
        </w:tc>
        <w:tc>
          <w:tcPr>
            <w:tcW w:w="520" w:type="dxa"/>
            <w:shd w:val="clear" w:color="auto" w:fill="767171" w:themeFill="background2" w:themeFillShade="80"/>
          </w:tcPr>
          <w:p w14:paraId="205D2B93" w14:textId="77777777" w:rsidR="000F5D9D" w:rsidRPr="005A79C9" w:rsidRDefault="000F5D9D" w:rsidP="007D5C0F">
            <w:pPr>
              <w:pStyle w:val="NoSpacing"/>
            </w:pPr>
          </w:p>
        </w:tc>
        <w:tc>
          <w:tcPr>
            <w:tcW w:w="519" w:type="dxa"/>
            <w:shd w:val="clear" w:color="auto" w:fill="767171" w:themeFill="background2" w:themeFillShade="80"/>
          </w:tcPr>
          <w:p w14:paraId="315D59BB" w14:textId="77777777" w:rsidR="000F5D9D" w:rsidRPr="005A79C9" w:rsidRDefault="000F5D9D" w:rsidP="007D5C0F">
            <w:pPr>
              <w:pStyle w:val="NoSpacing"/>
            </w:pPr>
          </w:p>
        </w:tc>
        <w:tc>
          <w:tcPr>
            <w:tcW w:w="520" w:type="dxa"/>
          </w:tcPr>
          <w:p w14:paraId="65481EAB" w14:textId="77777777" w:rsidR="000F5D9D" w:rsidRPr="005A79C9" w:rsidRDefault="000F5D9D" w:rsidP="007D5C0F">
            <w:pPr>
              <w:pStyle w:val="NoSpacing"/>
            </w:pPr>
          </w:p>
        </w:tc>
        <w:tc>
          <w:tcPr>
            <w:tcW w:w="519" w:type="dxa"/>
          </w:tcPr>
          <w:p w14:paraId="1ACD67C1" w14:textId="77777777" w:rsidR="000F5D9D" w:rsidRPr="005A79C9" w:rsidRDefault="000F5D9D" w:rsidP="007D5C0F">
            <w:pPr>
              <w:pStyle w:val="NoSpacing"/>
            </w:pPr>
          </w:p>
        </w:tc>
        <w:tc>
          <w:tcPr>
            <w:tcW w:w="520" w:type="dxa"/>
          </w:tcPr>
          <w:p w14:paraId="55122497" w14:textId="77777777" w:rsidR="000F5D9D" w:rsidRPr="005A79C9" w:rsidRDefault="000F5D9D" w:rsidP="007D5C0F">
            <w:pPr>
              <w:pStyle w:val="NoSpacing"/>
            </w:pPr>
          </w:p>
        </w:tc>
        <w:tc>
          <w:tcPr>
            <w:tcW w:w="519" w:type="dxa"/>
          </w:tcPr>
          <w:p w14:paraId="341287A7" w14:textId="77777777" w:rsidR="000F5D9D" w:rsidRPr="005A79C9" w:rsidRDefault="000F5D9D" w:rsidP="007D5C0F">
            <w:pPr>
              <w:pStyle w:val="NoSpacing"/>
            </w:pPr>
          </w:p>
        </w:tc>
        <w:tc>
          <w:tcPr>
            <w:tcW w:w="520" w:type="dxa"/>
          </w:tcPr>
          <w:p w14:paraId="45EAE07E" w14:textId="77777777" w:rsidR="000F5D9D" w:rsidRPr="005A79C9" w:rsidRDefault="000F5D9D" w:rsidP="007D5C0F">
            <w:pPr>
              <w:pStyle w:val="NoSpacing"/>
            </w:pPr>
          </w:p>
        </w:tc>
        <w:tc>
          <w:tcPr>
            <w:tcW w:w="519" w:type="dxa"/>
          </w:tcPr>
          <w:p w14:paraId="5EB31EE8" w14:textId="77777777" w:rsidR="000F5D9D" w:rsidRPr="005A79C9" w:rsidRDefault="000F5D9D" w:rsidP="007D5C0F">
            <w:pPr>
              <w:pStyle w:val="NoSpacing"/>
            </w:pPr>
          </w:p>
        </w:tc>
        <w:tc>
          <w:tcPr>
            <w:tcW w:w="520" w:type="dxa"/>
          </w:tcPr>
          <w:p w14:paraId="18B5A205" w14:textId="77777777" w:rsidR="000F5D9D" w:rsidRPr="005A79C9" w:rsidRDefault="000F5D9D" w:rsidP="007D5C0F">
            <w:pPr>
              <w:pStyle w:val="NoSpacing"/>
            </w:pPr>
          </w:p>
        </w:tc>
        <w:tc>
          <w:tcPr>
            <w:tcW w:w="519" w:type="dxa"/>
          </w:tcPr>
          <w:p w14:paraId="0B155756" w14:textId="77777777" w:rsidR="000F5D9D" w:rsidRPr="005A79C9" w:rsidRDefault="000F5D9D" w:rsidP="007D5C0F">
            <w:pPr>
              <w:pStyle w:val="NoSpacing"/>
            </w:pPr>
          </w:p>
        </w:tc>
        <w:tc>
          <w:tcPr>
            <w:tcW w:w="519" w:type="dxa"/>
          </w:tcPr>
          <w:p w14:paraId="4CC43696" w14:textId="77777777" w:rsidR="000F5D9D" w:rsidRPr="005A79C9" w:rsidRDefault="000F5D9D" w:rsidP="007D5C0F">
            <w:pPr>
              <w:pStyle w:val="NoSpacing"/>
            </w:pPr>
          </w:p>
        </w:tc>
        <w:tc>
          <w:tcPr>
            <w:tcW w:w="520" w:type="dxa"/>
          </w:tcPr>
          <w:p w14:paraId="1E6F091D" w14:textId="77777777" w:rsidR="000F5D9D" w:rsidRPr="005A79C9" w:rsidRDefault="000F5D9D" w:rsidP="007D5C0F">
            <w:pPr>
              <w:pStyle w:val="NoSpacing"/>
            </w:pPr>
          </w:p>
        </w:tc>
        <w:tc>
          <w:tcPr>
            <w:tcW w:w="519" w:type="dxa"/>
          </w:tcPr>
          <w:p w14:paraId="24BD513D" w14:textId="77777777" w:rsidR="000F5D9D" w:rsidRPr="005A79C9" w:rsidRDefault="000F5D9D" w:rsidP="007D5C0F">
            <w:pPr>
              <w:pStyle w:val="NoSpacing"/>
            </w:pPr>
          </w:p>
        </w:tc>
        <w:tc>
          <w:tcPr>
            <w:tcW w:w="520" w:type="dxa"/>
          </w:tcPr>
          <w:p w14:paraId="0DE25161" w14:textId="77777777" w:rsidR="000F5D9D" w:rsidRPr="005A79C9" w:rsidRDefault="000F5D9D" w:rsidP="007D5C0F">
            <w:pPr>
              <w:pStyle w:val="NoSpacing"/>
            </w:pPr>
          </w:p>
        </w:tc>
        <w:tc>
          <w:tcPr>
            <w:tcW w:w="519" w:type="dxa"/>
          </w:tcPr>
          <w:p w14:paraId="3E589CE7" w14:textId="77777777" w:rsidR="000F5D9D" w:rsidRPr="005A79C9" w:rsidRDefault="000F5D9D" w:rsidP="007D5C0F">
            <w:pPr>
              <w:pStyle w:val="NoSpacing"/>
            </w:pPr>
          </w:p>
        </w:tc>
        <w:tc>
          <w:tcPr>
            <w:tcW w:w="520" w:type="dxa"/>
          </w:tcPr>
          <w:p w14:paraId="68881944" w14:textId="77777777" w:rsidR="000F5D9D" w:rsidRPr="005A79C9" w:rsidRDefault="000F5D9D" w:rsidP="007D5C0F">
            <w:pPr>
              <w:pStyle w:val="NoSpacing"/>
            </w:pPr>
          </w:p>
        </w:tc>
        <w:tc>
          <w:tcPr>
            <w:tcW w:w="519" w:type="dxa"/>
          </w:tcPr>
          <w:p w14:paraId="483E2D41" w14:textId="77777777" w:rsidR="000F5D9D" w:rsidRPr="005A79C9" w:rsidRDefault="000F5D9D" w:rsidP="007D5C0F">
            <w:pPr>
              <w:pStyle w:val="NoSpacing"/>
            </w:pPr>
          </w:p>
        </w:tc>
        <w:tc>
          <w:tcPr>
            <w:tcW w:w="520" w:type="dxa"/>
          </w:tcPr>
          <w:p w14:paraId="145AF181" w14:textId="77777777" w:rsidR="000F5D9D" w:rsidRPr="005A79C9" w:rsidRDefault="000F5D9D" w:rsidP="007D5C0F">
            <w:pPr>
              <w:pStyle w:val="NoSpacing"/>
            </w:pPr>
          </w:p>
        </w:tc>
        <w:tc>
          <w:tcPr>
            <w:tcW w:w="519" w:type="dxa"/>
          </w:tcPr>
          <w:p w14:paraId="7FEFA200" w14:textId="77777777" w:rsidR="000F5D9D" w:rsidRPr="005A79C9" w:rsidRDefault="000F5D9D" w:rsidP="007D5C0F">
            <w:pPr>
              <w:pStyle w:val="NoSpacing"/>
            </w:pPr>
          </w:p>
        </w:tc>
        <w:tc>
          <w:tcPr>
            <w:tcW w:w="520" w:type="dxa"/>
          </w:tcPr>
          <w:p w14:paraId="2726C66C" w14:textId="77777777" w:rsidR="000F5D9D" w:rsidRPr="005A79C9" w:rsidRDefault="000F5D9D" w:rsidP="007D5C0F">
            <w:pPr>
              <w:pStyle w:val="NoSpacing"/>
            </w:pPr>
          </w:p>
        </w:tc>
      </w:tr>
      <w:tr w:rsidR="000F5D9D" w:rsidRPr="005A79C9" w14:paraId="02C854A9" w14:textId="77777777" w:rsidTr="00E22C20">
        <w:trPr>
          <w:trHeight w:val="576"/>
        </w:trPr>
        <w:tc>
          <w:tcPr>
            <w:tcW w:w="1522" w:type="dxa"/>
            <w:vAlign w:val="center"/>
          </w:tcPr>
          <w:p w14:paraId="5A9FF070" w14:textId="77777777" w:rsidR="000F5D9D" w:rsidRPr="005A79C9" w:rsidRDefault="000F5D9D" w:rsidP="007D5C0F">
            <w:pPr>
              <w:pStyle w:val="NoSpacing"/>
            </w:pPr>
            <w:r w:rsidRPr="005A79C9">
              <w:t xml:space="preserve">Research proposal </w:t>
            </w:r>
            <w:proofErr w:type="spellStart"/>
            <w:r w:rsidRPr="005A79C9">
              <w:t>defense</w:t>
            </w:r>
            <w:proofErr w:type="spellEnd"/>
          </w:p>
        </w:tc>
        <w:tc>
          <w:tcPr>
            <w:tcW w:w="519" w:type="dxa"/>
          </w:tcPr>
          <w:p w14:paraId="44D7D2FA" w14:textId="77777777" w:rsidR="000F5D9D" w:rsidRPr="005A79C9" w:rsidRDefault="000F5D9D" w:rsidP="007D5C0F">
            <w:pPr>
              <w:pStyle w:val="NoSpacing"/>
            </w:pPr>
          </w:p>
        </w:tc>
        <w:tc>
          <w:tcPr>
            <w:tcW w:w="519" w:type="dxa"/>
          </w:tcPr>
          <w:p w14:paraId="26C595F1" w14:textId="77777777" w:rsidR="000F5D9D" w:rsidRPr="005A79C9" w:rsidRDefault="000F5D9D" w:rsidP="007D5C0F">
            <w:pPr>
              <w:pStyle w:val="NoSpacing"/>
            </w:pPr>
          </w:p>
        </w:tc>
        <w:tc>
          <w:tcPr>
            <w:tcW w:w="520" w:type="dxa"/>
          </w:tcPr>
          <w:p w14:paraId="0515FF38" w14:textId="77777777" w:rsidR="000F5D9D" w:rsidRPr="005A79C9" w:rsidRDefault="000F5D9D" w:rsidP="007D5C0F">
            <w:pPr>
              <w:pStyle w:val="NoSpacing"/>
            </w:pPr>
          </w:p>
        </w:tc>
        <w:tc>
          <w:tcPr>
            <w:tcW w:w="519" w:type="dxa"/>
          </w:tcPr>
          <w:p w14:paraId="37ECB174" w14:textId="77777777" w:rsidR="000F5D9D" w:rsidRPr="005A79C9" w:rsidRDefault="000F5D9D" w:rsidP="007D5C0F">
            <w:pPr>
              <w:pStyle w:val="NoSpacing"/>
            </w:pPr>
          </w:p>
        </w:tc>
        <w:tc>
          <w:tcPr>
            <w:tcW w:w="520" w:type="dxa"/>
            <w:shd w:val="clear" w:color="auto" w:fill="767171" w:themeFill="background2" w:themeFillShade="80"/>
          </w:tcPr>
          <w:p w14:paraId="0E608C21" w14:textId="77777777" w:rsidR="000F5D9D" w:rsidRPr="005A79C9" w:rsidRDefault="000F5D9D" w:rsidP="007D5C0F">
            <w:pPr>
              <w:pStyle w:val="NoSpacing"/>
            </w:pPr>
          </w:p>
        </w:tc>
        <w:tc>
          <w:tcPr>
            <w:tcW w:w="519" w:type="dxa"/>
          </w:tcPr>
          <w:p w14:paraId="28EC916D" w14:textId="77777777" w:rsidR="000F5D9D" w:rsidRPr="005A79C9" w:rsidRDefault="000F5D9D" w:rsidP="007D5C0F">
            <w:pPr>
              <w:pStyle w:val="NoSpacing"/>
            </w:pPr>
          </w:p>
        </w:tc>
        <w:tc>
          <w:tcPr>
            <w:tcW w:w="520" w:type="dxa"/>
          </w:tcPr>
          <w:p w14:paraId="1693C85C" w14:textId="77777777" w:rsidR="000F5D9D" w:rsidRPr="005A79C9" w:rsidRDefault="000F5D9D" w:rsidP="007D5C0F">
            <w:pPr>
              <w:pStyle w:val="NoSpacing"/>
            </w:pPr>
          </w:p>
        </w:tc>
        <w:tc>
          <w:tcPr>
            <w:tcW w:w="519" w:type="dxa"/>
          </w:tcPr>
          <w:p w14:paraId="3E7A2905" w14:textId="77777777" w:rsidR="000F5D9D" w:rsidRPr="005A79C9" w:rsidRDefault="000F5D9D" w:rsidP="007D5C0F">
            <w:pPr>
              <w:pStyle w:val="NoSpacing"/>
            </w:pPr>
          </w:p>
        </w:tc>
        <w:tc>
          <w:tcPr>
            <w:tcW w:w="520" w:type="dxa"/>
          </w:tcPr>
          <w:p w14:paraId="6F84761C" w14:textId="77777777" w:rsidR="000F5D9D" w:rsidRPr="005A79C9" w:rsidRDefault="000F5D9D" w:rsidP="007D5C0F">
            <w:pPr>
              <w:pStyle w:val="NoSpacing"/>
            </w:pPr>
          </w:p>
        </w:tc>
        <w:tc>
          <w:tcPr>
            <w:tcW w:w="519" w:type="dxa"/>
          </w:tcPr>
          <w:p w14:paraId="47B41372" w14:textId="77777777" w:rsidR="000F5D9D" w:rsidRPr="005A79C9" w:rsidRDefault="000F5D9D" w:rsidP="007D5C0F">
            <w:pPr>
              <w:pStyle w:val="NoSpacing"/>
            </w:pPr>
          </w:p>
        </w:tc>
        <w:tc>
          <w:tcPr>
            <w:tcW w:w="520" w:type="dxa"/>
          </w:tcPr>
          <w:p w14:paraId="625ADF3E" w14:textId="77777777" w:rsidR="000F5D9D" w:rsidRPr="005A79C9" w:rsidRDefault="000F5D9D" w:rsidP="007D5C0F">
            <w:pPr>
              <w:pStyle w:val="NoSpacing"/>
            </w:pPr>
          </w:p>
        </w:tc>
        <w:tc>
          <w:tcPr>
            <w:tcW w:w="519" w:type="dxa"/>
          </w:tcPr>
          <w:p w14:paraId="53333DC4" w14:textId="77777777" w:rsidR="000F5D9D" w:rsidRPr="005A79C9" w:rsidRDefault="000F5D9D" w:rsidP="007D5C0F">
            <w:pPr>
              <w:pStyle w:val="NoSpacing"/>
            </w:pPr>
          </w:p>
        </w:tc>
        <w:tc>
          <w:tcPr>
            <w:tcW w:w="519" w:type="dxa"/>
          </w:tcPr>
          <w:p w14:paraId="6FD565C9" w14:textId="77777777" w:rsidR="000F5D9D" w:rsidRPr="005A79C9" w:rsidRDefault="000F5D9D" w:rsidP="007D5C0F">
            <w:pPr>
              <w:pStyle w:val="NoSpacing"/>
            </w:pPr>
          </w:p>
        </w:tc>
        <w:tc>
          <w:tcPr>
            <w:tcW w:w="520" w:type="dxa"/>
          </w:tcPr>
          <w:p w14:paraId="68AECB33" w14:textId="77777777" w:rsidR="000F5D9D" w:rsidRPr="005A79C9" w:rsidRDefault="000F5D9D" w:rsidP="007D5C0F">
            <w:pPr>
              <w:pStyle w:val="NoSpacing"/>
            </w:pPr>
          </w:p>
        </w:tc>
        <w:tc>
          <w:tcPr>
            <w:tcW w:w="519" w:type="dxa"/>
          </w:tcPr>
          <w:p w14:paraId="14B6550C" w14:textId="77777777" w:rsidR="000F5D9D" w:rsidRPr="005A79C9" w:rsidRDefault="000F5D9D" w:rsidP="007D5C0F">
            <w:pPr>
              <w:pStyle w:val="NoSpacing"/>
            </w:pPr>
          </w:p>
        </w:tc>
        <w:tc>
          <w:tcPr>
            <w:tcW w:w="520" w:type="dxa"/>
          </w:tcPr>
          <w:p w14:paraId="31E967F4" w14:textId="77777777" w:rsidR="000F5D9D" w:rsidRPr="005A79C9" w:rsidRDefault="000F5D9D" w:rsidP="007D5C0F">
            <w:pPr>
              <w:pStyle w:val="NoSpacing"/>
            </w:pPr>
          </w:p>
        </w:tc>
        <w:tc>
          <w:tcPr>
            <w:tcW w:w="519" w:type="dxa"/>
          </w:tcPr>
          <w:p w14:paraId="6245D720" w14:textId="77777777" w:rsidR="000F5D9D" w:rsidRPr="005A79C9" w:rsidRDefault="000F5D9D" w:rsidP="007D5C0F">
            <w:pPr>
              <w:pStyle w:val="NoSpacing"/>
            </w:pPr>
          </w:p>
        </w:tc>
        <w:tc>
          <w:tcPr>
            <w:tcW w:w="520" w:type="dxa"/>
          </w:tcPr>
          <w:p w14:paraId="2C5ADE83" w14:textId="77777777" w:rsidR="000F5D9D" w:rsidRPr="005A79C9" w:rsidRDefault="000F5D9D" w:rsidP="007D5C0F">
            <w:pPr>
              <w:pStyle w:val="NoSpacing"/>
            </w:pPr>
          </w:p>
        </w:tc>
        <w:tc>
          <w:tcPr>
            <w:tcW w:w="519" w:type="dxa"/>
          </w:tcPr>
          <w:p w14:paraId="3517130B" w14:textId="77777777" w:rsidR="000F5D9D" w:rsidRPr="005A79C9" w:rsidRDefault="000F5D9D" w:rsidP="007D5C0F">
            <w:pPr>
              <w:pStyle w:val="NoSpacing"/>
            </w:pPr>
          </w:p>
        </w:tc>
        <w:tc>
          <w:tcPr>
            <w:tcW w:w="520" w:type="dxa"/>
          </w:tcPr>
          <w:p w14:paraId="51426376" w14:textId="77777777" w:rsidR="000F5D9D" w:rsidRPr="005A79C9" w:rsidRDefault="000F5D9D" w:rsidP="007D5C0F">
            <w:pPr>
              <w:pStyle w:val="NoSpacing"/>
            </w:pPr>
          </w:p>
        </w:tc>
        <w:tc>
          <w:tcPr>
            <w:tcW w:w="519" w:type="dxa"/>
          </w:tcPr>
          <w:p w14:paraId="7AEE973B" w14:textId="77777777" w:rsidR="000F5D9D" w:rsidRPr="005A79C9" w:rsidRDefault="000F5D9D" w:rsidP="007D5C0F">
            <w:pPr>
              <w:pStyle w:val="NoSpacing"/>
            </w:pPr>
          </w:p>
        </w:tc>
        <w:tc>
          <w:tcPr>
            <w:tcW w:w="520" w:type="dxa"/>
          </w:tcPr>
          <w:p w14:paraId="2E2CABD2" w14:textId="77777777" w:rsidR="000F5D9D" w:rsidRPr="005A79C9" w:rsidRDefault="000F5D9D" w:rsidP="007D5C0F">
            <w:pPr>
              <w:pStyle w:val="NoSpacing"/>
            </w:pPr>
          </w:p>
        </w:tc>
      </w:tr>
      <w:tr w:rsidR="000F5D9D" w:rsidRPr="005A79C9" w14:paraId="23566050" w14:textId="77777777" w:rsidTr="00E22C20">
        <w:trPr>
          <w:trHeight w:val="576"/>
        </w:trPr>
        <w:tc>
          <w:tcPr>
            <w:tcW w:w="1522" w:type="dxa"/>
            <w:vAlign w:val="center"/>
          </w:tcPr>
          <w:p w14:paraId="5A6481CD" w14:textId="77777777" w:rsidR="000F5D9D" w:rsidRPr="005A79C9" w:rsidRDefault="000F5D9D" w:rsidP="007D5C0F">
            <w:pPr>
              <w:pStyle w:val="NoSpacing"/>
            </w:pPr>
            <w:r w:rsidRPr="005A79C9">
              <w:t>Ethics application</w:t>
            </w:r>
          </w:p>
        </w:tc>
        <w:tc>
          <w:tcPr>
            <w:tcW w:w="519" w:type="dxa"/>
          </w:tcPr>
          <w:p w14:paraId="5CD48E55" w14:textId="77777777" w:rsidR="000F5D9D" w:rsidRPr="005A79C9" w:rsidRDefault="000F5D9D" w:rsidP="007D5C0F">
            <w:pPr>
              <w:pStyle w:val="NoSpacing"/>
            </w:pPr>
          </w:p>
        </w:tc>
        <w:tc>
          <w:tcPr>
            <w:tcW w:w="519" w:type="dxa"/>
          </w:tcPr>
          <w:p w14:paraId="61654332" w14:textId="77777777" w:rsidR="000F5D9D" w:rsidRPr="005A79C9" w:rsidRDefault="000F5D9D" w:rsidP="007D5C0F">
            <w:pPr>
              <w:pStyle w:val="NoSpacing"/>
            </w:pPr>
          </w:p>
        </w:tc>
        <w:tc>
          <w:tcPr>
            <w:tcW w:w="520" w:type="dxa"/>
          </w:tcPr>
          <w:p w14:paraId="04CFB9B9" w14:textId="77777777" w:rsidR="000F5D9D" w:rsidRPr="005A79C9" w:rsidRDefault="000F5D9D" w:rsidP="007D5C0F">
            <w:pPr>
              <w:pStyle w:val="NoSpacing"/>
            </w:pPr>
          </w:p>
        </w:tc>
        <w:tc>
          <w:tcPr>
            <w:tcW w:w="519" w:type="dxa"/>
          </w:tcPr>
          <w:p w14:paraId="3014988B" w14:textId="77777777" w:rsidR="000F5D9D" w:rsidRPr="005A79C9" w:rsidRDefault="000F5D9D" w:rsidP="007D5C0F">
            <w:pPr>
              <w:pStyle w:val="NoSpacing"/>
            </w:pPr>
          </w:p>
        </w:tc>
        <w:tc>
          <w:tcPr>
            <w:tcW w:w="520" w:type="dxa"/>
          </w:tcPr>
          <w:p w14:paraId="212CD807" w14:textId="77777777" w:rsidR="000F5D9D" w:rsidRPr="005A79C9" w:rsidRDefault="000F5D9D" w:rsidP="007D5C0F">
            <w:pPr>
              <w:pStyle w:val="NoSpacing"/>
            </w:pPr>
          </w:p>
        </w:tc>
        <w:tc>
          <w:tcPr>
            <w:tcW w:w="519" w:type="dxa"/>
            <w:shd w:val="clear" w:color="auto" w:fill="767171" w:themeFill="background2" w:themeFillShade="80"/>
          </w:tcPr>
          <w:p w14:paraId="50683B9D" w14:textId="77777777" w:rsidR="000F5D9D" w:rsidRPr="005A79C9" w:rsidRDefault="000F5D9D" w:rsidP="007D5C0F">
            <w:pPr>
              <w:pStyle w:val="NoSpacing"/>
            </w:pPr>
          </w:p>
        </w:tc>
        <w:tc>
          <w:tcPr>
            <w:tcW w:w="520" w:type="dxa"/>
            <w:shd w:val="clear" w:color="auto" w:fill="767171" w:themeFill="background2" w:themeFillShade="80"/>
          </w:tcPr>
          <w:p w14:paraId="49C3E348" w14:textId="77777777" w:rsidR="000F5D9D" w:rsidRPr="005A79C9" w:rsidRDefault="000F5D9D" w:rsidP="007D5C0F">
            <w:pPr>
              <w:pStyle w:val="NoSpacing"/>
            </w:pPr>
          </w:p>
        </w:tc>
        <w:tc>
          <w:tcPr>
            <w:tcW w:w="519" w:type="dxa"/>
            <w:shd w:val="clear" w:color="auto" w:fill="767171" w:themeFill="background2" w:themeFillShade="80"/>
          </w:tcPr>
          <w:p w14:paraId="7AF3148C" w14:textId="77777777" w:rsidR="000F5D9D" w:rsidRPr="005A79C9" w:rsidRDefault="000F5D9D" w:rsidP="007D5C0F">
            <w:pPr>
              <w:pStyle w:val="NoSpacing"/>
            </w:pPr>
          </w:p>
        </w:tc>
        <w:tc>
          <w:tcPr>
            <w:tcW w:w="520" w:type="dxa"/>
          </w:tcPr>
          <w:p w14:paraId="5A68456E" w14:textId="77777777" w:rsidR="000F5D9D" w:rsidRPr="005A79C9" w:rsidRDefault="000F5D9D" w:rsidP="007D5C0F">
            <w:pPr>
              <w:pStyle w:val="NoSpacing"/>
            </w:pPr>
          </w:p>
        </w:tc>
        <w:tc>
          <w:tcPr>
            <w:tcW w:w="519" w:type="dxa"/>
          </w:tcPr>
          <w:p w14:paraId="6D3C6F7D" w14:textId="77777777" w:rsidR="000F5D9D" w:rsidRPr="005A79C9" w:rsidRDefault="000F5D9D" w:rsidP="007D5C0F">
            <w:pPr>
              <w:pStyle w:val="NoSpacing"/>
            </w:pPr>
          </w:p>
        </w:tc>
        <w:tc>
          <w:tcPr>
            <w:tcW w:w="520" w:type="dxa"/>
          </w:tcPr>
          <w:p w14:paraId="428E0925" w14:textId="77777777" w:rsidR="000F5D9D" w:rsidRPr="005A79C9" w:rsidRDefault="000F5D9D" w:rsidP="007D5C0F">
            <w:pPr>
              <w:pStyle w:val="NoSpacing"/>
            </w:pPr>
          </w:p>
        </w:tc>
        <w:tc>
          <w:tcPr>
            <w:tcW w:w="519" w:type="dxa"/>
          </w:tcPr>
          <w:p w14:paraId="5E01984C" w14:textId="77777777" w:rsidR="000F5D9D" w:rsidRPr="005A79C9" w:rsidRDefault="000F5D9D" w:rsidP="007D5C0F">
            <w:pPr>
              <w:pStyle w:val="NoSpacing"/>
            </w:pPr>
          </w:p>
        </w:tc>
        <w:tc>
          <w:tcPr>
            <w:tcW w:w="519" w:type="dxa"/>
          </w:tcPr>
          <w:p w14:paraId="7E3C7CDD" w14:textId="77777777" w:rsidR="000F5D9D" w:rsidRPr="005A79C9" w:rsidRDefault="000F5D9D" w:rsidP="007D5C0F">
            <w:pPr>
              <w:pStyle w:val="NoSpacing"/>
            </w:pPr>
          </w:p>
        </w:tc>
        <w:tc>
          <w:tcPr>
            <w:tcW w:w="520" w:type="dxa"/>
          </w:tcPr>
          <w:p w14:paraId="718F21A5" w14:textId="77777777" w:rsidR="000F5D9D" w:rsidRPr="005A79C9" w:rsidRDefault="000F5D9D" w:rsidP="007D5C0F">
            <w:pPr>
              <w:pStyle w:val="NoSpacing"/>
            </w:pPr>
          </w:p>
        </w:tc>
        <w:tc>
          <w:tcPr>
            <w:tcW w:w="519" w:type="dxa"/>
          </w:tcPr>
          <w:p w14:paraId="1B0A9E6C" w14:textId="77777777" w:rsidR="000F5D9D" w:rsidRPr="005A79C9" w:rsidRDefault="000F5D9D" w:rsidP="007D5C0F">
            <w:pPr>
              <w:pStyle w:val="NoSpacing"/>
            </w:pPr>
          </w:p>
        </w:tc>
        <w:tc>
          <w:tcPr>
            <w:tcW w:w="520" w:type="dxa"/>
          </w:tcPr>
          <w:p w14:paraId="016C42DF" w14:textId="77777777" w:rsidR="000F5D9D" w:rsidRPr="005A79C9" w:rsidRDefault="000F5D9D" w:rsidP="007D5C0F">
            <w:pPr>
              <w:pStyle w:val="NoSpacing"/>
            </w:pPr>
          </w:p>
        </w:tc>
        <w:tc>
          <w:tcPr>
            <w:tcW w:w="519" w:type="dxa"/>
          </w:tcPr>
          <w:p w14:paraId="314E09E1" w14:textId="77777777" w:rsidR="000F5D9D" w:rsidRPr="005A79C9" w:rsidRDefault="000F5D9D" w:rsidP="007D5C0F">
            <w:pPr>
              <w:pStyle w:val="NoSpacing"/>
            </w:pPr>
          </w:p>
        </w:tc>
        <w:tc>
          <w:tcPr>
            <w:tcW w:w="520" w:type="dxa"/>
          </w:tcPr>
          <w:p w14:paraId="19DDBE4E" w14:textId="77777777" w:rsidR="000F5D9D" w:rsidRPr="005A79C9" w:rsidRDefault="000F5D9D" w:rsidP="007D5C0F">
            <w:pPr>
              <w:pStyle w:val="NoSpacing"/>
            </w:pPr>
          </w:p>
        </w:tc>
        <w:tc>
          <w:tcPr>
            <w:tcW w:w="519" w:type="dxa"/>
          </w:tcPr>
          <w:p w14:paraId="6ADA72D7" w14:textId="77777777" w:rsidR="000F5D9D" w:rsidRPr="005A79C9" w:rsidRDefault="000F5D9D" w:rsidP="007D5C0F">
            <w:pPr>
              <w:pStyle w:val="NoSpacing"/>
            </w:pPr>
          </w:p>
        </w:tc>
        <w:tc>
          <w:tcPr>
            <w:tcW w:w="520" w:type="dxa"/>
          </w:tcPr>
          <w:p w14:paraId="597482A6" w14:textId="77777777" w:rsidR="000F5D9D" w:rsidRPr="005A79C9" w:rsidRDefault="000F5D9D" w:rsidP="007D5C0F">
            <w:pPr>
              <w:pStyle w:val="NoSpacing"/>
            </w:pPr>
          </w:p>
        </w:tc>
        <w:tc>
          <w:tcPr>
            <w:tcW w:w="519" w:type="dxa"/>
          </w:tcPr>
          <w:p w14:paraId="65C5091F" w14:textId="77777777" w:rsidR="000F5D9D" w:rsidRPr="005A79C9" w:rsidRDefault="000F5D9D" w:rsidP="007D5C0F">
            <w:pPr>
              <w:pStyle w:val="NoSpacing"/>
            </w:pPr>
          </w:p>
        </w:tc>
        <w:tc>
          <w:tcPr>
            <w:tcW w:w="520" w:type="dxa"/>
          </w:tcPr>
          <w:p w14:paraId="52FBDCE7" w14:textId="77777777" w:rsidR="000F5D9D" w:rsidRPr="005A79C9" w:rsidRDefault="000F5D9D" w:rsidP="007D5C0F">
            <w:pPr>
              <w:pStyle w:val="NoSpacing"/>
            </w:pPr>
          </w:p>
        </w:tc>
      </w:tr>
      <w:tr w:rsidR="000F5D9D" w:rsidRPr="005A79C9" w14:paraId="456B3F13" w14:textId="77777777" w:rsidTr="007D5C0F">
        <w:trPr>
          <w:trHeight w:val="576"/>
        </w:trPr>
        <w:tc>
          <w:tcPr>
            <w:tcW w:w="1522" w:type="dxa"/>
            <w:vAlign w:val="center"/>
          </w:tcPr>
          <w:p w14:paraId="43B9A119" w14:textId="77777777" w:rsidR="000F5D9D" w:rsidRPr="005A79C9" w:rsidRDefault="000F5D9D" w:rsidP="007D5C0F">
            <w:pPr>
              <w:pStyle w:val="NoSpacing"/>
            </w:pPr>
            <w:r w:rsidRPr="005A79C9">
              <w:t>Data collection</w:t>
            </w:r>
          </w:p>
        </w:tc>
        <w:tc>
          <w:tcPr>
            <w:tcW w:w="519" w:type="dxa"/>
          </w:tcPr>
          <w:p w14:paraId="43661339" w14:textId="77777777" w:rsidR="000F5D9D" w:rsidRPr="005A79C9" w:rsidRDefault="000F5D9D" w:rsidP="007D5C0F">
            <w:pPr>
              <w:pStyle w:val="NoSpacing"/>
            </w:pPr>
          </w:p>
        </w:tc>
        <w:tc>
          <w:tcPr>
            <w:tcW w:w="519" w:type="dxa"/>
          </w:tcPr>
          <w:p w14:paraId="3DFC5510" w14:textId="77777777" w:rsidR="000F5D9D" w:rsidRPr="005A79C9" w:rsidRDefault="000F5D9D" w:rsidP="007D5C0F">
            <w:pPr>
              <w:pStyle w:val="NoSpacing"/>
            </w:pPr>
          </w:p>
        </w:tc>
        <w:tc>
          <w:tcPr>
            <w:tcW w:w="520" w:type="dxa"/>
          </w:tcPr>
          <w:p w14:paraId="14581B1C" w14:textId="77777777" w:rsidR="000F5D9D" w:rsidRPr="005A79C9" w:rsidRDefault="000F5D9D" w:rsidP="007D5C0F">
            <w:pPr>
              <w:pStyle w:val="NoSpacing"/>
            </w:pPr>
          </w:p>
        </w:tc>
        <w:tc>
          <w:tcPr>
            <w:tcW w:w="519" w:type="dxa"/>
          </w:tcPr>
          <w:p w14:paraId="1314C1EA" w14:textId="77777777" w:rsidR="000F5D9D" w:rsidRPr="005A79C9" w:rsidRDefault="000F5D9D" w:rsidP="007D5C0F">
            <w:pPr>
              <w:pStyle w:val="NoSpacing"/>
            </w:pPr>
          </w:p>
        </w:tc>
        <w:tc>
          <w:tcPr>
            <w:tcW w:w="520" w:type="dxa"/>
          </w:tcPr>
          <w:p w14:paraId="1E5FDF17" w14:textId="77777777" w:rsidR="000F5D9D" w:rsidRPr="005A79C9" w:rsidRDefault="000F5D9D" w:rsidP="007D5C0F">
            <w:pPr>
              <w:pStyle w:val="NoSpacing"/>
            </w:pPr>
          </w:p>
        </w:tc>
        <w:tc>
          <w:tcPr>
            <w:tcW w:w="519" w:type="dxa"/>
          </w:tcPr>
          <w:p w14:paraId="5EFE27DB" w14:textId="77777777" w:rsidR="000F5D9D" w:rsidRPr="005A79C9" w:rsidRDefault="000F5D9D" w:rsidP="007D5C0F">
            <w:pPr>
              <w:pStyle w:val="NoSpacing"/>
            </w:pPr>
          </w:p>
        </w:tc>
        <w:tc>
          <w:tcPr>
            <w:tcW w:w="520" w:type="dxa"/>
          </w:tcPr>
          <w:p w14:paraId="574BE6BB" w14:textId="77777777" w:rsidR="000F5D9D" w:rsidRPr="005A79C9" w:rsidRDefault="000F5D9D" w:rsidP="007D5C0F">
            <w:pPr>
              <w:pStyle w:val="NoSpacing"/>
            </w:pPr>
          </w:p>
        </w:tc>
        <w:tc>
          <w:tcPr>
            <w:tcW w:w="519" w:type="dxa"/>
          </w:tcPr>
          <w:p w14:paraId="15DF7C89" w14:textId="77777777" w:rsidR="000F5D9D" w:rsidRPr="005A79C9" w:rsidRDefault="000F5D9D" w:rsidP="007D5C0F">
            <w:pPr>
              <w:pStyle w:val="NoSpacing"/>
            </w:pPr>
          </w:p>
        </w:tc>
        <w:tc>
          <w:tcPr>
            <w:tcW w:w="520" w:type="dxa"/>
            <w:shd w:val="clear" w:color="auto" w:fill="767171" w:themeFill="background2" w:themeFillShade="80"/>
          </w:tcPr>
          <w:p w14:paraId="39B95D20" w14:textId="77777777" w:rsidR="000F5D9D" w:rsidRPr="005A79C9" w:rsidRDefault="000F5D9D" w:rsidP="007D5C0F">
            <w:pPr>
              <w:pStyle w:val="NoSpacing"/>
            </w:pPr>
          </w:p>
        </w:tc>
        <w:tc>
          <w:tcPr>
            <w:tcW w:w="519" w:type="dxa"/>
            <w:shd w:val="clear" w:color="auto" w:fill="767171" w:themeFill="background2" w:themeFillShade="80"/>
          </w:tcPr>
          <w:p w14:paraId="173667CC" w14:textId="77777777" w:rsidR="000F5D9D" w:rsidRPr="005A79C9" w:rsidRDefault="000F5D9D" w:rsidP="007D5C0F">
            <w:pPr>
              <w:pStyle w:val="NoSpacing"/>
            </w:pPr>
          </w:p>
        </w:tc>
        <w:tc>
          <w:tcPr>
            <w:tcW w:w="520" w:type="dxa"/>
            <w:shd w:val="clear" w:color="auto" w:fill="767171" w:themeFill="background2" w:themeFillShade="80"/>
          </w:tcPr>
          <w:p w14:paraId="1D38C86A" w14:textId="77777777" w:rsidR="000F5D9D" w:rsidRPr="005A79C9" w:rsidRDefault="000F5D9D" w:rsidP="007D5C0F">
            <w:pPr>
              <w:pStyle w:val="NoSpacing"/>
            </w:pPr>
          </w:p>
        </w:tc>
        <w:tc>
          <w:tcPr>
            <w:tcW w:w="519" w:type="dxa"/>
            <w:shd w:val="clear" w:color="auto" w:fill="767171" w:themeFill="background2" w:themeFillShade="80"/>
          </w:tcPr>
          <w:p w14:paraId="266D530A" w14:textId="77777777" w:rsidR="000F5D9D" w:rsidRPr="005A79C9" w:rsidRDefault="000F5D9D" w:rsidP="007D5C0F">
            <w:pPr>
              <w:pStyle w:val="NoSpacing"/>
            </w:pPr>
          </w:p>
        </w:tc>
        <w:tc>
          <w:tcPr>
            <w:tcW w:w="519" w:type="dxa"/>
            <w:shd w:val="clear" w:color="auto" w:fill="767171" w:themeFill="background2" w:themeFillShade="80"/>
          </w:tcPr>
          <w:p w14:paraId="4B1779E1" w14:textId="77777777" w:rsidR="000F5D9D" w:rsidRPr="005A79C9" w:rsidRDefault="000F5D9D" w:rsidP="007D5C0F">
            <w:pPr>
              <w:pStyle w:val="NoSpacing"/>
            </w:pPr>
          </w:p>
        </w:tc>
        <w:tc>
          <w:tcPr>
            <w:tcW w:w="520" w:type="dxa"/>
            <w:shd w:val="clear" w:color="auto" w:fill="767171" w:themeFill="background2" w:themeFillShade="80"/>
          </w:tcPr>
          <w:p w14:paraId="5EAB7F02" w14:textId="77777777" w:rsidR="000F5D9D" w:rsidRPr="005A79C9" w:rsidRDefault="000F5D9D" w:rsidP="007D5C0F">
            <w:pPr>
              <w:pStyle w:val="NoSpacing"/>
            </w:pPr>
          </w:p>
        </w:tc>
        <w:tc>
          <w:tcPr>
            <w:tcW w:w="519" w:type="dxa"/>
            <w:shd w:val="clear" w:color="auto" w:fill="767171" w:themeFill="background2" w:themeFillShade="80"/>
          </w:tcPr>
          <w:p w14:paraId="74345A7F" w14:textId="77777777" w:rsidR="000F5D9D" w:rsidRPr="005A79C9" w:rsidRDefault="000F5D9D" w:rsidP="007D5C0F">
            <w:pPr>
              <w:pStyle w:val="NoSpacing"/>
            </w:pPr>
          </w:p>
        </w:tc>
        <w:tc>
          <w:tcPr>
            <w:tcW w:w="520" w:type="dxa"/>
            <w:shd w:val="clear" w:color="auto" w:fill="auto"/>
          </w:tcPr>
          <w:p w14:paraId="1780B41F" w14:textId="77777777" w:rsidR="000F5D9D" w:rsidRPr="005A79C9" w:rsidRDefault="000F5D9D" w:rsidP="007D5C0F">
            <w:pPr>
              <w:pStyle w:val="NoSpacing"/>
            </w:pPr>
          </w:p>
        </w:tc>
        <w:tc>
          <w:tcPr>
            <w:tcW w:w="519" w:type="dxa"/>
            <w:shd w:val="clear" w:color="auto" w:fill="auto"/>
          </w:tcPr>
          <w:p w14:paraId="3F8AD803" w14:textId="77777777" w:rsidR="000F5D9D" w:rsidRPr="005A79C9" w:rsidRDefault="000F5D9D" w:rsidP="007D5C0F">
            <w:pPr>
              <w:pStyle w:val="NoSpacing"/>
            </w:pPr>
          </w:p>
        </w:tc>
        <w:tc>
          <w:tcPr>
            <w:tcW w:w="520" w:type="dxa"/>
          </w:tcPr>
          <w:p w14:paraId="4C8DC142" w14:textId="77777777" w:rsidR="000F5D9D" w:rsidRPr="005A79C9" w:rsidRDefault="000F5D9D" w:rsidP="007D5C0F">
            <w:pPr>
              <w:pStyle w:val="NoSpacing"/>
            </w:pPr>
          </w:p>
        </w:tc>
        <w:tc>
          <w:tcPr>
            <w:tcW w:w="519" w:type="dxa"/>
          </w:tcPr>
          <w:p w14:paraId="753BD678" w14:textId="77777777" w:rsidR="000F5D9D" w:rsidRPr="005A79C9" w:rsidRDefault="000F5D9D" w:rsidP="007D5C0F">
            <w:pPr>
              <w:pStyle w:val="NoSpacing"/>
            </w:pPr>
          </w:p>
        </w:tc>
        <w:tc>
          <w:tcPr>
            <w:tcW w:w="520" w:type="dxa"/>
          </w:tcPr>
          <w:p w14:paraId="139F9D1A" w14:textId="77777777" w:rsidR="000F5D9D" w:rsidRPr="005A79C9" w:rsidRDefault="000F5D9D" w:rsidP="007D5C0F">
            <w:pPr>
              <w:pStyle w:val="NoSpacing"/>
            </w:pPr>
          </w:p>
        </w:tc>
        <w:tc>
          <w:tcPr>
            <w:tcW w:w="519" w:type="dxa"/>
          </w:tcPr>
          <w:p w14:paraId="6D5AAA50" w14:textId="77777777" w:rsidR="000F5D9D" w:rsidRPr="005A79C9" w:rsidRDefault="000F5D9D" w:rsidP="007D5C0F">
            <w:pPr>
              <w:pStyle w:val="NoSpacing"/>
            </w:pPr>
          </w:p>
        </w:tc>
        <w:tc>
          <w:tcPr>
            <w:tcW w:w="520" w:type="dxa"/>
          </w:tcPr>
          <w:p w14:paraId="4A449DEC" w14:textId="77777777" w:rsidR="000F5D9D" w:rsidRPr="005A79C9" w:rsidRDefault="000F5D9D" w:rsidP="007D5C0F">
            <w:pPr>
              <w:pStyle w:val="NoSpacing"/>
            </w:pPr>
          </w:p>
        </w:tc>
      </w:tr>
      <w:tr w:rsidR="000F5D9D" w:rsidRPr="005A79C9" w14:paraId="30E572AF" w14:textId="77777777" w:rsidTr="00E22C20">
        <w:trPr>
          <w:trHeight w:val="576"/>
        </w:trPr>
        <w:tc>
          <w:tcPr>
            <w:tcW w:w="1522" w:type="dxa"/>
            <w:vAlign w:val="center"/>
          </w:tcPr>
          <w:p w14:paraId="3E5F9BA9" w14:textId="77777777" w:rsidR="000F5D9D" w:rsidRPr="005A79C9" w:rsidRDefault="000F5D9D" w:rsidP="007D5C0F">
            <w:pPr>
              <w:pStyle w:val="NoSpacing"/>
            </w:pPr>
            <w:r w:rsidRPr="005A79C9">
              <w:t>Exam Part 2</w:t>
            </w:r>
          </w:p>
        </w:tc>
        <w:tc>
          <w:tcPr>
            <w:tcW w:w="519" w:type="dxa"/>
          </w:tcPr>
          <w:p w14:paraId="74E3817A" w14:textId="77777777" w:rsidR="000F5D9D" w:rsidRPr="005A79C9" w:rsidRDefault="000F5D9D" w:rsidP="007D5C0F">
            <w:pPr>
              <w:pStyle w:val="NoSpacing"/>
            </w:pPr>
          </w:p>
        </w:tc>
        <w:tc>
          <w:tcPr>
            <w:tcW w:w="519" w:type="dxa"/>
          </w:tcPr>
          <w:p w14:paraId="56EB126A" w14:textId="77777777" w:rsidR="000F5D9D" w:rsidRPr="005A79C9" w:rsidRDefault="000F5D9D" w:rsidP="007D5C0F">
            <w:pPr>
              <w:pStyle w:val="NoSpacing"/>
            </w:pPr>
          </w:p>
        </w:tc>
        <w:tc>
          <w:tcPr>
            <w:tcW w:w="520" w:type="dxa"/>
          </w:tcPr>
          <w:p w14:paraId="132E5855" w14:textId="77777777" w:rsidR="000F5D9D" w:rsidRPr="005A79C9" w:rsidRDefault="000F5D9D" w:rsidP="007D5C0F">
            <w:pPr>
              <w:pStyle w:val="NoSpacing"/>
            </w:pPr>
          </w:p>
        </w:tc>
        <w:tc>
          <w:tcPr>
            <w:tcW w:w="519" w:type="dxa"/>
          </w:tcPr>
          <w:p w14:paraId="73FF76F6" w14:textId="77777777" w:rsidR="000F5D9D" w:rsidRPr="005A79C9" w:rsidRDefault="000F5D9D" w:rsidP="007D5C0F">
            <w:pPr>
              <w:pStyle w:val="NoSpacing"/>
            </w:pPr>
          </w:p>
        </w:tc>
        <w:tc>
          <w:tcPr>
            <w:tcW w:w="520" w:type="dxa"/>
          </w:tcPr>
          <w:p w14:paraId="2A83C383" w14:textId="77777777" w:rsidR="000F5D9D" w:rsidRPr="005A79C9" w:rsidRDefault="000F5D9D" w:rsidP="007D5C0F">
            <w:pPr>
              <w:pStyle w:val="NoSpacing"/>
            </w:pPr>
          </w:p>
        </w:tc>
        <w:tc>
          <w:tcPr>
            <w:tcW w:w="519" w:type="dxa"/>
          </w:tcPr>
          <w:p w14:paraId="1BF05414" w14:textId="77777777" w:rsidR="000F5D9D" w:rsidRPr="005A79C9" w:rsidRDefault="000F5D9D" w:rsidP="007D5C0F">
            <w:pPr>
              <w:pStyle w:val="NoSpacing"/>
            </w:pPr>
          </w:p>
        </w:tc>
        <w:tc>
          <w:tcPr>
            <w:tcW w:w="520" w:type="dxa"/>
          </w:tcPr>
          <w:p w14:paraId="6DD654C9" w14:textId="77777777" w:rsidR="000F5D9D" w:rsidRPr="005A79C9" w:rsidRDefault="000F5D9D" w:rsidP="007D5C0F">
            <w:pPr>
              <w:pStyle w:val="NoSpacing"/>
            </w:pPr>
          </w:p>
        </w:tc>
        <w:tc>
          <w:tcPr>
            <w:tcW w:w="519" w:type="dxa"/>
          </w:tcPr>
          <w:p w14:paraId="527F94D6" w14:textId="77777777" w:rsidR="000F5D9D" w:rsidRPr="005A79C9" w:rsidRDefault="000F5D9D" w:rsidP="007D5C0F">
            <w:pPr>
              <w:pStyle w:val="NoSpacing"/>
            </w:pPr>
          </w:p>
        </w:tc>
        <w:tc>
          <w:tcPr>
            <w:tcW w:w="520" w:type="dxa"/>
          </w:tcPr>
          <w:p w14:paraId="037DAC4A" w14:textId="77777777" w:rsidR="000F5D9D" w:rsidRPr="005A79C9" w:rsidRDefault="000F5D9D" w:rsidP="007D5C0F">
            <w:pPr>
              <w:pStyle w:val="NoSpacing"/>
            </w:pPr>
          </w:p>
        </w:tc>
        <w:tc>
          <w:tcPr>
            <w:tcW w:w="519" w:type="dxa"/>
          </w:tcPr>
          <w:p w14:paraId="07473E7F" w14:textId="77777777" w:rsidR="000F5D9D" w:rsidRPr="005A79C9" w:rsidRDefault="000F5D9D" w:rsidP="007D5C0F">
            <w:pPr>
              <w:pStyle w:val="NoSpacing"/>
            </w:pPr>
          </w:p>
        </w:tc>
        <w:tc>
          <w:tcPr>
            <w:tcW w:w="520" w:type="dxa"/>
          </w:tcPr>
          <w:p w14:paraId="533536AC" w14:textId="77777777" w:rsidR="000F5D9D" w:rsidRPr="005A79C9" w:rsidRDefault="000F5D9D" w:rsidP="007D5C0F">
            <w:pPr>
              <w:pStyle w:val="NoSpacing"/>
            </w:pPr>
          </w:p>
        </w:tc>
        <w:tc>
          <w:tcPr>
            <w:tcW w:w="519" w:type="dxa"/>
            <w:shd w:val="clear" w:color="auto" w:fill="767171" w:themeFill="background2" w:themeFillShade="80"/>
          </w:tcPr>
          <w:p w14:paraId="3B7F4897" w14:textId="77777777" w:rsidR="000F5D9D" w:rsidRPr="005A79C9" w:rsidRDefault="000F5D9D" w:rsidP="007D5C0F">
            <w:pPr>
              <w:pStyle w:val="NoSpacing"/>
            </w:pPr>
          </w:p>
        </w:tc>
        <w:tc>
          <w:tcPr>
            <w:tcW w:w="519" w:type="dxa"/>
            <w:shd w:val="clear" w:color="auto" w:fill="767171" w:themeFill="background2" w:themeFillShade="80"/>
          </w:tcPr>
          <w:p w14:paraId="1D10961C" w14:textId="77777777" w:rsidR="000F5D9D" w:rsidRPr="005A79C9" w:rsidRDefault="000F5D9D" w:rsidP="007D5C0F">
            <w:pPr>
              <w:pStyle w:val="NoSpacing"/>
            </w:pPr>
          </w:p>
        </w:tc>
        <w:tc>
          <w:tcPr>
            <w:tcW w:w="520" w:type="dxa"/>
          </w:tcPr>
          <w:p w14:paraId="205B6E11" w14:textId="77777777" w:rsidR="000F5D9D" w:rsidRPr="005A79C9" w:rsidRDefault="000F5D9D" w:rsidP="007D5C0F">
            <w:pPr>
              <w:pStyle w:val="NoSpacing"/>
            </w:pPr>
          </w:p>
        </w:tc>
        <w:tc>
          <w:tcPr>
            <w:tcW w:w="519" w:type="dxa"/>
          </w:tcPr>
          <w:p w14:paraId="6E9A36FF" w14:textId="77777777" w:rsidR="000F5D9D" w:rsidRPr="005A79C9" w:rsidRDefault="000F5D9D" w:rsidP="007D5C0F">
            <w:pPr>
              <w:pStyle w:val="NoSpacing"/>
            </w:pPr>
          </w:p>
        </w:tc>
        <w:tc>
          <w:tcPr>
            <w:tcW w:w="520" w:type="dxa"/>
          </w:tcPr>
          <w:p w14:paraId="2D3CD703" w14:textId="77777777" w:rsidR="000F5D9D" w:rsidRPr="005A79C9" w:rsidRDefault="000F5D9D" w:rsidP="007D5C0F">
            <w:pPr>
              <w:pStyle w:val="NoSpacing"/>
            </w:pPr>
          </w:p>
        </w:tc>
        <w:tc>
          <w:tcPr>
            <w:tcW w:w="519" w:type="dxa"/>
          </w:tcPr>
          <w:p w14:paraId="12116A08" w14:textId="77777777" w:rsidR="000F5D9D" w:rsidRPr="005A79C9" w:rsidRDefault="000F5D9D" w:rsidP="007D5C0F">
            <w:pPr>
              <w:pStyle w:val="NoSpacing"/>
            </w:pPr>
          </w:p>
        </w:tc>
        <w:tc>
          <w:tcPr>
            <w:tcW w:w="520" w:type="dxa"/>
          </w:tcPr>
          <w:p w14:paraId="411D6383" w14:textId="77777777" w:rsidR="000F5D9D" w:rsidRPr="005A79C9" w:rsidRDefault="000F5D9D" w:rsidP="007D5C0F">
            <w:pPr>
              <w:pStyle w:val="NoSpacing"/>
            </w:pPr>
          </w:p>
        </w:tc>
        <w:tc>
          <w:tcPr>
            <w:tcW w:w="519" w:type="dxa"/>
          </w:tcPr>
          <w:p w14:paraId="1F7F71AF" w14:textId="77777777" w:rsidR="000F5D9D" w:rsidRPr="005A79C9" w:rsidRDefault="000F5D9D" w:rsidP="007D5C0F">
            <w:pPr>
              <w:pStyle w:val="NoSpacing"/>
            </w:pPr>
          </w:p>
        </w:tc>
        <w:tc>
          <w:tcPr>
            <w:tcW w:w="520" w:type="dxa"/>
          </w:tcPr>
          <w:p w14:paraId="7738F8EC" w14:textId="77777777" w:rsidR="000F5D9D" w:rsidRPr="005A79C9" w:rsidRDefault="000F5D9D" w:rsidP="007D5C0F">
            <w:pPr>
              <w:pStyle w:val="NoSpacing"/>
            </w:pPr>
          </w:p>
        </w:tc>
        <w:tc>
          <w:tcPr>
            <w:tcW w:w="519" w:type="dxa"/>
          </w:tcPr>
          <w:p w14:paraId="5FB27855" w14:textId="77777777" w:rsidR="000F5D9D" w:rsidRPr="005A79C9" w:rsidRDefault="000F5D9D" w:rsidP="007D5C0F">
            <w:pPr>
              <w:pStyle w:val="NoSpacing"/>
            </w:pPr>
          </w:p>
        </w:tc>
        <w:tc>
          <w:tcPr>
            <w:tcW w:w="520" w:type="dxa"/>
          </w:tcPr>
          <w:p w14:paraId="5CBF45CB" w14:textId="77777777" w:rsidR="000F5D9D" w:rsidRPr="005A79C9" w:rsidRDefault="000F5D9D" w:rsidP="007D5C0F">
            <w:pPr>
              <w:pStyle w:val="NoSpacing"/>
            </w:pPr>
          </w:p>
        </w:tc>
      </w:tr>
      <w:tr w:rsidR="000F5D9D" w:rsidRPr="005A79C9" w14:paraId="0E454148" w14:textId="77777777" w:rsidTr="00E22C20">
        <w:trPr>
          <w:trHeight w:val="576"/>
        </w:trPr>
        <w:tc>
          <w:tcPr>
            <w:tcW w:w="1522" w:type="dxa"/>
            <w:vAlign w:val="center"/>
          </w:tcPr>
          <w:p w14:paraId="6D6D79AA" w14:textId="77777777" w:rsidR="000F5D9D" w:rsidRPr="005A79C9" w:rsidRDefault="000F5D9D" w:rsidP="007D5C0F">
            <w:pPr>
              <w:pStyle w:val="NoSpacing"/>
            </w:pPr>
            <w:r w:rsidRPr="005A79C9">
              <w:t>Data analysis</w:t>
            </w:r>
          </w:p>
        </w:tc>
        <w:tc>
          <w:tcPr>
            <w:tcW w:w="519" w:type="dxa"/>
          </w:tcPr>
          <w:p w14:paraId="1BE163A6" w14:textId="77777777" w:rsidR="000F5D9D" w:rsidRPr="005A79C9" w:rsidRDefault="000F5D9D" w:rsidP="007D5C0F">
            <w:pPr>
              <w:pStyle w:val="NoSpacing"/>
            </w:pPr>
          </w:p>
        </w:tc>
        <w:tc>
          <w:tcPr>
            <w:tcW w:w="519" w:type="dxa"/>
          </w:tcPr>
          <w:p w14:paraId="30B89892" w14:textId="77777777" w:rsidR="000F5D9D" w:rsidRPr="005A79C9" w:rsidRDefault="000F5D9D" w:rsidP="007D5C0F">
            <w:pPr>
              <w:pStyle w:val="NoSpacing"/>
            </w:pPr>
          </w:p>
        </w:tc>
        <w:tc>
          <w:tcPr>
            <w:tcW w:w="520" w:type="dxa"/>
          </w:tcPr>
          <w:p w14:paraId="34C1D488" w14:textId="77777777" w:rsidR="000F5D9D" w:rsidRPr="005A79C9" w:rsidRDefault="000F5D9D" w:rsidP="007D5C0F">
            <w:pPr>
              <w:pStyle w:val="NoSpacing"/>
            </w:pPr>
          </w:p>
        </w:tc>
        <w:tc>
          <w:tcPr>
            <w:tcW w:w="519" w:type="dxa"/>
          </w:tcPr>
          <w:p w14:paraId="0B0347CA" w14:textId="77777777" w:rsidR="000F5D9D" w:rsidRPr="005A79C9" w:rsidRDefault="000F5D9D" w:rsidP="007D5C0F">
            <w:pPr>
              <w:pStyle w:val="NoSpacing"/>
            </w:pPr>
          </w:p>
        </w:tc>
        <w:tc>
          <w:tcPr>
            <w:tcW w:w="520" w:type="dxa"/>
          </w:tcPr>
          <w:p w14:paraId="17E5D6D1" w14:textId="77777777" w:rsidR="000F5D9D" w:rsidRPr="005A79C9" w:rsidRDefault="000F5D9D" w:rsidP="007D5C0F">
            <w:pPr>
              <w:pStyle w:val="NoSpacing"/>
            </w:pPr>
          </w:p>
        </w:tc>
        <w:tc>
          <w:tcPr>
            <w:tcW w:w="519" w:type="dxa"/>
          </w:tcPr>
          <w:p w14:paraId="676EDFDF" w14:textId="77777777" w:rsidR="000F5D9D" w:rsidRPr="005A79C9" w:rsidRDefault="000F5D9D" w:rsidP="007D5C0F">
            <w:pPr>
              <w:pStyle w:val="NoSpacing"/>
            </w:pPr>
          </w:p>
        </w:tc>
        <w:tc>
          <w:tcPr>
            <w:tcW w:w="520" w:type="dxa"/>
          </w:tcPr>
          <w:p w14:paraId="238F66F3" w14:textId="77777777" w:rsidR="000F5D9D" w:rsidRPr="005A79C9" w:rsidRDefault="000F5D9D" w:rsidP="007D5C0F">
            <w:pPr>
              <w:pStyle w:val="NoSpacing"/>
            </w:pPr>
          </w:p>
        </w:tc>
        <w:tc>
          <w:tcPr>
            <w:tcW w:w="519" w:type="dxa"/>
          </w:tcPr>
          <w:p w14:paraId="4F6D3232" w14:textId="77777777" w:rsidR="000F5D9D" w:rsidRPr="005A79C9" w:rsidRDefault="000F5D9D" w:rsidP="007D5C0F">
            <w:pPr>
              <w:pStyle w:val="NoSpacing"/>
            </w:pPr>
          </w:p>
        </w:tc>
        <w:tc>
          <w:tcPr>
            <w:tcW w:w="520" w:type="dxa"/>
          </w:tcPr>
          <w:p w14:paraId="2B2B91AA" w14:textId="77777777" w:rsidR="000F5D9D" w:rsidRPr="005A79C9" w:rsidRDefault="000F5D9D" w:rsidP="007D5C0F">
            <w:pPr>
              <w:pStyle w:val="NoSpacing"/>
            </w:pPr>
          </w:p>
        </w:tc>
        <w:tc>
          <w:tcPr>
            <w:tcW w:w="519" w:type="dxa"/>
          </w:tcPr>
          <w:p w14:paraId="417FF702" w14:textId="77777777" w:rsidR="000F5D9D" w:rsidRPr="005A79C9" w:rsidRDefault="000F5D9D" w:rsidP="007D5C0F">
            <w:pPr>
              <w:pStyle w:val="NoSpacing"/>
            </w:pPr>
          </w:p>
        </w:tc>
        <w:tc>
          <w:tcPr>
            <w:tcW w:w="520" w:type="dxa"/>
          </w:tcPr>
          <w:p w14:paraId="6533CFCE" w14:textId="77777777" w:rsidR="000F5D9D" w:rsidRPr="005A79C9" w:rsidRDefault="000F5D9D" w:rsidP="007D5C0F">
            <w:pPr>
              <w:pStyle w:val="NoSpacing"/>
            </w:pPr>
          </w:p>
        </w:tc>
        <w:tc>
          <w:tcPr>
            <w:tcW w:w="519" w:type="dxa"/>
          </w:tcPr>
          <w:p w14:paraId="0FB80800" w14:textId="77777777" w:rsidR="000F5D9D" w:rsidRPr="005A79C9" w:rsidRDefault="000F5D9D" w:rsidP="007D5C0F">
            <w:pPr>
              <w:pStyle w:val="NoSpacing"/>
            </w:pPr>
          </w:p>
        </w:tc>
        <w:tc>
          <w:tcPr>
            <w:tcW w:w="519" w:type="dxa"/>
          </w:tcPr>
          <w:p w14:paraId="2217ACA3" w14:textId="77777777" w:rsidR="000F5D9D" w:rsidRPr="005A79C9" w:rsidRDefault="000F5D9D" w:rsidP="007D5C0F">
            <w:pPr>
              <w:pStyle w:val="NoSpacing"/>
            </w:pPr>
          </w:p>
        </w:tc>
        <w:tc>
          <w:tcPr>
            <w:tcW w:w="520" w:type="dxa"/>
          </w:tcPr>
          <w:p w14:paraId="0146AB61" w14:textId="77777777" w:rsidR="000F5D9D" w:rsidRPr="005A79C9" w:rsidRDefault="000F5D9D" w:rsidP="007D5C0F">
            <w:pPr>
              <w:pStyle w:val="NoSpacing"/>
            </w:pPr>
          </w:p>
        </w:tc>
        <w:tc>
          <w:tcPr>
            <w:tcW w:w="519" w:type="dxa"/>
          </w:tcPr>
          <w:p w14:paraId="0F296AA1" w14:textId="77777777" w:rsidR="000F5D9D" w:rsidRPr="005A79C9" w:rsidRDefault="000F5D9D" w:rsidP="007D5C0F">
            <w:pPr>
              <w:pStyle w:val="NoSpacing"/>
            </w:pPr>
          </w:p>
        </w:tc>
        <w:tc>
          <w:tcPr>
            <w:tcW w:w="520" w:type="dxa"/>
            <w:shd w:val="clear" w:color="auto" w:fill="767171" w:themeFill="background2" w:themeFillShade="80"/>
          </w:tcPr>
          <w:p w14:paraId="42EC536B" w14:textId="77777777" w:rsidR="000F5D9D" w:rsidRPr="005A79C9" w:rsidRDefault="000F5D9D" w:rsidP="007D5C0F">
            <w:pPr>
              <w:pStyle w:val="NoSpacing"/>
            </w:pPr>
          </w:p>
        </w:tc>
        <w:tc>
          <w:tcPr>
            <w:tcW w:w="519" w:type="dxa"/>
            <w:shd w:val="clear" w:color="auto" w:fill="767171" w:themeFill="background2" w:themeFillShade="80"/>
          </w:tcPr>
          <w:p w14:paraId="7F49064C" w14:textId="77777777" w:rsidR="000F5D9D" w:rsidRPr="005A79C9" w:rsidRDefault="000F5D9D" w:rsidP="007D5C0F">
            <w:pPr>
              <w:pStyle w:val="NoSpacing"/>
            </w:pPr>
          </w:p>
        </w:tc>
        <w:tc>
          <w:tcPr>
            <w:tcW w:w="520" w:type="dxa"/>
            <w:shd w:val="clear" w:color="auto" w:fill="767171" w:themeFill="background2" w:themeFillShade="80"/>
          </w:tcPr>
          <w:p w14:paraId="2F8392A3" w14:textId="77777777" w:rsidR="000F5D9D" w:rsidRPr="005A79C9" w:rsidRDefault="000F5D9D" w:rsidP="007D5C0F">
            <w:pPr>
              <w:pStyle w:val="NoSpacing"/>
            </w:pPr>
          </w:p>
        </w:tc>
        <w:tc>
          <w:tcPr>
            <w:tcW w:w="519" w:type="dxa"/>
            <w:shd w:val="clear" w:color="auto" w:fill="767171" w:themeFill="background2" w:themeFillShade="80"/>
          </w:tcPr>
          <w:p w14:paraId="659D48F6" w14:textId="77777777" w:rsidR="000F5D9D" w:rsidRPr="005A79C9" w:rsidRDefault="000F5D9D" w:rsidP="007D5C0F">
            <w:pPr>
              <w:pStyle w:val="NoSpacing"/>
            </w:pPr>
          </w:p>
        </w:tc>
        <w:tc>
          <w:tcPr>
            <w:tcW w:w="520" w:type="dxa"/>
          </w:tcPr>
          <w:p w14:paraId="5E04E5B9" w14:textId="77777777" w:rsidR="000F5D9D" w:rsidRPr="005A79C9" w:rsidRDefault="000F5D9D" w:rsidP="007D5C0F">
            <w:pPr>
              <w:pStyle w:val="NoSpacing"/>
            </w:pPr>
          </w:p>
        </w:tc>
        <w:tc>
          <w:tcPr>
            <w:tcW w:w="519" w:type="dxa"/>
          </w:tcPr>
          <w:p w14:paraId="7CEDDAAC" w14:textId="77777777" w:rsidR="000F5D9D" w:rsidRPr="005A79C9" w:rsidRDefault="000F5D9D" w:rsidP="007D5C0F">
            <w:pPr>
              <w:pStyle w:val="NoSpacing"/>
            </w:pPr>
          </w:p>
        </w:tc>
        <w:tc>
          <w:tcPr>
            <w:tcW w:w="520" w:type="dxa"/>
          </w:tcPr>
          <w:p w14:paraId="4BEAEAF9" w14:textId="77777777" w:rsidR="000F5D9D" w:rsidRPr="005A79C9" w:rsidRDefault="000F5D9D" w:rsidP="007D5C0F">
            <w:pPr>
              <w:pStyle w:val="NoSpacing"/>
            </w:pPr>
          </w:p>
        </w:tc>
      </w:tr>
      <w:tr w:rsidR="000F5D9D" w:rsidRPr="005A79C9" w14:paraId="1A4F45EA" w14:textId="77777777" w:rsidTr="00E22C20">
        <w:trPr>
          <w:trHeight w:val="576"/>
        </w:trPr>
        <w:tc>
          <w:tcPr>
            <w:tcW w:w="1522" w:type="dxa"/>
            <w:vAlign w:val="center"/>
          </w:tcPr>
          <w:p w14:paraId="11E60D13" w14:textId="77777777" w:rsidR="000F5D9D" w:rsidRPr="005A79C9" w:rsidRDefault="000F5D9D" w:rsidP="007D5C0F">
            <w:pPr>
              <w:pStyle w:val="NoSpacing"/>
            </w:pPr>
            <w:r w:rsidRPr="005A79C9">
              <w:t>Thesis writing</w:t>
            </w:r>
          </w:p>
        </w:tc>
        <w:tc>
          <w:tcPr>
            <w:tcW w:w="519" w:type="dxa"/>
          </w:tcPr>
          <w:p w14:paraId="419041EE" w14:textId="77777777" w:rsidR="000F5D9D" w:rsidRPr="005A79C9" w:rsidRDefault="000F5D9D" w:rsidP="007D5C0F">
            <w:pPr>
              <w:pStyle w:val="NoSpacing"/>
            </w:pPr>
          </w:p>
        </w:tc>
        <w:tc>
          <w:tcPr>
            <w:tcW w:w="519" w:type="dxa"/>
          </w:tcPr>
          <w:p w14:paraId="563E31DC" w14:textId="77777777" w:rsidR="000F5D9D" w:rsidRPr="005A79C9" w:rsidRDefault="000F5D9D" w:rsidP="007D5C0F">
            <w:pPr>
              <w:pStyle w:val="NoSpacing"/>
            </w:pPr>
          </w:p>
        </w:tc>
        <w:tc>
          <w:tcPr>
            <w:tcW w:w="520" w:type="dxa"/>
          </w:tcPr>
          <w:p w14:paraId="2B0B9C11" w14:textId="77777777" w:rsidR="000F5D9D" w:rsidRPr="005A79C9" w:rsidRDefault="000F5D9D" w:rsidP="007D5C0F">
            <w:pPr>
              <w:pStyle w:val="NoSpacing"/>
            </w:pPr>
          </w:p>
        </w:tc>
        <w:tc>
          <w:tcPr>
            <w:tcW w:w="519" w:type="dxa"/>
          </w:tcPr>
          <w:p w14:paraId="776EF52A" w14:textId="77777777" w:rsidR="000F5D9D" w:rsidRPr="005A79C9" w:rsidRDefault="000F5D9D" w:rsidP="007D5C0F">
            <w:pPr>
              <w:pStyle w:val="NoSpacing"/>
            </w:pPr>
          </w:p>
        </w:tc>
        <w:tc>
          <w:tcPr>
            <w:tcW w:w="520" w:type="dxa"/>
          </w:tcPr>
          <w:p w14:paraId="76C046EA" w14:textId="77777777" w:rsidR="000F5D9D" w:rsidRPr="005A79C9" w:rsidRDefault="000F5D9D" w:rsidP="007D5C0F">
            <w:pPr>
              <w:pStyle w:val="NoSpacing"/>
            </w:pPr>
          </w:p>
        </w:tc>
        <w:tc>
          <w:tcPr>
            <w:tcW w:w="519" w:type="dxa"/>
          </w:tcPr>
          <w:p w14:paraId="496D662F" w14:textId="77777777" w:rsidR="000F5D9D" w:rsidRPr="005A79C9" w:rsidRDefault="000F5D9D" w:rsidP="007D5C0F">
            <w:pPr>
              <w:pStyle w:val="NoSpacing"/>
            </w:pPr>
          </w:p>
        </w:tc>
        <w:tc>
          <w:tcPr>
            <w:tcW w:w="520" w:type="dxa"/>
          </w:tcPr>
          <w:p w14:paraId="04F5F790" w14:textId="77777777" w:rsidR="000F5D9D" w:rsidRPr="005A79C9" w:rsidRDefault="000F5D9D" w:rsidP="007D5C0F">
            <w:pPr>
              <w:pStyle w:val="NoSpacing"/>
            </w:pPr>
          </w:p>
        </w:tc>
        <w:tc>
          <w:tcPr>
            <w:tcW w:w="519" w:type="dxa"/>
          </w:tcPr>
          <w:p w14:paraId="6B2704A9" w14:textId="77777777" w:rsidR="000F5D9D" w:rsidRPr="005A79C9" w:rsidRDefault="000F5D9D" w:rsidP="007D5C0F">
            <w:pPr>
              <w:pStyle w:val="NoSpacing"/>
            </w:pPr>
          </w:p>
        </w:tc>
        <w:tc>
          <w:tcPr>
            <w:tcW w:w="520" w:type="dxa"/>
            <w:shd w:val="clear" w:color="auto" w:fill="767171" w:themeFill="background2" w:themeFillShade="80"/>
          </w:tcPr>
          <w:p w14:paraId="52EAADD2" w14:textId="77777777" w:rsidR="000F5D9D" w:rsidRPr="005A79C9" w:rsidRDefault="000F5D9D" w:rsidP="007D5C0F">
            <w:pPr>
              <w:pStyle w:val="NoSpacing"/>
            </w:pPr>
          </w:p>
        </w:tc>
        <w:tc>
          <w:tcPr>
            <w:tcW w:w="519" w:type="dxa"/>
            <w:shd w:val="clear" w:color="auto" w:fill="767171" w:themeFill="background2" w:themeFillShade="80"/>
          </w:tcPr>
          <w:p w14:paraId="101B36D2" w14:textId="77777777" w:rsidR="000F5D9D" w:rsidRPr="005A79C9" w:rsidRDefault="000F5D9D" w:rsidP="007D5C0F">
            <w:pPr>
              <w:pStyle w:val="NoSpacing"/>
            </w:pPr>
          </w:p>
        </w:tc>
        <w:tc>
          <w:tcPr>
            <w:tcW w:w="520" w:type="dxa"/>
            <w:shd w:val="clear" w:color="auto" w:fill="767171" w:themeFill="background2" w:themeFillShade="80"/>
          </w:tcPr>
          <w:p w14:paraId="7F12CE7B" w14:textId="77777777" w:rsidR="000F5D9D" w:rsidRPr="005A79C9" w:rsidRDefault="000F5D9D" w:rsidP="007D5C0F">
            <w:pPr>
              <w:pStyle w:val="NoSpacing"/>
            </w:pPr>
          </w:p>
        </w:tc>
        <w:tc>
          <w:tcPr>
            <w:tcW w:w="519" w:type="dxa"/>
            <w:shd w:val="clear" w:color="auto" w:fill="767171" w:themeFill="background2" w:themeFillShade="80"/>
          </w:tcPr>
          <w:p w14:paraId="0F884DBB" w14:textId="77777777" w:rsidR="000F5D9D" w:rsidRPr="005A79C9" w:rsidRDefault="000F5D9D" w:rsidP="007D5C0F">
            <w:pPr>
              <w:pStyle w:val="NoSpacing"/>
            </w:pPr>
          </w:p>
        </w:tc>
        <w:tc>
          <w:tcPr>
            <w:tcW w:w="519" w:type="dxa"/>
            <w:shd w:val="clear" w:color="auto" w:fill="767171" w:themeFill="background2" w:themeFillShade="80"/>
          </w:tcPr>
          <w:p w14:paraId="7B1ABAF3" w14:textId="77777777" w:rsidR="000F5D9D" w:rsidRPr="005A79C9" w:rsidRDefault="000F5D9D" w:rsidP="007D5C0F">
            <w:pPr>
              <w:pStyle w:val="NoSpacing"/>
            </w:pPr>
          </w:p>
        </w:tc>
        <w:tc>
          <w:tcPr>
            <w:tcW w:w="520" w:type="dxa"/>
            <w:shd w:val="clear" w:color="auto" w:fill="767171" w:themeFill="background2" w:themeFillShade="80"/>
          </w:tcPr>
          <w:p w14:paraId="4B82E913" w14:textId="77777777" w:rsidR="000F5D9D" w:rsidRPr="005A79C9" w:rsidRDefault="000F5D9D" w:rsidP="007D5C0F">
            <w:pPr>
              <w:pStyle w:val="NoSpacing"/>
            </w:pPr>
          </w:p>
        </w:tc>
        <w:tc>
          <w:tcPr>
            <w:tcW w:w="519" w:type="dxa"/>
            <w:shd w:val="clear" w:color="auto" w:fill="767171" w:themeFill="background2" w:themeFillShade="80"/>
          </w:tcPr>
          <w:p w14:paraId="78344DD9" w14:textId="77777777" w:rsidR="000F5D9D" w:rsidRPr="005A79C9" w:rsidRDefault="000F5D9D" w:rsidP="007D5C0F">
            <w:pPr>
              <w:pStyle w:val="NoSpacing"/>
            </w:pPr>
          </w:p>
        </w:tc>
        <w:tc>
          <w:tcPr>
            <w:tcW w:w="520" w:type="dxa"/>
            <w:shd w:val="clear" w:color="auto" w:fill="767171" w:themeFill="background2" w:themeFillShade="80"/>
          </w:tcPr>
          <w:p w14:paraId="099B76C5" w14:textId="77777777" w:rsidR="000F5D9D" w:rsidRPr="005A79C9" w:rsidRDefault="000F5D9D" w:rsidP="007D5C0F">
            <w:pPr>
              <w:pStyle w:val="NoSpacing"/>
            </w:pPr>
          </w:p>
        </w:tc>
        <w:tc>
          <w:tcPr>
            <w:tcW w:w="519" w:type="dxa"/>
            <w:shd w:val="clear" w:color="auto" w:fill="767171" w:themeFill="background2" w:themeFillShade="80"/>
          </w:tcPr>
          <w:p w14:paraId="2C281DA3" w14:textId="77777777" w:rsidR="000F5D9D" w:rsidRPr="005A79C9" w:rsidRDefault="000F5D9D" w:rsidP="007D5C0F">
            <w:pPr>
              <w:pStyle w:val="NoSpacing"/>
            </w:pPr>
          </w:p>
        </w:tc>
        <w:tc>
          <w:tcPr>
            <w:tcW w:w="520" w:type="dxa"/>
            <w:shd w:val="clear" w:color="auto" w:fill="767171" w:themeFill="background2" w:themeFillShade="80"/>
          </w:tcPr>
          <w:p w14:paraId="1A05C74A" w14:textId="77777777" w:rsidR="000F5D9D" w:rsidRPr="005A79C9" w:rsidRDefault="000F5D9D" w:rsidP="007D5C0F">
            <w:pPr>
              <w:pStyle w:val="NoSpacing"/>
            </w:pPr>
          </w:p>
        </w:tc>
        <w:tc>
          <w:tcPr>
            <w:tcW w:w="519" w:type="dxa"/>
            <w:shd w:val="clear" w:color="auto" w:fill="767171" w:themeFill="background2" w:themeFillShade="80"/>
          </w:tcPr>
          <w:p w14:paraId="6ABB29E3" w14:textId="77777777" w:rsidR="000F5D9D" w:rsidRPr="005A79C9" w:rsidRDefault="000F5D9D" w:rsidP="007D5C0F">
            <w:pPr>
              <w:pStyle w:val="NoSpacing"/>
            </w:pPr>
          </w:p>
        </w:tc>
        <w:tc>
          <w:tcPr>
            <w:tcW w:w="520" w:type="dxa"/>
          </w:tcPr>
          <w:p w14:paraId="2942D8A9" w14:textId="77777777" w:rsidR="000F5D9D" w:rsidRPr="005A79C9" w:rsidRDefault="000F5D9D" w:rsidP="007D5C0F">
            <w:pPr>
              <w:pStyle w:val="NoSpacing"/>
            </w:pPr>
          </w:p>
        </w:tc>
        <w:tc>
          <w:tcPr>
            <w:tcW w:w="519" w:type="dxa"/>
          </w:tcPr>
          <w:p w14:paraId="047E9427" w14:textId="77777777" w:rsidR="000F5D9D" w:rsidRPr="005A79C9" w:rsidRDefault="000F5D9D" w:rsidP="007D5C0F">
            <w:pPr>
              <w:pStyle w:val="NoSpacing"/>
            </w:pPr>
          </w:p>
        </w:tc>
        <w:tc>
          <w:tcPr>
            <w:tcW w:w="520" w:type="dxa"/>
          </w:tcPr>
          <w:p w14:paraId="07065DF5" w14:textId="77777777" w:rsidR="000F5D9D" w:rsidRPr="005A79C9" w:rsidRDefault="000F5D9D" w:rsidP="007D5C0F">
            <w:pPr>
              <w:pStyle w:val="NoSpacing"/>
            </w:pPr>
          </w:p>
        </w:tc>
      </w:tr>
      <w:tr w:rsidR="000F5D9D" w:rsidRPr="005A79C9" w14:paraId="4A357A1F" w14:textId="77777777" w:rsidTr="00E22C20">
        <w:trPr>
          <w:trHeight w:val="576"/>
        </w:trPr>
        <w:tc>
          <w:tcPr>
            <w:tcW w:w="1522" w:type="dxa"/>
            <w:vAlign w:val="center"/>
          </w:tcPr>
          <w:p w14:paraId="6E39E78A" w14:textId="77777777" w:rsidR="000F5D9D" w:rsidRPr="005A79C9" w:rsidRDefault="000F5D9D" w:rsidP="007D5C0F">
            <w:pPr>
              <w:pStyle w:val="NoSpacing"/>
            </w:pPr>
            <w:r w:rsidRPr="005A79C9">
              <w:t>Mock thesis presentation</w:t>
            </w:r>
          </w:p>
        </w:tc>
        <w:tc>
          <w:tcPr>
            <w:tcW w:w="519" w:type="dxa"/>
          </w:tcPr>
          <w:p w14:paraId="3E74888D" w14:textId="77777777" w:rsidR="000F5D9D" w:rsidRPr="005A79C9" w:rsidRDefault="000F5D9D" w:rsidP="007D5C0F">
            <w:pPr>
              <w:pStyle w:val="NoSpacing"/>
            </w:pPr>
          </w:p>
        </w:tc>
        <w:tc>
          <w:tcPr>
            <w:tcW w:w="519" w:type="dxa"/>
          </w:tcPr>
          <w:p w14:paraId="17A766F6" w14:textId="77777777" w:rsidR="000F5D9D" w:rsidRPr="005A79C9" w:rsidRDefault="000F5D9D" w:rsidP="007D5C0F">
            <w:pPr>
              <w:pStyle w:val="NoSpacing"/>
            </w:pPr>
          </w:p>
        </w:tc>
        <w:tc>
          <w:tcPr>
            <w:tcW w:w="520" w:type="dxa"/>
          </w:tcPr>
          <w:p w14:paraId="0C25A7C3" w14:textId="77777777" w:rsidR="000F5D9D" w:rsidRPr="005A79C9" w:rsidRDefault="000F5D9D" w:rsidP="007D5C0F">
            <w:pPr>
              <w:pStyle w:val="NoSpacing"/>
            </w:pPr>
          </w:p>
        </w:tc>
        <w:tc>
          <w:tcPr>
            <w:tcW w:w="519" w:type="dxa"/>
          </w:tcPr>
          <w:p w14:paraId="1BA1A6C1" w14:textId="77777777" w:rsidR="000F5D9D" w:rsidRPr="005A79C9" w:rsidRDefault="000F5D9D" w:rsidP="007D5C0F">
            <w:pPr>
              <w:pStyle w:val="NoSpacing"/>
            </w:pPr>
          </w:p>
        </w:tc>
        <w:tc>
          <w:tcPr>
            <w:tcW w:w="520" w:type="dxa"/>
          </w:tcPr>
          <w:p w14:paraId="2386F575" w14:textId="77777777" w:rsidR="000F5D9D" w:rsidRPr="005A79C9" w:rsidRDefault="000F5D9D" w:rsidP="007D5C0F">
            <w:pPr>
              <w:pStyle w:val="NoSpacing"/>
            </w:pPr>
          </w:p>
        </w:tc>
        <w:tc>
          <w:tcPr>
            <w:tcW w:w="519" w:type="dxa"/>
          </w:tcPr>
          <w:p w14:paraId="0B835DF4" w14:textId="77777777" w:rsidR="000F5D9D" w:rsidRPr="005A79C9" w:rsidRDefault="000F5D9D" w:rsidP="007D5C0F">
            <w:pPr>
              <w:pStyle w:val="NoSpacing"/>
            </w:pPr>
          </w:p>
        </w:tc>
        <w:tc>
          <w:tcPr>
            <w:tcW w:w="520" w:type="dxa"/>
          </w:tcPr>
          <w:p w14:paraId="49B801F4" w14:textId="77777777" w:rsidR="000F5D9D" w:rsidRPr="005A79C9" w:rsidRDefault="000F5D9D" w:rsidP="007D5C0F">
            <w:pPr>
              <w:pStyle w:val="NoSpacing"/>
            </w:pPr>
          </w:p>
        </w:tc>
        <w:tc>
          <w:tcPr>
            <w:tcW w:w="519" w:type="dxa"/>
          </w:tcPr>
          <w:p w14:paraId="332FBCD7" w14:textId="77777777" w:rsidR="000F5D9D" w:rsidRPr="005A79C9" w:rsidRDefault="000F5D9D" w:rsidP="007D5C0F">
            <w:pPr>
              <w:pStyle w:val="NoSpacing"/>
            </w:pPr>
          </w:p>
        </w:tc>
        <w:tc>
          <w:tcPr>
            <w:tcW w:w="520" w:type="dxa"/>
          </w:tcPr>
          <w:p w14:paraId="496C5DB8" w14:textId="77777777" w:rsidR="000F5D9D" w:rsidRPr="005A79C9" w:rsidRDefault="000F5D9D" w:rsidP="007D5C0F">
            <w:pPr>
              <w:pStyle w:val="NoSpacing"/>
            </w:pPr>
          </w:p>
        </w:tc>
        <w:tc>
          <w:tcPr>
            <w:tcW w:w="519" w:type="dxa"/>
          </w:tcPr>
          <w:p w14:paraId="5D543EF9" w14:textId="77777777" w:rsidR="000F5D9D" w:rsidRPr="005A79C9" w:rsidRDefault="000F5D9D" w:rsidP="007D5C0F">
            <w:pPr>
              <w:pStyle w:val="NoSpacing"/>
            </w:pPr>
          </w:p>
        </w:tc>
        <w:tc>
          <w:tcPr>
            <w:tcW w:w="520" w:type="dxa"/>
          </w:tcPr>
          <w:p w14:paraId="0400BC37" w14:textId="77777777" w:rsidR="000F5D9D" w:rsidRPr="005A79C9" w:rsidRDefault="000F5D9D" w:rsidP="007D5C0F">
            <w:pPr>
              <w:pStyle w:val="NoSpacing"/>
            </w:pPr>
          </w:p>
        </w:tc>
        <w:tc>
          <w:tcPr>
            <w:tcW w:w="519" w:type="dxa"/>
          </w:tcPr>
          <w:p w14:paraId="2B4130B8" w14:textId="77777777" w:rsidR="000F5D9D" w:rsidRPr="005A79C9" w:rsidRDefault="000F5D9D" w:rsidP="007D5C0F">
            <w:pPr>
              <w:pStyle w:val="NoSpacing"/>
            </w:pPr>
          </w:p>
        </w:tc>
        <w:tc>
          <w:tcPr>
            <w:tcW w:w="519" w:type="dxa"/>
          </w:tcPr>
          <w:p w14:paraId="7EF6D928" w14:textId="77777777" w:rsidR="000F5D9D" w:rsidRPr="005A79C9" w:rsidRDefault="000F5D9D" w:rsidP="007D5C0F">
            <w:pPr>
              <w:pStyle w:val="NoSpacing"/>
            </w:pPr>
          </w:p>
        </w:tc>
        <w:tc>
          <w:tcPr>
            <w:tcW w:w="520" w:type="dxa"/>
          </w:tcPr>
          <w:p w14:paraId="5EF5DD53" w14:textId="77777777" w:rsidR="000F5D9D" w:rsidRPr="005A79C9" w:rsidRDefault="000F5D9D" w:rsidP="007D5C0F">
            <w:pPr>
              <w:pStyle w:val="NoSpacing"/>
            </w:pPr>
          </w:p>
        </w:tc>
        <w:tc>
          <w:tcPr>
            <w:tcW w:w="519" w:type="dxa"/>
          </w:tcPr>
          <w:p w14:paraId="1938947E" w14:textId="77777777" w:rsidR="000F5D9D" w:rsidRPr="005A79C9" w:rsidRDefault="000F5D9D" w:rsidP="007D5C0F">
            <w:pPr>
              <w:pStyle w:val="NoSpacing"/>
            </w:pPr>
          </w:p>
        </w:tc>
        <w:tc>
          <w:tcPr>
            <w:tcW w:w="520" w:type="dxa"/>
          </w:tcPr>
          <w:p w14:paraId="2AA5695C" w14:textId="77777777" w:rsidR="000F5D9D" w:rsidRPr="005A79C9" w:rsidRDefault="000F5D9D" w:rsidP="007D5C0F">
            <w:pPr>
              <w:pStyle w:val="NoSpacing"/>
            </w:pPr>
          </w:p>
        </w:tc>
        <w:tc>
          <w:tcPr>
            <w:tcW w:w="519" w:type="dxa"/>
          </w:tcPr>
          <w:p w14:paraId="26C7C21E" w14:textId="77777777" w:rsidR="000F5D9D" w:rsidRPr="005A79C9" w:rsidRDefault="000F5D9D" w:rsidP="007D5C0F">
            <w:pPr>
              <w:pStyle w:val="NoSpacing"/>
            </w:pPr>
          </w:p>
        </w:tc>
        <w:tc>
          <w:tcPr>
            <w:tcW w:w="520" w:type="dxa"/>
          </w:tcPr>
          <w:p w14:paraId="586ECE9E" w14:textId="77777777" w:rsidR="000F5D9D" w:rsidRPr="005A79C9" w:rsidRDefault="000F5D9D" w:rsidP="007D5C0F">
            <w:pPr>
              <w:pStyle w:val="NoSpacing"/>
            </w:pPr>
          </w:p>
        </w:tc>
        <w:tc>
          <w:tcPr>
            <w:tcW w:w="519" w:type="dxa"/>
          </w:tcPr>
          <w:p w14:paraId="2DF95572" w14:textId="77777777" w:rsidR="000F5D9D" w:rsidRPr="005A79C9" w:rsidRDefault="000F5D9D" w:rsidP="007D5C0F">
            <w:pPr>
              <w:pStyle w:val="NoSpacing"/>
            </w:pPr>
          </w:p>
        </w:tc>
        <w:tc>
          <w:tcPr>
            <w:tcW w:w="520" w:type="dxa"/>
            <w:shd w:val="clear" w:color="auto" w:fill="767171" w:themeFill="background2" w:themeFillShade="80"/>
          </w:tcPr>
          <w:p w14:paraId="514FCC48" w14:textId="77777777" w:rsidR="000F5D9D" w:rsidRPr="005A79C9" w:rsidRDefault="000F5D9D" w:rsidP="007D5C0F">
            <w:pPr>
              <w:pStyle w:val="NoSpacing"/>
            </w:pPr>
          </w:p>
        </w:tc>
        <w:tc>
          <w:tcPr>
            <w:tcW w:w="519" w:type="dxa"/>
          </w:tcPr>
          <w:p w14:paraId="7D5CC623" w14:textId="77777777" w:rsidR="000F5D9D" w:rsidRPr="005A79C9" w:rsidRDefault="000F5D9D" w:rsidP="007D5C0F">
            <w:pPr>
              <w:pStyle w:val="NoSpacing"/>
            </w:pPr>
          </w:p>
        </w:tc>
        <w:tc>
          <w:tcPr>
            <w:tcW w:w="520" w:type="dxa"/>
          </w:tcPr>
          <w:p w14:paraId="6B2A20B4" w14:textId="77777777" w:rsidR="000F5D9D" w:rsidRPr="005A79C9" w:rsidRDefault="000F5D9D" w:rsidP="007D5C0F">
            <w:pPr>
              <w:pStyle w:val="NoSpacing"/>
            </w:pPr>
          </w:p>
        </w:tc>
      </w:tr>
      <w:tr w:rsidR="000F5D9D" w:rsidRPr="005A79C9" w14:paraId="0ED9E12C" w14:textId="77777777" w:rsidTr="00E22C20">
        <w:trPr>
          <w:trHeight w:val="576"/>
        </w:trPr>
        <w:tc>
          <w:tcPr>
            <w:tcW w:w="1522" w:type="dxa"/>
            <w:vAlign w:val="center"/>
          </w:tcPr>
          <w:p w14:paraId="009AE449" w14:textId="77777777" w:rsidR="000F5D9D" w:rsidRPr="005A79C9" w:rsidRDefault="000F5D9D" w:rsidP="007D5C0F">
            <w:pPr>
              <w:pStyle w:val="NoSpacing"/>
            </w:pPr>
            <w:r w:rsidRPr="005A79C9">
              <w:t xml:space="preserve">Thesis submission and </w:t>
            </w:r>
            <w:proofErr w:type="spellStart"/>
            <w:r w:rsidRPr="005A79C9">
              <w:t>defense</w:t>
            </w:r>
            <w:proofErr w:type="spellEnd"/>
          </w:p>
        </w:tc>
        <w:tc>
          <w:tcPr>
            <w:tcW w:w="519" w:type="dxa"/>
          </w:tcPr>
          <w:p w14:paraId="51348302" w14:textId="77777777" w:rsidR="000F5D9D" w:rsidRPr="005A79C9" w:rsidRDefault="000F5D9D" w:rsidP="007D5C0F">
            <w:pPr>
              <w:pStyle w:val="NoSpacing"/>
            </w:pPr>
          </w:p>
        </w:tc>
        <w:tc>
          <w:tcPr>
            <w:tcW w:w="519" w:type="dxa"/>
          </w:tcPr>
          <w:p w14:paraId="6692D04C" w14:textId="77777777" w:rsidR="000F5D9D" w:rsidRPr="005A79C9" w:rsidRDefault="000F5D9D" w:rsidP="007D5C0F">
            <w:pPr>
              <w:pStyle w:val="NoSpacing"/>
            </w:pPr>
          </w:p>
        </w:tc>
        <w:tc>
          <w:tcPr>
            <w:tcW w:w="520" w:type="dxa"/>
          </w:tcPr>
          <w:p w14:paraId="294DE07B" w14:textId="77777777" w:rsidR="000F5D9D" w:rsidRPr="005A79C9" w:rsidRDefault="000F5D9D" w:rsidP="007D5C0F">
            <w:pPr>
              <w:pStyle w:val="NoSpacing"/>
            </w:pPr>
          </w:p>
        </w:tc>
        <w:tc>
          <w:tcPr>
            <w:tcW w:w="519" w:type="dxa"/>
          </w:tcPr>
          <w:p w14:paraId="2BA9A59A" w14:textId="77777777" w:rsidR="000F5D9D" w:rsidRPr="005A79C9" w:rsidRDefault="000F5D9D" w:rsidP="007D5C0F">
            <w:pPr>
              <w:pStyle w:val="NoSpacing"/>
            </w:pPr>
          </w:p>
        </w:tc>
        <w:tc>
          <w:tcPr>
            <w:tcW w:w="520" w:type="dxa"/>
          </w:tcPr>
          <w:p w14:paraId="2642D366" w14:textId="77777777" w:rsidR="000F5D9D" w:rsidRPr="005A79C9" w:rsidRDefault="000F5D9D" w:rsidP="007D5C0F">
            <w:pPr>
              <w:pStyle w:val="NoSpacing"/>
            </w:pPr>
          </w:p>
        </w:tc>
        <w:tc>
          <w:tcPr>
            <w:tcW w:w="519" w:type="dxa"/>
          </w:tcPr>
          <w:p w14:paraId="6CB4AA59" w14:textId="77777777" w:rsidR="000F5D9D" w:rsidRPr="005A79C9" w:rsidRDefault="000F5D9D" w:rsidP="007D5C0F">
            <w:pPr>
              <w:pStyle w:val="NoSpacing"/>
            </w:pPr>
          </w:p>
        </w:tc>
        <w:tc>
          <w:tcPr>
            <w:tcW w:w="520" w:type="dxa"/>
          </w:tcPr>
          <w:p w14:paraId="69F7FE4F" w14:textId="77777777" w:rsidR="000F5D9D" w:rsidRPr="005A79C9" w:rsidRDefault="000F5D9D" w:rsidP="007D5C0F">
            <w:pPr>
              <w:pStyle w:val="NoSpacing"/>
            </w:pPr>
          </w:p>
        </w:tc>
        <w:tc>
          <w:tcPr>
            <w:tcW w:w="519" w:type="dxa"/>
          </w:tcPr>
          <w:p w14:paraId="69E3FEC7" w14:textId="77777777" w:rsidR="000F5D9D" w:rsidRPr="005A79C9" w:rsidRDefault="000F5D9D" w:rsidP="007D5C0F">
            <w:pPr>
              <w:pStyle w:val="NoSpacing"/>
            </w:pPr>
          </w:p>
        </w:tc>
        <w:tc>
          <w:tcPr>
            <w:tcW w:w="520" w:type="dxa"/>
          </w:tcPr>
          <w:p w14:paraId="6AB20F94" w14:textId="77777777" w:rsidR="000F5D9D" w:rsidRPr="005A79C9" w:rsidRDefault="000F5D9D" w:rsidP="007D5C0F">
            <w:pPr>
              <w:pStyle w:val="NoSpacing"/>
            </w:pPr>
          </w:p>
        </w:tc>
        <w:tc>
          <w:tcPr>
            <w:tcW w:w="519" w:type="dxa"/>
          </w:tcPr>
          <w:p w14:paraId="4C0C8133" w14:textId="77777777" w:rsidR="000F5D9D" w:rsidRPr="005A79C9" w:rsidRDefault="000F5D9D" w:rsidP="007D5C0F">
            <w:pPr>
              <w:pStyle w:val="NoSpacing"/>
            </w:pPr>
          </w:p>
        </w:tc>
        <w:tc>
          <w:tcPr>
            <w:tcW w:w="520" w:type="dxa"/>
          </w:tcPr>
          <w:p w14:paraId="16C5529A" w14:textId="77777777" w:rsidR="000F5D9D" w:rsidRPr="005A79C9" w:rsidRDefault="000F5D9D" w:rsidP="007D5C0F">
            <w:pPr>
              <w:pStyle w:val="NoSpacing"/>
            </w:pPr>
          </w:p>
        </w:tc>
        <w:tc>
          <w:tcPr>
            <w:tcW w:w="519" w:type="dxa"/>
          </w:tcPr>
          <w:p w14:paraId="2AFEA5F4" w14:textId="77777777" w:rsidR="000F5D9D" w:rsidRPr="005A79C9" w:rsidRDefault="000F5D9D" w:rsidP="007D5C0F">
            <w:pPr>
              <w:pStyle w:val="NoSpacing"/>
            </w:pPr>
          </w:p>
        </w:tc>
        <w:tc>
          <w:tcPr>
            <w:tcW w:w="519" w:type="dxa"/>
          </w:tcPr>
          <w:p w14:paraId="06314A7A" w14:textId="77777777" w:rsidR="000F5D9D" w:rsidRPr="005A79C9" w:rsidRDefault="000F5D9D" w:rsidP="007D5C0F">
            <w:pPr>
              <w:pStyle w:val="NoSpacing"/>
            </w:pPr>
          </w:p>
        </w:tc>
        <w:tc>
          <w:tcPr>
            <w:tcW w:w="520" w:type="dxa"/>
          </w:tcPr>
          <w:p w14:paraId="2C02CCB7" w14:textId="77777777" w:rsidR="000F5D9D" w:rsidRPr="005A79C9" w:rsidRDefault="000F5D9D" w:rsidP="007D5C0F">
            <w:pPr>
              <w:pStyle w:val="NoSpacing"/>
            </w:pPr>
          </w:p>
        </w:tc>
        <w:tc>
          <w:tcPr>
            <w:tcW w:w="519" w:type="dxa"/>
          </w:tcPr>
          <w:p w14:paraId="02744A46" w14:textId="77777777" w:rsidR="000F5D9D" w:rsidRPr="005A79C9" w:rsidRDefault="000F5D9D" w:rsidP="007D5C0F">
            <w:pPr>
              <w:pStyle w:val="NoSpacing"/>
            </w:pPr>
          </w:p>
        </w:tc>
        <w:tc>
          <w:tcPr>
            <w:tcW w:w="520" w:type="dxa"/>
          </w:tcPr>
          <w:p w14:paraId="4251FEFA" w14:textId="77777777" w:rsidR="000F5D9D" w:rsidRPr="005A79C9" w:rsidRDefault="000F5D9D" w:rsidP="007D5C0F">
            <w:pPr>
              <w:pStyle w:val="NoSpacing"/>
            </w:pPr>
          </w:p>
        </w:tc>
        <w:tc>
          <w:tcPr>
            <w:tcW w:w="519" w:type="dxa"/>
          </w:tcPr>
          <w:p w14:paraId="5EAF825B" w14:textId="77777777" w:rsidR="000F5D9D" w:rsidRPr="005A79C9" w:rsidRDefault="000F5D9D" w:rsidP="007D5C0F">
            <w:pPr>
              <w:pStyle w:val="NoSpacing"/>
            </w:pPr>
          </w:p>
        </w:tc>
        <w:tc>
          <w:tcPr>
            <w:tcW w:w="520" w:type="dxa"/>
          </w:tcPr>
          <w:p w14:paraId="0E28BD1F" w14:textId="77777777" w:rsidR="000F5D9D" w:rsidRPr="005A79C9" w:rsidRDefault="000F5D9D" w:rsidP="007D5C0F">
            <w:pPr>
              <w:pStyle w:val="NoSpacing"/>
            </w:pPr>
          </w:p>
        </w:tc>
        <w:tc>
          <w:tcPr>
            <w:tcW w:w="519" w:type="dxa"/>
          </w:tcPr>
          <w:p w14:paraId="4BEBFC7E" w14:textId="77777777" w:rsidR="000F5D9D" w:rsidRPr="005A79C9" w:rsidRDefault="000F5D9D" w:rsidP="007D5C0F">
            <w:pPr>
              <w:pStyle w:val="NoSpacing"/>
            </w:pPr>
          </w:p>
        </w:tc>
        <w:tc>
          <w:tcPr>
            <w:tcW w:w="520" w:type="dxa"/>
          </w:tcPr>
          <w:p w14:paraId="37424A63" w14:textId="77777777" w:rsidR="000F5D9D" w:rsidRPr="005A79C9" w:rsidRDefault="000F5D9D" w:rsidP="007D5C0F">
            <w:pPr>
              <w:pStyle w:val="NoSpacing"/>
            </w:pPr>
          </w:p>
        </w:tc>
        <w:tc>
          <w:tcPr>
            <w:tcW w:w="519" w:type="dxa"/>
            <w:shd w:val="clear" w:color="auto" w:fill="767171" w:themeFill="background2" w:themeFillShade="80"/>
          </w:tcPr>
          <w:p w14:paraId="052C7EED" w14:textId="77777777" w:rsidR="000F5D9D" w:rsidRPr="005A79C9" w:rsidRDefault="000F5D9D" w:rsidP="007D5C0F">
            <w:pPr>
              <w:pStyle w:val="NoSpacing"/>
            </w:pPr>
          </w:p>
        </w:tc>
        <w:tc>
          <w:tcPr>
            <w:tcW w:w="520" w:type="dxa"/>
          </w:tcPr>
          <w:p w14:paraId="170DFE1A" w14:textId="77777777" w:rsidR="000F5D9D" w:rsidRPr="005A79C9" w:rsidRDefault="000F5D9D" w:rsidP="007D5C0F">
            <w:pPr>
              <w:pStyle w:val="NoSpacing"/>
            </w:pPr>
          </w:p>
        </w:tc>
      </w:tr>
    </w:tbl>
    <w:p w14:paraId="57A01186" w14:textId="77777777" w:rsidR="000F5D9D" w:rsidRPr="005A79C9" w:rsidRDefault="000F5D9D" w:rsidP="00E22C20">
      <w:pPr>
        <w:spacing w:line="360" w:lineRule="auto"/>
        <w:ind w:left="851"/>
        <w:jc w:val="both"/>
        <w:rPr>
          <w:szCs w:val="24"/>
        </w:rPr>
        <w:sectPr w:rsidR="000F5D9D" w:rsidRPr="005A79C9" w:rsidSect="00E22C20">
          <w:pgSz w:w="15840" w:h="12240" w:orient="landscape"/>
          <w:pgMar w:top="1418" w:right="1418" w:bottom="1418" w:left="2155" w:header="720" w:footer="720" w:gutter="0"/>
          <w:cols w:space="720"/>
          <w:docGrid w:linePitch="360"/>
        </w:sectPr>
      </w:pPr>
    </w:p>
    <w:p w14:paraId="32CD38E4" w14:textId="77777777" w:rsidR="000F5D9D" w:rsidRPr="007D5C0F" w:rsidRDefault="000F5D9D" w:rsidP="00E22C20">
      <w:pPr>
        <w:pStyle w:val="Heading1"/>
        <w:spacing w:line="360" w:lineRule="auto"/>
        <w:ind w:left="851"/>
        <w:jc w:val="both"/>
        <w:rPr>
          <w:rFonts w:ascii="Times New Roman" w:hAnsi="Times New Roman" w:cs="Times New Roman"/>
          <w:b/>
          <w:bCs/>
          <w:color w:val="auto"/>
          <w:sz w:val="24"/>
          <w:szCs w:val="24"/>
        </w:rPr>
      </w:pPr>
      <w:bookmarkStart w:id="40" w:name="_Toc31400978"/>
      <w:r w:rsidRPr="007D5C0F">
        <w:rPr>
          <w:rFonts w:ascii="Times New Roman" w:hAnsi="Times New Roman" w:cs="Times New Roman"/>
          <w:b/>
          <w:bCs/>
          <w:color w:val="auto"/>
          <w:sz w:val="24"/>
          <w:szCs w:val="24"/>
        </w:rPr>
        <w:lastRenderedPageBreak/>
        <w:t>REFERENCES</w:t>
      </w:r>
      <w:bookmarkEnd w:id="40"/>
    </w:p>
    <w:p w14:paraId="1E4FEE5B" w14:textId="2D733082" w:rsidR="00854604" w:rsidRPr="00854604" w:rsidRDefault="000F5D9D" w:rsidP="00854604">
      <w:pPr>
        <w:widowControl w:val="0"/>
        <w:autoSpaceDE w:val="0"/>
        <w:autoSpaceDN w:val="0"/>
        <w:adjustRightInd w:val="0"/>
        <w:spacing w:after="0" w:line="360" w:lineRule="auto"/>
        <w:ind w:left="480" w:hanging="480"/>
        <w:rPr>
          <w:noProof/>
          <w:szCs w:val="24"/>
        </w:rPr>
      </w:pPr>
      <w:r w:rsidRPr="005A79C9">
        <w:rPr>
          <w:szCs w:val="24"/>
          <w:shd w:val="clear" w:color="auto" w:fill="FFFFFF"/>
        </w:rPr>
        <w:fldChar w:fldCharType="begin" w:fldLock="1"/>
      </w:r>
      <w:r w:rsidRPr="005A79C9">
        <w:rPr>
          <w:szCs w:val="24"/>
          <w:shd w:val="clear" w:color="auto" w:fill="FFFFFF"/>
        </w:rPr>
        <w:instrText xml:space="preserve">ADDIN Mendeley Bibliography CSL_BIBLIOGRAPHY </w:instrText>
      </w:r>
      <w:r w:rsidRPr="005A79C9">
        <w:rPr>
          <w:szCs w:val="24"/>
          <w:shd w:val="clear" w:color="auto" w:fill="FFFFFF"/>
        </w:rPr>
        <w:fldChar w:fldCharType="separate"/>
      </w:r>
      <w:r w:rsidR="00854604" w:rsidRPr="00854604">
        <w:rPr>
          <w:noProof/>
          <w:szCs w:val="24"/>
        </w:rPr>
        <w:t xml:space="preserve">Awadh, A. I., Hassali, M. A., Al-lela, O. Q., Bux, S. H., Elkalmi, R. M., &amp; Hadi, H. (2014). Does an educational intervention improve parents’ knowledge about immunization? Experience from Malaysia. </w:t>
      </w:r>
      <w:r w:rsidR="00854604" w:rsidRPr="00854604">
        <w:rPr>
          <w:i/>
          <w:iCs/>
          <w:noProof/>
          <w:szCs w:val="24"/>
        </w:rPr>
        <w:t>BMC Pediatrics</w:t>
      </w:r>
      <w:r w:rsidR="00854604" w:rsidRPr="00854604">
        <w:rPr>
          <w:noProof/>
          <w:szCs w:val="24"/>
        </w:rPr>
        <w:t>. https://doi.org/10.1186/1471-2431-14-254</w:t>
      </w:r>
    </w:p>
    <w:p w14:paraId="7B77D705"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Battistella, M., Carlino, C., Dugo, V., Ponzo, P., &amp; Franco, E. (2013). [Vaccines and autism: a myth to debunk?]. </w:t>
      </w:r>
      <w:r w:rsidRPr="00854604">
        <w:rPr>
          <w:i/>
          <w:iCs/>
          <w:noProof/>
          <w:szCs w:val="24"/>
        </w:rPr>
        <w:t>Igiene e Sanità Pubblica</w:t>
      </w:r>
      <w:r w:rsidRPr="00854604">
        <w:rPr>
          <w:noProof/>
          <w:szCs w:val="24"/>
        </w:rPr>
        <w:t>.</w:t>
      </w:r>
    </w:p>
    <w:p w14:paraId="3F80E356"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Bazzano, A., Zeldin, A., Schuster, E., Barrett, C., &amp; Lehrer, D. (2012). Vaccine-related beliefs and practices of parents of children with autism spectrum disorders. </w:t>
      </w:r>
      <w:r w:rsidRPr="00854604">
        <w:rPr>
          <w:i/>
          <w:iCs/>
          <w:noProof/>
          <w:szCs w:val="24"/>
        </w:rPr>
        <w:t>American Journal on Intellectual and Developmental Disabilities</w:t>
      </w:r>
      <w:r w:rsidRPr="00854604">
        <w:rPr>
          <w:noProof/>
          <w:szCs w:val="24"/>
        </w:rPr>
        <w:t>. https://doi.org/10.1352/1944-7558-117.3.233</w:t>
      </w:r>
    </w:p>
    <w:p w14:paraId="4E9E3248"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Cacciatore, M. A., Nowak, G. J., &amp; Evans, N. J. (2018). It’s Complicated: The 2014–2015 U.S. Measles Outbreak and Parents’ Vaccination Beliefs, Confidence, and Intentions. </w:t>
      </w:r>
      <w:r w:rsidRPr="00854604">
        <w:rPr>
          <w:i/>
          <w:iCs/>
          <w:noProof/>
          <w:szCs w:val="24"/>
        </w:rPr>
        <w:t>Risk Analysis</w:t>
      </w:r>
      <w:r w:rsidRPr="00854604">
        <w:rPr>
          <w:noProof/>
          <w:szCs w:val="24"/>
        </w:rPr>
        <w:t xml:space="preserve">, </w:t>
      </w:r>
      <w:r w:rsidRPr="00854604">
        <w:rPr>
          <w:i/>
          <w:iCs/>
          <w:noProof/>
          <w:szCs w:val="24"/>
        </w:rPr>
        <w:t>38</w:t>
      </w:r>
      <w:r w:rsidRPr="00854604">
        <w:rPr>
          <w:noProof/>
          <w:szCs w:val="24"/>
        </w:rPr>
        <w:t>(10), 2178–2192. https://doi.org/10.1111/risa.13120</w:t>
      </w:r>
    </w:p>
    <w:p w14:paraId="25FBDE68"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CDC. (2016). Measles Cases and Outbreaks.</w:t>
      </w:r>
    </w:p>
    <w:p w14:paraId="4A9004FC"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CDC. (2018). Data and Statistics | Autism Spectrum Disorder (ASD) | NCBDDD | CDC.</w:t>
      </w:r>
    </w:p>
    <w:p w14:paraId="121C2326"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Demicheli, V., Rivetti, A., Debalini, M. G., &amp; Di Pietrantonj, C. (2013). Vaccines for measles, mumps and rubella in children. </w:t>
      </w:r>
      <w:r w:rsidRPr="00854604">
        <w:rPr>
          <w:i/>
          <w:iCs/>
          <w:noProof/>
          <w:szCs w:val="24"/>
        </w:rPr>
        <w:t>Evidence-Based Child Health</w:t>
      </w:r>
      <w:r w:rsidRPr="00854604">
        <w:rPr>
          <w:noProof/>
          <w:szCs w:val="24"/>
        </w:rPr>
        <w:t>. https://doi.org/10.1002/ebch.1948</w:t>
      </w:r>
    </w:p>
    <w:p w14:paraId="5C7D15FC"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Elsabbagh, M., Divan, G., Koh, Y. J., Kim, Y. S., Kauchali, S., Marcín, C., … Fombonne, E. (2012). Global Prevalence of Autism and Other Pervasive Developmental Disorders. </w:t>
      </w:r>
      <w:r w:rsidRPr="00854604">
        <w:rPr>
          <w:i/>
          <w:iCs/>
          <w:noProof/>
          <w:szCs w:val="24"/>
        </w:rPr>
        <w:t>Autism Research</w:t>
      </w:r>
      <w:r w:rsidRPr="00854604">
        <w:rPr>
          <w:noProof/>
          <w:szCs w:val="24"/>
        </w:rPr>
        <w:t xml:space="preserve">, </w:t>
      </w:r>
      <w:r w:rsidRPr="00854604">
        <w:rPr>
          <w:i/>
          <w:iCs/>
          <w:noProof/>
          <w:szCs w:val="24"/>
        </w:rPr>
        <w:t>5</w:t>
      </w:r>
      <w:r w:rsidRPr="00854604">
        <w:rPr>
          <w:noProof/>
          <w:szCs w:val="24"/>
        </w:rPr>
        <w:t>(3), 160–179. https://doi.org/10.1002/aur.239</w:t>
      </w:r>
    </w:p>
    <w:p w14:paraId="45C152B1"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Fournet, N., Mollema, L., Ruijs, W. L., Harmsen, I. A., Keck, F., Durand, J. Y., … Van Steenbergen, J. E. (2018). Under-vaccinated groups in Europe and their beliefs, attitudes and reasons for non-vaccination; Two systematic reviews. </w:t>
      </w:r>
      <w:r w:rsidRPr="00854604">
        <w:rPr>
          <w:i/>
          <w:iCs/>
          <w:noProof/>
          <w:szCs w:val="24"/>
        </w:rPr>
        <w:t>BMC Public Health</w:t>
      </w:r>
      <w:r w:rsidRPr="00854604">
        <w:rPr>
          <w:noProof/>
          <w:szCs w:val="24"/>
        </w:rPr>
        <w:t>. https://doi.org/10.1186/s12889-018-5103-8</w:t>
      </w:r>
    </w:p>
    <w:p w14:paraId="248E2A97"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Gilkey, M. B., Magnus, B. E., Reiter, P. L., McRee, A. L., Dempsey, A. F., &amp; Brewer, N. T. (2014). The Vaccination Confidence Scale: A brief measure of parents’ vaccination beliefs. </w:t>
      </w:r>
      <w:r w:rsidRPr="00854604">
        <w:rPr>
          <w:i/>
          <w:iCs/>
          <w:noProof/>
          <w:szCs w:val="24"/>
        </w:rPr>
        <w:t>Vaccine</w:t>
      </w:r>
      <w:r w:rsidRPr="00854604">
        <w:rPr>
          <w:noProof/>
          <w:szCs w:val="24"/>
        </w:rPr>
        <w:t>. https://doi.org/10.1016/j.vaccine.2014.09.007</w:t>
      </w:r>
    </w:p>
    <w:p w14:paraId="7D04B7F8"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Glickman, G., Harrison, E., &amp; Dobkins, K. (2017). Vaccination rates among younger siblings of children with autism. </w:t>
      </w:r>
      <w:r w:rsidRPr="00854604">
        <w:rPr>
          <w:i/>
          <w:iCs/>
          <w:noProof/>
          <w:szCs w:val="24"/>
        </w:rPr>
        <w:t>New England Journal of Medicine</w:t>
      </w:r>
      <w:r w:rsidRPr="00854604">
        <w:rPr>
          <w:noProof/>
          <w:szCs w:val="24"/>
        </w:rPr>
        <w:t>. https://doi.org/10.1056/NEJMc1708223</w:t>
      </w:r>
    </w:p>
    <w:p w14:paraId="3912B27C"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Halim, H. A., Abdul-razak, S., Yasin, M., &amp; Isa, M. R. (2019). Validation study of the Parent Attitudes About Childhood Vaccines (PACV) questionnaire: The Malay version. </w:t>
      </w:r>
      <w:r w:rsidRPr="00854604">
        <w:rPr>
          <w:i/>
          <w:iCs/>
          <w:noProof/>
          <w:szCs w:val="24"/>
        </w:rPr>
        <w:t xml:space="preserve">Human </w:t>
      </w:r>
      <w:r w:rsidRPr="00854604">
        <w:rPr>
          <w:i/>
          <w:iCs/>
          <w:noProof/>
          <w:szCs w:val="24"/>
        </w:rPr>
        <w:lastRenderedPageBreak/>
        <w:t>Vaccines &amp; Immunotherapeutics</w:t>
      </w:r>
      <w:r w:rsidRPr="00854604">
        <w:rPr>
          <w:noProof/>
          <w:szCs w:val="24"/>
        </w:rPr>
        <w:t xml:space="preserve">, </w:t>
      </w:r>
      <w:r w:rsidRPr="00854604">
        <w:rPr>
          <w:i/>
          <w:iCs/>
          <w:noProof/>
          <w:szCs w:val="24"/>
        </w:rPr>
        <w:t>0</w:t>
      </w:r>
      <w:r w:rsidRPr="00854604">
        <w:rPr>
          <w:noProof/>
          <w:szCs w:val="24"/>
        </w:rPr>
        <w:t>(0), 1–32. https://doi.org/10.1080/21645515.2019.1674112</w:t>
      </w:r>
    </w:p>
    <w:p w14:paraId="1D560F99"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Hill, H. A., Elam-Evans, L. D., Yankey, D., Singleton, J. A., &amp; Kang, Y. (2018). Vaccination coverage among children aged 19–35 months — United States, 2017. </w:t>
      </w:r>
      <w:r w:rsidRPr="00854604">
        <w:rPr>
          <w:i/>
          <w:iCs/>
          <w:noProof/>
          <w:szCs w:val="24"/>
        </w:rPr>
        <w:t>Morbidity and Mortality Weekly Report</w:t>
      </w:r>
      <w:r w:rsidRPr="00854604">
        <w:rPr>
          <w:noProof/>
          <w:szCs w:val="24"/>
        </w:rPr>
        <w:t>. https://doi.org/10.15585/MMWR.MM6740A4</w:t>
      </w:r>
    </w:p>
    <w:p w14:paraId="09A11E2D"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Howe, C., &amp; Eggett, A. (2018). What is Autism Spectrum Disorder? https://doi.org/10.4324/9781315169187-1</w:t>
      </w:r>
    </w:p>
    <w:p w14:paraId="050F63AA"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Kalok, A., Loh, S. Y. E., Chew, K. T., Abdul Aziz, N. H., Shah, S. A., Ahmad, S., … Abdullah Mahdy, Z. (2020). Vaccine hesitancy towards childhood immunisation amongst urban pregnant mothers in Malaysia. </w:t>
      </w:r>
      <w:r w:rsidRPr="00854604">
        <w:rPr>
          <w:i/>
          <w:iCs/>
          <w:noProof/>
          <w:szCs w:val="24"/>
        </w:rPr>
        <w:t>Vaccine</w:t>
      </w:r>
      <w:r w:rsidRPr="00854604">
        <w:rPr>
          <w:noProof/>
          <w:szCs w:val="24"/>
        </w:rPr>
        <w:t>. https://doi.org/10.1016/J.VACCINE.2020.01.043</w:t>
      </w:r>
    </w:p>
    <w:p w14:paraId="3A6F36E4"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Keluarga, M. K. K. B. P. K. (2006). </w:t>
      </w:r>
      <w:r w:rsidRPr="00854604">
        <w:rPr>
          <w:i/>
          <w:iCs/>
          <w:noProof/>
          <w:szCs w:val="24"/>
        </w:rPr>
        <w:t>Prosiding mesyuarat membincangkan hasil kajian saringan dan pengendalian masalah autisme : 16-18 Mei 2006 Hotel Dynasty Kuala Lumpur</w:t>
      </w:r>
      <w:r w:rsidRPr="00854604">
        <w:rPr>
          <w:noProof/>
          <w:szCs w:val="24"/>
        </w:rPr>
        <w:t>. Bahagian Pembangunan Kesihatan Keluarga Kementerian Kesihatan Malaysia.</w:t>
      </w:r>
    </w:p>
    <w:p w14:paraId="5799A344"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Kuwaik, G. A., Roberts, W., Zwaigenbaum, L., Bryson, S., Smith, I. M., Szatmari, P., … Brian, J. (2014). Immunization uptake in younger siblings of children with autism spectrum disorder. </w:t>
      </w:r>
      <w:r w:rsidRPr="00854604">
        <w:rPr>
          <w:i/>
          <w:iCs/>
          <w:noProof/>
          <w:szCs w:val="24"/>
        </w:rPr>
        <w:t>Autism</w:t>
      </w:r>
      <w:r w:rsidRPr="00854604">
        <w:rPr>
          <w:noProof/>
          <w:szCs w:val="24"/>
        </w:rPr>
        <w:t>. https://doi.org/10.1177/1362361312459111</w:t>
      </w:r>
    </w:p>
    <w:p w14:paraId="3C194AC2"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Lane, S., MacDonald, N. E., Marti, M., &amp; Dumolard, L. (2018). Vaccine hesitancy around the globe: Analysis of three years of WHO/UNICEF Joint Reporting Form data-2015–2017. </w:t>
      </w:r>
      <w:r w:rsidRPr="00854604">
        <w:rPr>
          <w:i/>
          <w:iCs/>
          <w:noProof/>
          <w:szCs w:val="24"/>
        </w:rPr>
        <w:t>Vaccine</w:t>
      </w:r>
      <w:r w:rsidRPr="00854604">
        <w:rPr>
          <w:noProof/>
          <w:szCs w:val="24"/>
        </w:rPr>
        <w:t>. https://doi.org/10.1016/j.vaccine.2018.03.063</w:t>
      </w:r>
    </w:p>
    <w:p w14:paraId="3155D343"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Leask, J., Willaby, H. W., &amp; Kaufman, J. (2014). The big picture in addressing vaccine hesitancy. </w:t>
      </w:r>
      <w:r w:rsidRPr="00854604">
        <w:rPr>
          <w:i/>
          <w:iCs/>
          <w:noProof/>
          <w:szCs w:val="24"/>
        </w:rPr>
        <w:t>Human Vaccines and Immunotherapeutics</w:t>
      </w:r>
      <w:r w:rsidRPr="00854604">
        <w:rPr>
          <w:noProof/>
          <w:szCs w:val="24"/>
        </w:rPr>
        <w:t xml:space="preserve">, </w:t>
      </w:r>
      <w:r w:rsidRPr="00854604">
        <w:rPr>
          <w:i/>
          <w:iCs/>
          <w:noProof/>
          <w:szCs w:val="24"/>
        </w:rPr>
        <w:t>10</w:t>
      </w:r>
      <w:r w:rsidRPr="00854604">
        <w:rPr>
          <w:noProof/>
          <w:szCs w:val="24"/>
        </w:rPr>
        <w:t>(9), 2600–2602. https://doi.org/10.4161/hv.29725</w:t>
      </w:r>
    </w:p>
    <w:p w14:paraId="44968290"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Lim, W. Y., Jeganathan, N., Rahmat, H., &amp; Mustafa, N. A. (2016). Exploring immunisation refusal by parents in the Malaysian context. </w:t>
      </w:r>
      <w:r w:rsidRPr="00854604">
        <w:rPr>
          <w:i/>
          <w:iCs/>
          <w:noProof/>
          <w:szCs w:val="24"/>
        </w:rPr>
        <w:t>Cogent Medicine</w:t>
      </w:r>
      <w:r w:rsidRPr="00854604">
        <w:rPr>
          <w:noProof/>
          <w:szCs w:val="24"/>
        </w:rPr>
        <w:t xml:space="preserve">, </w:t>
      </w:r>
      <w:r w:rsidRPr="00854604">
        <w:rPr>
          <w:i/>
          <w:iCs/>
          <w:noProof/>
          <w:szCs w:val="24"/>
        </w:rPr>
        <w:t>86</w:t>
      </w:r>
      <w:r w:rsidRPr="00854604">
        <w:rPr>
          <w:noProof/>
          <w:szCs w:val="24"/>
        </w:rPr>
        <w:t>(1), 1–8. https://doi.org/10.1080/2331205X.2016.1142410</w:t>
      </w:r>
    </w:p>
    <w:p w14:paraId="5D1BA441"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Macdonald, N. E., &amp; Group, W. (2015). </w:t>
      </w:r>
      <w:r w:rsidRPr="00854604">
        <w:rPr>
          <w:i/>
          <w:iCs/>
          <w:noProof/>
          <w:szCs w:val="24"/>
        </w:rPr>
        <w:t>Vaccine hesitancy : Definition , scope and determinants</w:t>
      </w:r>
      <w:r w:rsidRPr="00854604">
        <w:rPr>
          <w:noProof/>
          <w:szCs w:val="24"/>
        </w:rPr>
        <w:t xml:space="preserve">. </w:t>
      </w:r>
      <w:r w:rsidRPr="00854604">
        <w:rPr>
          <w:i/>
          <w:iCs/>
          <w:noProof/>
          <w:szCs w:val="24"/>
        </w:rPr>
        <w:t>33</w:t>
      </w:r>
      <w:r w:rsidRPr="00854604">
        <w:rPr>
          <w:noProof/>
          <w:szCs w:val="24"/>
        </w:rPr>
        <w:t>, 4161–4164. https://doi.org/10.1016/j.vaccine.2015.04.036</w:t>
      </w:r>
    </w:p>
    <w:p w14:paraId="08793892"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Mohd Azizi, F. S., Kew, Y., Moy, F. M., Shaheera, F., Azizi, M., Kew, Y., &amp; Moy, F. M. (2017). Vaccine hesitancy among parents in a multi-ethnic country, Malaysia. </w:t>
      </w:r>
      <w:r w:rsidRPr="00854604">
        <w:rPr>
          <w:i/>
          <w:iCs/>
          <w:noProof/>
          <w:szCs w:val="24"/>
        </w:rPr>
        <w:t>Vaccine</w:t>
      </w:r>
      <w:r w:rsidRPr="00854604">
        <w:rPr>
          <w:noProof/>
          <w:szCs w:val="24"/>
        </w:rPr>
        <w:t>. https://doi.org/10.1016/j.vaccine.2017.04.010</w:t>
      </w:r>
    </w:p>
    <w:p w14:paraId="2D7BDC2F"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Musa, A. F., Soni, T., Cheong, X. P., &amp; Nordin, R. Bin. (2019). Vaccine hesitancy among parents in Kuala Lumpur: a single center study. </w:t>
      </w:r>
      <w:r w:rsidRPr="00854604">
        <w:rPr>
          <w:i/>
          <w:iCs/>
          <w:noProof/>
          <w:szCs w:val="24"/>
        </w:rPr>
        <w:t>F1000Research</w:t>
      </w:r>
      <w:r w:rsidRPr="00854604">
        <w:rPr>
          <w:noProof/>
          <w:szCs w:val="24"/>
        </w:rPr>
        <w:t xml:space="preserve">, </w:t>
      </w:r>
      <w:r w:rsidRPr="00854604">
        <w:rPr>
          <w:i/>
          <w:iCs/>
          <w:noProof/>
          <w:szCs w:val="24"/>
        </w:rPr>
        <w:t>8</w:t>
      </w:r>
      <w:r w:rsidRPr="00854604">
        <w:rPr>
          <w:noProof/>
          <w:szCs w:val="24"/>
        </w:rPr>
        <w:t xml:space="preserve">, 1653. </w:t>
      </w:r>
      <w:r w:rsidRPr="00854604">
        <w:rPr>
          <w:noProof/>
          <w:szCs w:val="24"/>
        </w:rPr>
        <w:lastRenderedPageBreak/>
        <w:t>https://doi.org/10.12688/f1000research.20079.1</w:t>
      </w:r>
    </w:p>
    <w:p w14:paraId="03BAB1D2"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Nowak, G. J., Gellin, B. G., MacDonald, N. E., Butler, R., Eskola, J., Liang, X., … Schuster, M. (2015). Addressing vaccine hesitancy: The potential value of commercial and social marketing principles and practices. </w:t>
      </w:r>
      <w:r w:rsidRPr="00854604">
        <w:rPr>
          <w:i/>
          <w:iCs/>
          <w:noProof/>
          <w:szCs w:val="24"/>
        </w:rPr>
        <w:t>Vaccine</w:t>
      </w:r>
      <w:r w:rsidRPr="00854604">
        <w:rPr>
          <w:noProof/>
          <w:szCs w:val="24"/>
        </w:rPr>
        <w:t>. https://doi.org/10.1016/j.vaccine.2015.04.039</w:t>
      </w:r>
    </w:p>
    <w:p w14:paraId="2C44885A"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Opel, D. J., Mangione-smith, R., Taylor, J. A., Korfiatis, C., Wiese, C., Catz, S., … Martin, D. P. (2011). </w:t>
      </w:r>
      <w:r w:rsidRPr="00854604">
        <w:rPr>
          <w:i/>
          <w:iCs/>
          <w:noProof/>
          <w:szCs w:val="24"/>
        </w:rPr>
        <w:t>The Parent Attitudes about Childhood Vaccines survey a n d e s i o s c i e n c e o n o t d i s t r i b u t e</w:t>
      </w:r>
      <w:r w:rsidRPr="00854604">
        <w:rPr>
          <w:noProof/>
          <w:szCs w:val="24"/>
        </w:rPr>
        <w:t xml:space="preserve">. </w:t>
      </w:r>
      <w:r w:rsidRPr="00854604">
        <w:rPr>
          <w:i/>
          <w:iCs/>
          <w:noProof/>
          <w:szCs w:val="24"/>
        </w:rPr>
        <w:t>8600</w:t>
      </w:r>
      <w:r w:rsidRPr="00854604">
        <w:rPr>
          <w:noProof/>
          <w:szCs w:val="24"/>
        </w:rPr>
        <w:t>. https://doi.org/10.4161/hv.7.4.14120</w:t>
      </w:r>
    </w:p>
    <w:p w14:paraId="5C2FADF9"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Opel, D. J., Taylor, J. A., Mangione-Smith, R., Solomon, C., Zhao, C., Catz, S., &amp; Martin, D. (2011). Validity and reliability of a survey to identify vaccine-hesitant parents. </w:t>
      </w:r>
      <w:r w:rsidRPr="00854604">
        <w:rPr>
          <w:i/>
          <w:iCs/>
          <w:noProof/>
          <w:szCs w:val="24"/>
        </w:rPr>
        <w:t>Vaccine</w:t>
      </w:r>
      <w:r w:rsidRPr="00854604">
        <w:rPr>
          <w:noProof/>
          <w:szCs w:val="24"/>
        </w:rPr>
        <w:t xml:space="preserve">, </w:t>
      </w:r>
      <w:r w:rsidRPr="00854604">
        <w:rPr>
          <w:i/>
          <w:iCs/>
          <w:noProof/>
          <w:szCs w:val="24"/>
        </w:rPr>
        <w:t>29</w:t>
      </w:r>
      <w:r w:rsidRPr="00854604">
        <w:rPr>
          <w:noProof/>
          <w:szCs w:val="24"/>
        </w:rPr>
        <w:t>(38), 6598–6605. https://doi.org/10.1016/j.vaccine.2011.06.115</w:t>
      </w:r>
    </w:p>
    <w:p w14:paraId="2C321C06"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Redfield, R. R., Kent, C. K., Leahy, M. A., Martinroe, J. C., Spriggs, S. R., Yang, T., … Schaffner, W. (2014). Morbidity and Mortality Weekly Report Prevalence of Autism Spectrum Disorder Among Children Aged 8 Years-Autism and Developmental Disabilities Monitoring Network, 11 Sites, United States, 2014 Centers for Disease Control and Prevention MMWR Editorial and. In </w:t>
      </w:r>
      <w:r w:rsidRPr="00854604">
        <w:rPr>
          <w:i/>
          <w:iCs/>
          <w:noProof/>
          <w:szCs w:val="24"/>
        </w:rPr>
        <w:t>MMWR Surveill Summ.</w:t>
      </w:r>
      <w:r w:rsidRPr="00854604">
        <w:rPr>
          <w:noProof/>
          <w:szCs w:val="24"/>
        </w:rPr>
        <w:t xml:space="preserve"> (Vol. 67). Retrieved from https://www.cdc.gov/mmwr/volumes/67/ss/pdfs/ss6706a1-H.pdf</w:t>
      </w:r>
    </w:p>
    <w:p w14:paraId="1969E19B"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Rosenberg, R. E., Law, J. K., Anderson, C., Samango-Sprouse, C., &amp; Law, P. A. (2013). Survey of vaccine beliefs and practices among families affected by autism spectrum disorders. </w:t>
      </w:r>
      <w:r w:rsidRPr="00854604">
        <w:rPr>
          <w:i/>
          <w:iCs/>
          <w:noProof/>
          <w:szCs w:val="24"/>
        </w:rPr>
        <w:t>Clinical Pediatrics</w:t>
      </w:r>
      <w:r w:rsidRPr="00854604">
        <w:rPr>
          <w:noProof/>
          <w:szCs w:val="24"/>
        </w:rPr>
        <w:t>. https://doi.org/10.1177/0009922812438435</w:t>
      </w:r>
    </w:p>
    <w:p w14:paraId="0E00BF78"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Sun, X., &amp; Allison, C. (2010). A review of the prevalence of Autism Spectrum Disorder in Asia. </w:t>
      </w:r>
      <w:r w:rsidRPr="00854604">
        <w:rPr>
          <w:i/>
          <w:iCs/>
          <w:noProof/>
          <w:szCs w:val="24"/>
        </w:rPr>
        <w:t>Research in Autism Spectrum Disorders</w:t>
      </w:r>
      <w:r w:rsidRPr="00854604">
        <w:rPr>
          <w:noProof/>
          <w:szCs w:val="24"/>
        </w:rPr>
        <w:t>. https://doi.org/10.1016/j.rasd.2009.10.003</w:t>
      </w:r>
    </w:p>
    <w:p w14:paraId="4DBE0EFF"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The SAGE Working Group. (2014). REPORT OF THE SAGE WORKING GROUP ON VACCINE HESITANCY.</w:t>
      </w:r>
    </w:p>
    <w:p w14:paraId="0F523384" w14:textId="77777777" w:rsidR="00854604" w:rsidRPr="00854604" w:rsidRDefault="00854604" w:rsidP="00854604">
      <w:pPr>
        <w:widowControl w:val="0"/>
        <w:autoSpaceDE w:val="0"/>
        <w:autoSpaceDN w:val="0"/>
        <w:adjustRightInd w:val="0"/>
        <w:spacing w:after="0" w:line="360" w:lineRule="auto"/>
        <w:ind w:left="480" w:hanging="480"/>
        <w:rPr>
          <w:noProof/>
          <w:szCs w:val="24"/>
        </w:rPr>
      </w:pPr>
      <w:r w:rsidRPr="00854604">
        <w:rPr>
          <w:noProof/>
          <w:szCs w:val="24"/>
        </w:rPr>
        <w:t xml:space="preserve">Wang, F., Lu, L., Wang, S. Bin, Zhang, L., Ng, C. H., Ungvari, G. S., … Xiang, Y. T. (2018). The prevalence of autism spectrum disorders in China: A comprehensive meta-analysis. </w:t>
      </w:r>
      <w:r w:rsidRPr="00854604">
        <w:rPr>
          <w:i/>
          <w:iCs/>
          <w:noProof/>
          <w:szCs w:val="24"/>
        </w:rPr>
        <w:t>International Journal of Biological Sciences</w:t>
      </w:r>
      <w:r w:rsidRPr="00854604">
        <w:rPr>
          <w:noProof/>
          <w:szCs w:val="24"/>
        </w:rPr>
        <w:t xml:space="preserve">, </w:t>
      </w:r>
      <w:r w:rsidRPr="00854604">
        <w:rPr>
          <w:i/>
          <w:iCs/>
          <w:noProof/>
          <w:szCs w:val="24"/>
        </w:rPr>
        <w:t>14</w:t>
      </w:r>
      <w:r w:rsidRPr="00854604">
        <w:rPr>
          <w:noProof/>
          <w:szCs w:val="24"/>
        </w:rPr>
        <w:t>(7), 717–725. https://doi.org/10.7150/ijbs.24063</w:t>
      </w:r>
    </w:p>
    <w:p w14:paraId="5F8F117D" w14:textId="77777777" w:rsidR="00854604" w:rsidRPr="00854604" w:rsidRDefault="00854604" w:rsidP="00854604">
      <w:pPr>
        <w:widowControl w:val="0"/>
        <w:autoSpaceDE w:val="0"/>
        <w:autoSpaceDN w:val="0"/>
        <w:adjustRightInd w:val="0"/>
        <w:spacing w:after="0" w:line="360" w:lineRule="auto"/>
        <w:ind w:left="480" w:hanging="480"/>
        <w:rPr>
          <w:noProof/>
        </w:rPr>
      </w:pPr>
      <w:r w:rsidRPr="00854604">
        <w:rPr>
          <w:noProof/>
          <w:szCs w:val="24"/>
        </w:rPr>
        <w:t xml:space="preserve">Zerbo, O., Modaressi, S., Goddard, K., Lewis, E., Fireman, B. H., Daley, M. F., … Klein, N. P. (2018). Vaccination patterns in children after autism spectrum disorder diagnosis and in their younger siblings. </w:t>
      </w:r>
      <w:r w:rsidRPr="00854604">
        <w:rPr>
          <w:i/>
          <w:iCs/>
          <w:noProof/>
          <w:szCs w:val="24"/>
        </w:rPr>
        <w:t>JAMA Pediatrics</w:t>
      </w:r>
      <w:r w:rsidRPr="00854604">
        <w:rPr>
          <w:noProof/>
          <w:szCs w:val="24"/>
        </w:rPr>
        <w:t>. https://doi.org/10.1001/jamapediatrics.2018.0082</w:t>
      </w:r>
    </w:p>
    <w:p w14:paraId="2019C7FE" w14:textId="77777777" w:rsidR="000F5D9D" w:rsidRPr="005A79C9" w:rsidRDefault="000F5D9D" w:rsidP="00E22C20">
      <w:pPr>
        <w:spacing w:line="360" w:lineRule="auto"/>
        <w:ind w:left="851"/>
        <w:jc w:val="both"/>
        <w:rPr>
          <w:szCs w:val="24"/>
          <w:shd w:val="clear" w:color="auto" w:fill="FFFFFF"/>
        </w:rPr>
      </w:pPr>
      <w:r w:rsidRPr="005A79C9">
        <w:rPr>
          <w:szCs w:val="24"/>
          <w:shd w:val="clear" w:color="auto" w:fill="FFFFFF"/>
        </w:rPr>
        <w:lastRenderedPageBreak/>
        <w:fldChar w:fldCharType="end"/>
      </w:r>
    </w:p>
    <w:p w14:paraId="181A0F6D" w14:textId="77777777" w:rsidR="000F5D9D" w:rsidRPr="005A79C9" w:rsidRDefault="000F5D9D" w:rsidP="00E22C20">
      <w:pPr>
        <w:spacing w:line="360" w:lineRule="auto"/>
        <w:ind w:left="851"/>
        <w:jc w:val="both"/>
        <w:rPr>
          <w:szCs w:val="24"/>
          <w:shd w:val="clear" w:color="auto" w:fill="FFFFFF"/>
        </w:rPr>
      </w:pPr>
    </w:p>
    <w:p w14:paraId="3ACE8C42" w14:textId="77777777" w:rsidR="000F5D9D" w:rsidRPr="005A79C9" w:rsidRDefault="000F5D9D" w:rsidP="00E22C20">
      <w:pPr>
        <w:spacing w:line="360" w:lineRule="auto"/>
        <w:ind w:left="851"/>
        <w:jc w:val="both"/>
        <w:rPr>
          <w:szCs w:val="24"/>
          <w:shd w:val="clear" w:color="auto" w:fill="FFFFFF"/>
        </w:rPr>
      </w:pPr>
    </w:p>
    <w:p w14:paraId="20E79AA4" w14:textId="77777777" w:rsidR="000F5D9D" w:rsidRPr="005A79C9" w:rsidRDefault="000F5D9D" w:rsidP="00E22C20">
      <w:pPr>
        <w:spacing w:line="360" w:lineRule="auto"/>
        <w:ind w:left="851"/>
        <w:jc w:val="both"/>
        <w:rPr>
          <w:szCs w:val="24"/>
          <w:shd w:val="clear" w:color="auto" w:fill="FFFFFF"/>
        </w:rPr>
      </w:pPr>
    </w:p>
    <w:p w14:paraId="7024572C" w14:textId="77777777" w:rsidR="000F5D9D" w:rsidRPr="005A79C9" w:rsidRDefault="000F5D9D" w:rsidP="00E22C20">
      <w:pPr>
        <w:spacing w:line="360" w:lineRule="auto"/>
        <w:ind w:left="851"/>
        <w:jc w:val="both"/>
        <w:rPr>
          <w:szCs w:val="24"/>
          <w:shd w:val="clear" w:color="auto" w:fill="FFFFFF"/>
        </w:rPr>
      </w:pPr>
    </w:p>
    <w:p w14:paraId="3D312BC5" w14:textId="77777777" w:rsidR="000F5D9D" w:rsidRPr="005A79C9" w:rsidRDefault="000F5D9D" w:rsidP="00E22C20">
      <w:pPr>
        <w:spacing w:line="360" w:lineRule="auto"/>
        <w:ind w:left="851"/>
        <w:jc w:val="both"/>
        <w:rPr>
          <w:szCs w:val="24"/>
          <w:shd w:val="clear" w:color="auto" w:fill="FFFFFF"/>
        </w:rPr>
      </w:pPr>
    </w:p>
    <w:p w14:paraId="2268F6EA" w14:textId="77777777" w:rsidR="000F5D9D" w:rsidRPr="005A79C9" w:rsidRDefault="000F5D9D" w:rsidP="00E22C20">
      <w:pPr>
        <w:spacing w:line="360" w:lineRule="auto"/>
        <w:ind w:left="851"/>
        <w:jc w:val="both"/>
        <w:rPr>
          <w:szCs w:val="24"/>
          <w:shd w:val="clear" w:color="auto" w:fill="FFFFFF"/>
        </w:rPr>
      </w:pPr>
    </w:p>
    <w:p w14:paraId="2FD53A63" w14:textId="77777777" w:rsidR="000F5D9D" w:rsidRPr="005A79C9" w:rsidRDefault="000F5D9D" w:rsidP="00E22C20">
      <w:pPr>
        <w:spacing w:line="360" w:lineRule="auto"/>
        <w:ind w:left="851"/>
        <w:jc w:val="both"/>
        <w:rPr>
          <w:szCs w:val="24"/>
          <w:shd w:val="clear" w:color="auto" w:fill="FFFFFF"/>
        </w:rPr>
      </w:pPr>
    </w:p>
    <w:p w14:paraId="222DB777" w14:textId="77777777" w:rsidR="000F5D9D" w:rsidRPr="005A79C9" w:rsidRDefault="000F5D9D" w:rsidP="00E22C20">
      <w:pPr>
        <w:spacing w:line="360" w:lineRule="auto"/>
        <w:ind w:left="851"/>
        <w:jc w:val="both"/>
        <w:rPr>
          <w:szCs w:val="24"/>
        </w:rPr>
      </w:pPr>
    </w:p>
    <w:p w14:paraId="4EE41F5B" w14:textId="5C525E02" w:rsidR="000F5D9D" w:rsidRDefault="000F5D9D" w:rsidP="00E22C20">
      <w:pPr>
        <w:spacing w:line="360" w:lineRule="auto"/>
        <w:ind w:left="851"/>
        <w:jc w:val="both"/>
        <w:rPr>
          <w:szCs w:val="24"/>
        </w:rPr>
      </w:pPr>
      <w:r w:rsidRPr="005A79C9">
        <w:rPr>
          <w:szCs w:val="24"/>
        </w:rPr>
        <w:br w:type="page"/>
      </w:r>
    </w:p>
    <w:p w14:paraId="5EED6A16" w14:textId="550BB564" w:rsidR="007D5C0F" w:rsidRDefault="007D5C0F" w:rsidP="00E22C20">
      <w:pPr>
        <w:spacing w:line="360" w:lineRule="auto"/>
        <w:ind w:left="851"/>
        <w:jc w:val="both"/>
        <w:rPr>
          <w:szCs w:val="24"/>
        </w:rPr>
      </w:pPr>
    </w:p>
    <w:p w14:paraId="3D3AB0A5" w14:textId="4C374C61" w:rsidR="007D5C0F" w:rsidRDefault="007D5C0F" w:rsidP="00E22C20">
      <w:pPr>
        <w:spacing w:line="360" w:lineRule="auto"/>
        <w:ind w:left="851"/>
        <w:jc w:val="both"/>
        <w:rPr>
          <w:szCs w:val="24"/>
        </w:rPr>
      </w:pPr>
    </w:p>
    <w:p w14:paraId="007A0F44" w14:textId="1DB68E41" w:rsidR="007D5C0F" w:rsidRDefault="007D5C0F" w:rsidP="00E22C20">
      <w:pPr>
        <w:spacing w:line="360" w:lineRule="auto"/>
        <w:ind w:left="851"/>
        <w:jc w:val="both"/>
        <w:rPr>
          <w:szCs w:val="24"/>
        </w:rPr>
      </w:pPr>
    </w:p>
    <w:p w14:paraId="7F7C1DF0" w14:textId="1306C4C4" w:rsidR="007D5C0F" w:rsidRDefault="007D5C0F" w:rsidP="00E22C20">
      <w:pPr>
        <w:spacing w:line="360" w:lineRule="auto"/>
        <w:ind w:left="851"/>
        <w:jc w:val="both"/>
        <w:rPr>
          <w:szCs w:val="24"/>
        </w:rPr>
      </w:pPr>
    </w:p>
    <w:p w14:paraId="05B75AEA" w14:textId="05E023C0" w:rsidR="007D5C0F" w:rsidRDefault="007D5C0F" w:rsidP="00E22C20">
      <w:pPr>
        <w:spacing w:line="360" w:lineRule="auto"/>
        <w:ind w:left="851"/>
        <w:jc w:val="both"/>
        <w:rPr>
          <w:szCs w:val="24"/>
        </w:rPr>
      </w:pPr>
    </w:p>
    <w:p w14:paraId="02C82A63" w14:textId="405123EC" w:rsidR="007D5C0F" w:rsidRDefault="007D5C0F" w:rsidP="00E22C20">
      <w:pPr>
        <w:spacing w:line="360" w:lineRule="auto"/>
        <w:ind w:left="851"/>
        <w:jc w:val="both"/>
        <w:rPr>
          <w:szCs w:val="24"/>
        </w:rPr>
      </w:pPr>
    </w:p>
    <w:p w14:paraId="03DBDD92" w14:textId="56599E71" w:rsidR="007D5C0F" w:rsidRDefault="007D5C0F" w:rsidP="00E22C20">
      <w:pPr>
        <w:spacing w:line="360" w:lineRule="auto"/>
        <w:ind w:left="851"/>
        <w:jc w:val="both"/>
        <w:rPr>
          <w:szCs w:val="24"/>
        </w:rPr>
      </w:pPr>
    </w:p>
    <w:p w14:paraId="472040F3" w14:textId="4F33C6EB" w:rsidR="007D5C0F" w:rsidRDefault="007D5C0F" w:rsidP="00E22C20">
      <w:pPr>
        <w:spacing w:line="360" w:lineRule="auto"/>
        <w:ind w:left="851"/>
        <w:jc w:val="both"/>
        <w:rPr>
          <w:szCs w:val="24"/>
        </w:rPr>
      </w:pPr>
    </w:p>
    <w:p w14:paraId="106312C5" w14:textId="77777777" w:rsidR="007D5C0F" w:rsidRPr="005A79C9" w:rsidRDefault="007D5C0F" w:rsidP="00E22C20">
      <w:pPr>
        <w:spacing w:line="360" w:lineRule="auto"/>
        <w:ind w:left="851"/>
        <w:jc w:val="both"/>
        <w:rPr>
          <w:szCs w:val="24"/>
        </w:rPr>
      </w:pPr>
    </w:p>
    <w:p w14:paraId="393EF6CC" w14:textId="77777777" w:rsidR="000F5D9D" w:rsidRPr="007D5C0F" w:rsidRDefault="000F5D9D" w:rsidP="007D5C0F">
      <w:pPr>
        <w:pStyle w:val="Heading1"/>
        <w:spacing w:line="360" w:lineRule="auto"/>
        <w:ind w:left="851"/>
        <w:jc w:val="center"/>
        <w:rPr>
          <w:rFonts w:ascii="Times New Roman" w:hAnsi="Times New Roman" w:cs="Times New Roman"/>
          <w:b/>
          <w:bCs/>
          <w:color w:val="auto"/>
          <w:sz w:val="24"/>
          <w:szCs w:val="24"/>
        </w:rPr>
      </w:pPr>
      <w:bookmarkStart w:id="41" w:name="_Toc31400979"/>
      <w:r w:rsidRPr="007D5C0F">
        <w:rPr>
          <w:rFonts w:ascii="Times New Roman" w:hAnsi="Times New Roman" w:cs="Times New Roman"/>
          <w:b/>
          <w:bCs/>
          <w:caps/>
          <w:color w:val="auto"/>
          <w:sz w:val="24"/>
          <w:szCs w:val="24"/>
        </w:rPr>
        <w:t>APPENDICES</w:t>
      </w:r>
      <w:bookmarkEnd w:id="41"/>
    </w:p>
    <w:p w14:paraId="3F8ECBAB" w14:textId="77777777" w:rsidR="000F5D9D" w:rsidRPr="005A79C9" w:rsidRDefault="000F5D9D" w:rsidP="00E22C20">
      <w:pPr>
        <w:spacing w:line="360" w:lineRule="auto"/>
        <w:ind w:left="851"/>
        <w:jc w:val="both"/>
        <w:rPr>
          <w:szCs w:val="24"/>
        </w:rPr>
      </w:pPr>
    </w:p>
    <w:p w14:paraId="64282481" w14:textId="77777777" w:rsidR="000F5D9D" w:rsidRPr="005A79C9" w:rsidRDefault="000F5D9D" w:rsidP="00E22C20">
      <w:pPr>
        <w:spacing w:line="360" w:lineRule="auto"/>
        <w:ind w:left="851"/>
        <w:jc w:val="both"/>
        <w:rPr>
          <w:szCs w:val="24"/>
        </w:rPr>
      </w:pPr>
    </w:p>
    <w:p w14:paraId="730D4A58" w14:textId="77777777" w:rsidR="000F5D9D" w:rsidRPr="005A79C9" w:rsidRDefault="000F5D9D" w:rsidP="00E22C20">
      <w:pPr>
        <w:spacing w:line="360" w:lineRule="auto"/>
        <w:ind w:left="851"/>
        <w:jc w:val="both"/>
        <w:rPr>
          <w:szCs w:val="24"/>
        </w:rPr>
      </w:pPr>
    </w:p>
    <w:p w14:paraId="5FE9F7DF" w14:textId="77777777" w:rsidR="000F5D9D" w:rsidRPr="005A79C9" w:rsidRDefault="000F5D9D" w:rsidP="00E22C20">
      <w:pPr>
        <w:spacing w:line="360" w:lineRule="auto"/>
        <w:ind w:left="851"/>
        <w:jc w:val="both"/>
        <w:rPr>
          <w:szCs w:val="24"/>
        </w:rPr>
      </w:pPr>
    </w:p>
    <w:p w14:paraId="2DD7010D" w14:textId="77777777" w:rsidR="000F5D9D" w:rsidRPr="005A79C9" w:rsidRDefault="000F5D9D" w:rsidP="00E22C20">
      <w:pPr>
        <w:spacing w:line="360" w:lineRule="auto"/>
        <w:ind w:left="851"/>
        <w:jc w:val="both"/>
        <w:rPr>
          <w:szCs w:val="24"/>
        </w:rPr>
      </w:pPr>
    </w:p>
    <w:p w14:paraId="2C501DCD" w14:textId="77777777" w:rsidR="000F5D9D" w:rsidRPr="005A79C9" w:rsidRDefault="000F5D9D" w:rsidP="00E22C20">
      <w:pPr>
        <w:spacing w:line="360" w:lineRule="auto"/>
        <w:ind w:left="851"/>
        <w:jc w:val="both"/>
        <w:rPr>
          <w:szCs w:val="24"/>
        </w:rPr>
      </w:pPr>
    </w:p>
    <w:p w14:paraId="1893FF4B" w14:textId="77777777" w:rsidR="000F5D9D" w:rsidRPr="005A79C9" w:rsidRDefault="000F5D9D" w:rsidP="00E22C20">
      <w:pPr>
        <w:spacing w:line="360" w:lineRule="auto"/>
        <w:ind w:left="851"/>
        <w:jc w:val="both"/>
        <w:rPr>
          <w:szCs w:val="24"/>
        </w:rPr>
      </w:pPr>
      <w:r w:rsidRPr="005A79C9">
        <w:rPr>
          <w:szCs w:val="24"/>
        </w:rPr>
        <w:br w:type="page"/>
      </w:r>
    </w:p>
    <w:p w14:paraId="00B58E1B" w14:textId="77777777" w:rsidR="000F5D9D" w:rsidRPr="007D5C0F" w:rsidRDefault="000F5D9D" w:rsidP="007D5C0F">
      <w:pPr>
        <w:pStyle w:val="NoSpacing"/>
        <w:jc w:val="center"/>
        <w:rPr>
          <w:b/>
          <w:bCs/>
        </w:rPr>
      </w:pPr>
      <w:r w:rsidRPr="007D5C0F">
        <w:rPr>
          <w:b/>
          <w:bCs/>
          <w:lang w:val="sv-SE"/>
        </w:rPr>
        <w:lastRenderedPageBreak/>
        <w:t>Borang Maklumat untuk Subjek</w:t>
      </w:r>
    </w:p>
    <w:p w14:paraId="50195B94" w14:textId="77777777" w:rsidR="000F5D9D" w:rsidRPr="005A79C9" w:rsidRDefault="000F5D9D" w:rsidP="007D5C0F">
      <w:pPr>
        <w:pStyle w:val="NoSpacing"/>
        <w:jc w:val="center"/>
        <w:rPr>
          <w:lang w:val="sv-SE"/>
        </w:rPr>
      </w:pPr>
    </w:p>
    <w:p w14:paraId="77DB1853" w14:textId="3DCE2C94" w:rsidR="000F5D9D" w:rsidRPr="007D5C0F" w:rsidRDefault="000F5D9D" w:rsidP="007D5C0F">
      <w:pPr>
        <w:pStyle w:val="NoSpacing"/>
        <w:jc w:val="center"/>
        <w:rPr>
          <w:b/>
          <w:bCs/>
          <w:lang w:val="sv-SE"/>
        </w:rPr>
      </w:pPr>
      <w:r w:rsidRPr="007D5C0F">
        <w:rPr>
          <w:b/>
          <w:bCs/>
          <w:lang w:val="sv-SE"/>
        </w:rPr>
        <w:t>SIKAP IBU BAPA TENTANG VAKSIN (SUNTIKAN IMMUNISASI) DI KALANGAN KANAK - KANAK AUTISME DAN FAKTOR-FAKTOR BERKAITAN DI MALAYSIA</w:t>
      </w:r>
    </w:p>
    <w:p w14:paraId="2B413279" w14:textId="77777777" w:rsidR="000F5D9D" w:rsidRPr="005A79C9" w:rsidRDefault="000F5D9D" w:rsidP="007D5C0F">
      <w:pPr>
        <w:pStyle w:val="NoSpacing"/>
        <w:jc w:val="center"/>
        <w:rPr>
          <w:lang w:val="sv-SE"/>
        </w:rPr>
      </w:pPr>
    </w:p>
    <w:p w14:paraId="7F3A0B6B" w14:textId="77777777" w:rsidR="000F5D9D" w:rsidRPr="007D5C0F" w:rsidRDefault="000F5D9D" w:rsidP="007D5C0F">
      <w:pPr>
        <w:pStyle w:val="NoSpacing"/>
        <w:jc w:val="center"/>
        <w:rPr>
          <w:b/>
          <w:bCs/>
          <w:lang w:val="sv-SE"/>
        </w:rPr>
      </w:pPr>
      <w:r w:rsidRPr="007D5C0F">
        <w:rPr>
          <w:b/>
          <w:bCs/>
          <w:lang w:val="sv-SE"/>
        </w:rPr>
        <w:t>Pengenalan Kajian</w:t>
      </w:r>
    </w:p>
    <w:p w14:paraId="70D5024D" w14:textId="77777777" w:rsidR="000F5D9D" w:rsidRPr="005A79C9" w:rsidRDefault="000F5D9D" w:rsidP="007D5C0F">
      <w:pPr>
        <w:pStyle w:val="NoSpacing"/>
        <w:rPr>
          <w:lang w:val="sv-SE"/>
        </w:rPr>
      </w:pPr>
    </w:p>
    <w:p w14:paraId="36C63CAF" w14:textId="77777777" w:rsidR="000F5D9D" w:rsidRPr="005A79C9" w:rsidRDefault="000F5D9D" w:rsidP="007D5C0F">
      <w:pPr>
        <w:pStyle w:val="NoSpacing"/>
        <w:jc w:val="both"/>
        <w:rPr>
          <w:lang w:val="sv-SE"/>
        </w:rPr>
      </w:pPr>
      <w:r w:rsidRPr="005A79C9">
        <w:rPr>
          <w:bCs/>
          <w:lang w:val="sv-SE"/>
        </w:rPr>
        <w:t>Anda telah dijemput untuk mengambil bahagian dalam soal selidik yang bertajuk ”</w:t>
      </w:r>
      <w:r w:rsidRPr="005A79C9">
        <w:rPr>
          <w:lang w:val="sv-SE"/>
        </w:rPr>
        <w:t>SIKAP  RAGU IBU BAPA TENTANG VAKSIN (SUNTIKAN IMMUNISASI) DI KALANGAN KANAK - KANAK AUTISME DAN FAKTOR-FAKTOR BERKAITAN DI MALAYSIA’.</w:t>
      </w:r>
    </w:p>
    <w:p w14:paraId="6E12D106" w14:textId="77777777" w:rsidR="000F5D9D" w:rsidRPr="005A79C9" w:rsidRDefault="000F5D9D" w:rsidP="007D5C0F">
      <w:pPr>
        <w:pStyle w:val="NoSpacing"/>
        <w:jc w:val="both"/>
        <w:rPr>
          <w:lang w:val="sv-SE"/>
        </w:rPr>
      </w:pPr>
    </w:p>
    <w:p w14:paraId="62E9D002" w14:textId="77777777" w:rsidR="000F5D9D" w:rsidRPr="005A79C9" w:rsidRDefault="000F5D9D" w:rsidP="007D5C0F">
      <w:pPr>
        <w:pStyle w:val="NoSpacing"/>
        <w:jc w:val="both"/>
        <w:rPr>
          <w:bCs/>
          <w:lang w:val="sv-SE"/>
        </w:rPr>
      </w:pPr>
      <w:r w:rsidRPr="005A79C9">
        <w:rPr>
          <w:bCs/>
          <w:lang w:val="sv-SE"/>
        </w:rPr>
        <w:t>Sikap ragu atau ”</w:t>
      </w:r>
      <w:r w:rsidRPr="005A79C9">
        <w:rPr>
          <w:bCs/>
          <w:i/>
          <w:iCs/>
          <w:lang w:val="sv-SE"/>
        </w:rPr>
        <w:t>Vaccine hesitancy’</w:t>
      </w:r>
      <w:r w:rsidRPr="005A79C9">
        <w:rPr>
          <w:bCs/>
          <w:lang w:val="sv-SE"/>
        </w:rPr>
        <w:t xml:space="preserve"> ibu bapa kepada vaksin semakin meningkat bukan sahaja di Malaysia bahkan di dunia. Baru-baru ini, negara kita telah mengalami kemunculan semula penyakit yang boleh dicegah vaksin. Terdapat lonjakan kes penyakit yang boleh dicegah vaksin seperti Penyakit Campak, Difteria dan juga Poliomeilitis. Malahan, kes kematian kanak-kanak akibat daripada lonjakan penyakit yang boleh dicegah vaksin juga dicatatkan. Kebanyakan kes-kes yang berlaku ini adalah di kalangan kanak-kanak yang tidak lengkap vaksin atau tidak di vaksinkan langsung. </w:t>
      </w:r>
    </w:p>
    <w:p w14:paraId="3EDDCE3E" w14:textId="77777777" w:rsidR="000F5D9D" w:rsidRPr="005A79C9" w:rsidRDefault="000F5D9D" w:rsidP="007D5C0F">
      <w:pPr>
        <w:pStyle w:val="NoSpacing"/>
        <w:jc w:val="both"/>
        <w:rPr>
          <w:bCs/>
          <w:lang w:val="sv-SE"/>
        </w:rPr>
      </w:pPr>
    </w:p>
    <w:p w14:paraId="5E3E017B" w14:textId="77777777" w:rsidR="000F5D9D" w:rsidRPr="005A79C9" w:rsidRDefault="000F5D9D" w:rsidP="007D5C0F">
      <w:pPr>
        <w:pStyle w:val="NoSpacing"/>
        <w:jc w:val="both"/>
        <w:rPr>
          <w:rFonts w:eastAsia="Times New Roman"/>
          <w:lang w:eastAsia="en-MY"/>
        </w:rPr>
      </w:pPr>
      <w:r w:rsidRPr="005A79C9">
        <w:rPr>
          <w:rFonts w:eastAsia="Times New Roman"/>
          <w:lang w:eastAsia="en-MY"/>
        </w:rPr>
        <w:t xml:space="preserve">Pada </w:t>
      </w:r>
      <w:proofErr w:type="spellStart"/>
      <w:r w:rsidRPr="005A79C9">
        <w:rPr>
          <w:rFonts w:eastAsia="Times New Roman"/>
          <w:lang w:eastAsia="en-MY"/>
        </w:rPr>
        <w:t>tahun</w:t>
      </w:r>
      <w:proofErr w:type="spellEnd"/>
      <w:r w:rsidRPr="005A79C9">
        <w:rPr>
          <w:rFonts w:eastAsia="Times New Roman"/>
          <w:lang w:eastAsia="en-MY"/>
        </w:rPr>
        <w:t xml:space="preserve"> 1998, </w:t>
      </w:r>
      <w:proofErr w:type="spellStart"/>
      <w:r w:rsidRPr="005A79C9">
        <w:rPr>
          <w:rFonts w:eastAsia="Times New Roman"/>
          <w:lang w:eastAsia="en-MY"/>
        </w:rPr>
        <w:t>seorang</w:t>
      </w:r>
      <w:proofErr w:type="spellEnd"/>
      <w:r w:rsidRPr="005A79C9">
        <w:rPr>
          <w:rFonts w:eastAsia="Times New Roman"/>
          <w:lang w:eastAsia="en-MY"/>
        </w:rPr>
        <w:t xml:space="preserve"> </w:t>
      </w:r>
      <w:proofErr w:type="spellStart"/>
      <w:r w:rsidRPr="005A79C9">
        <w:rPr>
          <w:rFonts w:eastAsia="Times New Roman"/>
          <w:lang w:eastAsia="en-MY"/>
        </w:rPr>
        <w:t>doktor</w:t>
      </w:r>
      <w:proofErr w:type="spellEnd"/>
      <w:r w:rsidRPr="005A79C9">
        <w:rPr>
          <w:rFonts w:eastAsia="Times New Roman"/>
          <w:lang w:eastAsia="en-MY"/>
        </w:rPr>
        <w:t xml:space="preserve"> </w:t>
      </w:r>
      <w:proofErr w:type="spellStart"/>
      <w:r w:rsidRPr="005A79C9">
        <w:rPr>
          <w:rFonts w:eastAsia="Times New Roman"/>
          <w:lang w:eastAsia="en-MY"/>
        </w:rPr>
        <w:t>pakar</w:t>
      </w:r>
      <w:proofErr w:type="spellEnd"/>
      <w:r w:rsidRPr="005A79C9">
        <w:rPr>
          <w:rFonts w:eastAsia="Times New Roman"/>
          <w:lang w:eastAsia="en-MY"/>
        </w:rPr>
        <w:t xml:space="preserve"> </w:t>
      </w:r>
      <w:proofErr w:type="spellStart"/>
      <w:r w:rsidRPr="005A79C9">
        <w:rPr>
          <w:rFonts w:eastAsia="Times New Roman"/>
          <w:lang w:eastAsia="en-MY"/>
        </w:rPr>
        <w:t>iaitu</w:t>
      </w:r>
      <w:proofErr w:type="spellEnd"/>
      <w:r w:rsidRPr="005A79C9">
        <w:rPr>
          <w:rFonts w:eastAsia="Times New Roman"/>
          <w:lang w:eastAsia="en-MY"/>
        </w:rPr>
        <w:t xml:space="preserve"> Dr Andrew Wakefield </w:t>
      </w:r>
      <w:proofErr w:type="spellStart"/>
      <w:r w:rsidRPr="005A79C9">
        <w:rPr>
          <w:rFonts w:eastAsia="Times New Roman"/>
          <w:lang w:eastAsia="en-MY"/>
        </w:rPr>
        <w:t>berserta</w:t>
      </w:r>
      <w:proofErr w:type="spellEnd"/>
      <w:r w:rsidRPr="005A79C9">
        <w:rPr>
          <w:rFonts w:eastAsia="Times New Roman"/>
          <w:lang w:eastAsia="en-MY"/>
        </w:rPr>
        <w:t xml:space="preserve"> </w:t>
      </w:r>
      <w:proofErr w:type="spellStart"/>
      <w:r w:rsidRPr="005A79C9">
        <w:rPr>
          <w:rFonts w:eastAsia="Times New Roman"/>
          <w:lang w:eastAsia="en-MY"/>
        </w:rPr>
        <w:t>pasukannya</w:t>
      </w:r>
      <w:proofErr w:type="spellEnd"/>
      <w:r w:rsidRPr="005A79C9">
        <w:rPr>
          <w:rFonts w:eastAsia="Times New Roman"/>
          <w:lang w:eastAsia="en-MY"/>
        </w:rPr>
        <w:t xml:space="preserve"> </w:t>
      </w:r>
      <w:proofErr w:type="spellStart"/>
      <w:r w:rsidRPr="005A79C9">
        <w:rPr>
          <w:rFonts w:eastAsia="Times New Roman"/>
          <w:lang w:eastAsia="en-MY"/>
        </w:rPr>
        <w:t>telah</w:t>
      </w:r>
      <w:proofErr w:type="spellEnd"/>
      <w:r w:rsidRPr="005A79C9">
        <w:rPr>
          <w:rFonts w:eastAsia="Times New Roman"/>
          <w:lang w:eastAsia="en-MY"/>
        </w:rPr>
        <w:t xml:space="preserve"> </w:t>
      </w:r>
      <w:proofErr w:type="spellStart"/>
      <w:r w:rsidRPr="005A79C9">
        <w:rPr>
          <w:rFonts w:eastAsia="Times New Roman"/>
          <w:lang w:eastAsia="en-MY"/>
        </w:rPr>
        <w:t>membuat</w:t>
      </w:r>
      <w:proofErr w:type="spellEnd"/>
      <w:r w:rsidRPr="005A79C9">
        <w:rPr>
          <w:rFonts w:eastAsia="Times New Roman"/>
          <w:lang w:eastAsia="en-MY"/>
        </w:rPr>
        <w:t xml:space="preserve"> </w:t>
      </w:r>
      <w:proofErr w:type="spellStart"/>
      <w:r w:rsidRPr="005A79C9">
        <w:rPr>
          <w:rFonts w:eastAsia="Times New Roman"/>
          <w:lang w:eastAsia="en-MY"/>
        </w:rPr>
        <w:t>satu</w:t>
      </w:r>
      <w:proofErr w:type="spellEnd"/>
      <w:r w:rsidRPr="005A79C9">
        <w:rPr>
          <w:rFonts w:eastAsia="Times New Roman"/>
          <w:lang w:eastAsia="en-MY"/>
        </w:rPr>
        <w:t xml:space="preserve"> </w:t>
      </w:r>
      <w:proofErr w:type="spellStart"/>
      <w:r w:rsidRPr="005A79C9">
        <w:rPr>
          <w:rFonts w:eastAsia="Times New Roman"/>
          <w:lang w:eastAsia="en-MY"/>
        </w:rPr>
        <w:t>kajian</w:t>
      </w:r>
      <w:proofErr w:type="spellEnd"/>
      <w:r w:rsidRPr="005A79C9">
        <w:rPr>
          <w:rFonts w:eastAsia="Times New Roman"/>
          <w:lang w:eastAsia="en-MY"/>
        </w:rPr>
        <w:t xml:space="preserve"> </w:t>
      </w:r>
      <w:proofErr w:type="spellStart"/>
      <w:r w:rsidRPr="005A79C9">
        <w:rPr>
          <w:rFonts w:eastAsia="Times New Roman"/>
          <w:lang w:eastAsia="en-MY"/>
        </w:rPr>
        <w:t>berkenaan</w:t>
      </w:r>
      <w:proofErr w:type="spellEnd"/>
      <w:r w:rsidRPr="005A79C9">
        <w:rPr>
          <w:rFonts w:eastAsia="Times New Roman"/>
          <w:lang w:eastAsia="en-MY"/>
        </w:rPr>
        <w:t xml:space="preserve"> </w:t>
      </w:r>
      <w:proofErr w:type="spellStart"/>
      <w:r w:rsidRPr="005A79C9">
        <w:rPr>
          <w:rFonts w:eastAsia="Times New Roman"/>
          <w:lang w:eastAsia="en-MY"/>
        </w:rPr>
        <w:t>kaitan</w:t>
      </w:r>
      <w:proofErr w:type="spellEnd"/>
      <w:r w:rsidRPr="005A79C9">
        <w:rPr>
          <w:rFonts w:eastAsia="Times New Roman"/>
          <w:lang w:eastAsia="en-MY"/>
        </w:rPr>
        <w:t xml:space="preserve"> </w:t>
      </w:r>
      <w:proofErr w:type="spellStart"/>
      <w:r w:rsidRPr="005A79C9">
        <w:rPr>
          <w:rFonts w:eastAsia="Times New Roman"/>
          <w:lang w:eastAsia="en-MY"/>
        </w:rPr>
        <w:t>antara</w:t>
      </w:r>
      <w:proofErr w:type="spellEnd"/>
      <w:r w:rsidRPr="005A79C9">
        <w:rPr>
          <w:rFonts w:eastAsia="Times New Roman"/>
          <w:lang w:eastAsia="en-MY"/>
        </w:rPr>
        <w:t xml:space="preserve"> </w:t>
      </w:r>
      <w:proofErr w:type="spellStart"/>
      <w:r w:rsidRPr="005A79C9">
        <w:rPr>
          <w:rFonts w:eastAsia="Times New Roman"/>
          <w:lang w:eastAsia="en-MY"/>
        </w:rPr>
        <w:t>Vaksin</w:t>
      </w:r>
      <w:proofErr w:type="spellEnd"/>
      <w:r w:rsidRPr="005A79C9">
        <w:rPr>
          <w:rFonts w:eastAsia="Times New Roman"/>
          <w:lang w:eastAsia="en-MY"/>
        </w:rPr>
        <w:t xml:space="preserve"> 3 </w:t>
      </w:r>
      <w:proofErr w:type="spellStart"/>
      <w:r w:rsidRPr="005A79C9">
        <w:rPr>
          <w:rFonts w:eastAsia="Times New Roman"/>
          <w:lang w:eastAsia="en-MY"/>
        </w:rPr>
        <w:t>serangkai</w:t>
      </w:r>
      <w:proofErr w:type="spellEnd"/>
      <w:r w:rsidRPr="005A79C9">
        <w:rPr>
          <w:rFonts w:eastAsia="Times New Roman"/>
          <w:lang w:eastAsia="en-MY"/>
        </w:rPr>
        <w:t xml:space="preserve"> (MMR) </w:t>
      </w:r>
      <w:proofErr w:type="spellStart"/>
      <w:r w:rsidRPr="005A79C9">
        <w:rPr>
          <w:rFonts w:eastAsia="Times New Roman"/>
          <w:lang w:eastAsia="en-MY"/>
        </w:rPr>
        <w:t>dengan</w:t>
      </w:r>
      <w:proofErr w:type="spellEnd"/>
      <w:r w:rsidRPr="005A79C9">
        <w:rPr>
          <w:rFonts w:eastAsia="Times New Roman"/>
          <w:lang w:eastAsia="en-MY"/>
        </w:rPr>
        <w:t xml:space="preserve"> </w:t>
      </w:r>
      <w:proofErr w:type="spellStart"/>
      <w:r w:rsidRPr="005A79C9">
        <w:rPr>
          <w:rFonts w:eastAsia="Times New Roman"/>
          <w:lang w:eastAsia="en-MY"/>
        </w:rPr>
        <w:t>masalah</w:t>
      </w:r>
      <w:proofErr w:type="spellEnd"/>
      <w:r w:rsidRPr="005A79C9">
        <w:rPr>
          <w:rFonts w:eastAsia="Times New Roman"/>
          <w:lang w:eastAsia="en-MY"/>
        </w:rPr>
        <w:t xml:space="preserve"> </w:t>
      </w:r>
      <w:proofErr w:type="spellStart"/>
      <w:r w:rsidRPr="005A79C9">
        <w:rPr>
          <w:rFonts w:eastAsia="Times New Roman"/>
          <w:lang w:eastAsia="en-MY"/>
        </w:rPr>
        <w:t>usus</w:t>
      </w:r>
      <w:proofErr w:type="spellEnd"/>
      <w:r w:rsidRPr="005A79C9">
        <w:rPr>
          <w:rFonts w:eastAsia="Times New Roman"/>
          <w:lang w:eastAsia="en-MY"/>
        </w:rPr>
        <w:t xml:space="preserve"> </w:t>
      </w:r>
      <w:proofErr w:type="spellStart"/>
      <w:r w:rsidRPr="005A79C9">
        <w:rPr>
          <w:rFonts w:eastAsia="Times New Roman"/>
          <w:lang w:eastAsia="en-MY"/>
        </w:rPr>
        <w:t>serta</w:t>
      </w:r>
      <w:proofErr w:type="spellEnd"/>
      <w:r w:rsidRPr="005A79C9">
        <w:rPr>
          <w:rFonts w:eastAsia="Times New Roman"/>
          <w:lang w:eastAsia="en-MY"/>
        </w:rPr>
        <w:t xml:space="preserve"> </w:t>
      </w:r>
      <w:proofErr w:type="spellStart"/>
      <w:r w:rsidRPr="005A79C9">
        <w:rPr>
          <w:rFonts w:eastAsia="Times New Roman"/>
          <w:lang w:eastAsia="en-MY"/>
        </w:rPr>
        <w:t>perkembangan</w:t>
      </w:r>
      <w:proofErr w:type="spellEnd"/>
      <w:r w:rsidRPr="005A79C9">
        <w:rPr>
          <w:rFonts w:eastAsia="Times New Roman"/>
          <w:lang w:eastAsia="en-MY"/>
        </w:rPr>
        <w:t xml:space="preserve"> </w:t>
      </w:r>
      <w:proofErr w:type="spellStart"/>
      <w:r w:rsidRPr="005A79C9">
        <w:rPr>
          <w:rFonts w:eastAsia="Times New Roman"/>
          <w:lang w:eastAsia="en-MY"/>
        </w:rPr>
        <w:t>kanak-kanak</w:t>
      </w:r>
      <w:proofErr w:type="spellEnd"/>
      <w:r w:rsidRPr="005A79C9">
        <w:rPr>
          <w:rFonts w:eastAsia="Times New Roman"/>
          <w:lang w:eastAsia="en-MY"/>
        </w:rPr>
        <w:t xml:space="preserve"> </w:t>
      </w:r>
      <w:proofErr w:type="spellStart"/>
      <w:r w:rsidRPr="005A79C9">
        <w:rPr>
          <w:rFonts w:eastAsia="Times New Roman"/>
          <w:lang w:eastAsia="en-MY"/>
        </w:rPr>
        <w:t>iaitu</w:t>
      </w:r>
      <w:proofErr w:type="spellEnd"/>
      <w:r w:rsidRPr="005A79C9">
        <w:rPr>
          <w:rFonts w:eastAsia="Times New Roman"/>
          <w:lang w:eastAsia="en-MY"/>
        </w:rPr>
        <w:t xml:space="preserve"> </w:t>
      </w:r>
      <w:proofErr w:type="spellStart"/>
      <w:r w:rsidRPr="005A79C9">
        <w:rPr>
          <w:rFonts w:eastAsia="Times New Roman"/>
          <w:lang w:eastAsia="en-MY"/>
        </w:rPr>
        <w:t>autisme</w:t>
      </w:r>
      <w:proofErr w:type="spellEnd"/>
      <w:r w:rsidRPr="005A79C9">
        <w:rPr>
          <w:rFonts w:eastAsia="Times New Roman"/>
          <w:lang w:eastAsia="en-MY"/>
        </w:rPr>
        <w:t xml:space="preserve">. Di </w:t>
      </w:r>
      <w:proofErr w:type="spellStart"/>
      <w:r w:rsidRPr="005A79C9">
        <w:rPr>
          <w:rFonts w:eastAsia="Times New Roman"/>
          <w:lang w:eastAsia="en-MY"/>
        </w:rPr>
        <w:t>dalam</w:t>
      </w:r>
      <w:proofErr w:type="spellEnd"/>
      <w:r w:rsidRPr="005A79C9">
        <w:rPr>
          <w:rFonts w:eastAsia="Times New Roman"/>
          <w:lang w:eastAsia="en-MY"/>
        </w:rPr>
        <w:t xml:space="preserve"> </w:t>
      </w:r>
      <w:proofErr w:type="spellStart"/>
      <w:r w:rsidRPr="005A79C9">
        <w:rPr>
          <w:rFonts w:eastAsia="Times New Roman"/>
          <w:lang w:eastAsia="en-MY"/>
        </w:rPr>
        <w:t>kajian</w:t>
      </w:r>
      <w:proofErr w:type="spellEnd"/>
      <w:r w:rsidRPr="005A79C9">
        <w:rPr>
          <w:rFonts w:eastAsia="Times New Roman"/>
          <w:lang w:eastAsia="en-MY"/>
        </w:rPr>
        <w:t xml:space="preserve"> </w:t>
      </w:r>
      <w:proofErr w:type="spellStart"/>
      <w:r w:rsidRPr="005A79C9">
        <w:rPr>
          <w:rFonts w:eastAsia="Times New Roman"/>
          <w:lang w:eastAsia="en-MY"/>
        </w:rPr>
        <w:t>tersebut</w:t>
      </w:r>
      <w:proofErr w:type="spellEnd"/>
      <w:r w:rsidRPr="005A79C9">
        <w:rPr>
          <w:rFonts w:eastAsia="Times New Roman"/>
          <w:lang w:eastAsia="en-MY"/>
        </w:rPr>
        <w:t xml:space="preserve">, </w:t>
      </w:r>
      <w:proofErr w:type="spellStart"/>
      <w:r w:rsidRPr="005A79C9">
        <w:rPr>
          <w:rFonts w:eastAsia="Times New Roman"/>
          <w:lang w:eastAsia="en-MY"/>
        </w:rPr>
        <w:t>ia</w:t>
      </w:r>
      <w:proofErr w:type="spellEnd"/>
      <w:r w:rsidRPr="005A79C9">
        <w:rPr>
          <w:rFonts w:eastAsia="Times New Roman"/>
          <w:lang w:eastAsia="en-MY"/>
        </w:rPr>
        <w:t xml:space="preserve"> </w:t>
      </w:r>
      <w:proofErr w:type="spellStart"/>
      <w:r w:rsidRPr="005A79C9">
        <w:rPr>
          <w:rFonts w:eastAsia="Times New Roman"/>
          <w:lang w:eastAsia="en-MY"/>
        </w:rPr>
        <w:t>melibatkan</w:t>
      </w:r>
      <w:proofErr w:type="spellEnd"/>
      <w:r w:rsidRPr="005A79C9">
        <w:rPr>
          <w:rFonts w:eastAsia="Times New Roman"/>
          <w:lang w:eastAsia="en-MY"/>
        </w:rPr>
        <w:t xml:space="preserve"> </w:t>
      </w:r>
      <w:proofErr w:type="spellStart"/>
      <w:r w:rsidRPr="005A79C9">
        <w:rPr>
          <w:rFonts w:eastAsia="Times New Roman"/>
          <w:lang w:eastAsia="en-MY"/>
        </w:rPr>
        <w:t>jumlah</w:t>
      </w:r>
      <w:proofErr w:type="spellEnd"/>
      <w:r w:rsidRPr="005A79C9">
        <w:rPr>
          <w:rFonts w:eastAsia="Times New Roman"/>
          <w:lang w:eastAsia="en-MY"/>
        </w:rPr>
        <w:t xml:space="preserve"> </w:t>
      </w:r>
      <w:proofErr w:type="spellStart"/>
      <w:r w:rsidRPr="005A79C9">
        <w:rPr>
          <w:rFonts w:eastAsia="Times New Roman"/>
          <w:lang w:eastAsia="en-MY"/>
        </w:rPr>
        <w:t>sampel</w:t>
      </w:r>
      <w:proofErr w:type="spellEnd"/>
      <w:r w:rsidRPr="005A79C9">
        <w:rPr>
          <w:rFonts w:eastAsia="Times New Roman"/>
          <w:lang w:eastAsia="en-MY"/>
        </w:rPr>
        <w:t xml:space="preserve"> yang </w:t>
      </w:r>
      <w:proofErr w:type="spellStart"/>
      <w:r w:rsidRPr="005A79C9">
        <w:rPr>
          <w:rFonts w:eastAsia="Times New Roman"/>
          <w:lang w:eastAsia="en-MY"/>
        </w:rPr>
        <w:t>sedikit</w:t>
      </w:r>
      <w:proofErr w:type="spellEnd"/>
      <w:r w:rsidRPr="005A79C9">
        <w:rPr>
          <w:rFonts w:eastAsia="Times New Roman"/>
          <w:lang w:eastAsia="en-MY"/>
        </w:rPr>
        <w:t xml:space="preserve"> </w:t>
      </w:r>
      <w:proofErr w:type="spellStart"/>
      <w:r w:rsidRPr="005A79C9">
        <w:rPr>
          <w:rFonts w:eastAsia="Times New Roman"/>
          <w:lang w:eastAsia="en-MY"/>
        </w:rPr>
        <w:t>iaitu</w:t>
      </w:r>
      <w:proofErr w:type="spellEnd"/>
      <w:r w:rsidRPr="005A79C9">
        <w:rPr>
          <w:rFonts w:eastAsia="Times New Roman"/>
          <w:lang w:eastAsia="en-MY"/>
        </w:rPr>
        <w:t xml:space="preserve"> 12 orang </w:t>
      </w:r>
      <w:proofErr w:type="spellStart"/>
      <w:r w:rsidRPr="005A79C9">
        <w:rPr>
          <w:rFonts w:eastAsia="Times New Roman"/>
          <w:lang w:eastAsia="en-MY"/>
        </w:rPr>
        <w:t>kanak-kanak</w:t>
      </w:r>
      <w:proofErr w:type="spellEnd"/>
      <w:r w:rsidRPr="005A79C9">
        <w:rPr>
          <w:rFonts w:eastAsia="Times New Roman"/>
          <w:lang w:eastAsia="en-MY"/>
        </w:rPr>
        <w:t xml:space="preserve"> </w:t>
      </w:r>
      <w:proofErr w:type="spellStart"/>
      <w:r w:rsidRPr="005A79C9">
        <w:rPr>
          <w:rFonts w:eastAsia="Times New Roman"/>
          <w:lang w:eastAsia="en-MY"/>
        </w:rPr>
        <w:t>sahaja</w:t>
      </w:r>
      <w:proofErr w:type="spellEnd"/>
      <w:r w:rsidRPr="005A79C9">
        <w:rPr>
          <w:rFonts w:eastAsia="Times New Roman"/>
          <w:lang w:eastAsia="en-MY"/>
        </w:rPr>
        <w:t xml:space="preserve">. </w:t>
      </w:r>
      <w:proofErr w:type="spellStart"/>
      <w:r w:rsidRPr="005A79C9">
        <w:rPr>
          <w:rFonts w:eastAsia="Times New Roman"/>
          <w:lang w:eastAsia="en-MY"/>
        </w:rPr>
        <w:t>Kesemua</w:t>
      </w:r>
      <w:proofErr w:type="spellEnd"/>
      <w:r w:rsidRPr="005A79C9">
        <w:rPr>
          <w:rFonts w:eastAsia="Times New Roman"/>
          <w:lang w:eastAsia="en-MY"/>
        </w:rPr>
        <w:t xml:space="preserve"> </w:t>
      </w:r>
      <w:proofErr w:type="spellStart"/>
      <w:r w:rsidRPr="005A79C9">
        <w:rPr>
          <w:rFonts w:eastAsia="Times New Roman"/>
          <w:lang w:eastAsia="en-MY"/>
        </w:rPr>
        <w:t>kanak-kanak</w:t>
      </w:r>
      <w:proofErr w:type="spellEnd"/>
      <w:r w:rsidRPr="005A79C9">
        <w:rPr>
          <w:rFonts w:eastAsia="Times New Roman"/>
          <w:lang w:eastAsia="en-MY"/>
        </w:rPr>
        <w:t xml:space="preserve"> </w:t>
      </w:r>
      <w:proofErr w:type="spellStart"/>
      <w:r w:rsidRPr="005A79C9">
        <w:rPr>
          <w:rFonts w:eastAsia="Times New Roman"/>
          <w:lang w:eastAsia="en-MY"/>
        </w:rPr>
        <w:t>itu</w:t>
      </w:r>
      <w:proofErr w:type="spellEnd"/>
      <w:r w:rsidRPr="005A79C9">
        <w:rPr>
          <w:rFonts w:eastAsia="Times New Roman"/>
          <w:lang w:eastAsia="en-MY"/>
        </w:rPr>
        <w:t xml:space="preserve"> </w:t>
      </w:r>
      <w:proofErr w:type="spellStart"/>
      <w:r w:rsidRPr="005A79C9">
        <w:rPr>
          <w:rFonts w:eastAsia="Times New Roman"/>
          <w:lang w:eastAsia="en-MY"/>
        </w:rPr>
        <w:t>telah</w:t>
      </w:r>
      <w:proofErr w:type="spellEnd"/>
      <w:r w:rsidRPr="005A79C9">
        <w:rPr>
          <w:rFonts w:eastAsia="Times New Roman"/>
          <w:lang w:eastAsia="en-MY"/>
        </w:rPr>
        <w:t xml:space="preserve"> </w:t>
      </w:r>
      <w:proofErr w:type="spellStart"/>
      <w:r w:rsidRPr="005A79C9">
        <w:rPr>
          <w:rFonts w:eastAsia="Times New Roman"/>
          <w:lang w:eastAsia="en-MY"/>
        </w:rPr>
        <w:t>mengalami</w:t>
      </w:r>
      <w:proofErr w:type="spellEnd"/>
      <w:r w:rsidRPr="005A79C9">
        <w:rPr>
          <w:rFonts w:eastAsia="Times New Roman"/>
          <w:lang w:eastAsia="en-MY"/>
        </w:rPr>
        <w:t xml:space="preserve"> </w:t>
      </w:r>
      <w:proofErr w:type="spellStart"/>
      <w:r w:rsidRPr="005A79C9">
        <w:rPr>
          <w:rFonts w:eastAsia="Times New Roman"/>
          <w:lang w:eastAsia="en-MY"/>
        </w:rPr>
        <w:t>perkembangan</w:t>
      </w:r>
      <w:proofErr w:type="spellEnd"/>
      <w:r w:rsidRPr="005A79C9">
        <w:rPr>
          <w:rFonts w:eastAsia="Times New Roman"/>
          <w:lang w:eastAsia="en-MY"/>
        </w:rPr>
        <w:t xml:space="preserve"> mental yang </w:t>
      </w:r>
      <w:proofErr w:type="spellStart"/>
      <w:r w:rsidRPr="005A79C9">
        <w:rPr>
          <w:rFonts w:eastAsia="Times New Roman"/>
          <w:lang w:eastAsia="en-MY"/>
        </w:rPr>
        <w:t>berkurangan</w:t>
      </w:r>
      <w:proofErr w:type="spellEnd"/>
      <w:r w:rsidRPr="005A79C9">
        <w:rPr>
          <w:rFonts w:eastAsia="Times New Roman"/>
          <w:lang w:eastAsia="en-MY"/>
        </w:rPr>
        <w:t xml:space="preserve"> </w:t>
      </w:r>
      <w:proofErr w:type="spellStart"/>
      <w:r w:rsidRPr="005A79C9">
        <w:rPr>
          <w:rFonts w:eastAsia="Times New Roman"/>
          <w:lang w:eastAsia="en-MY"/>
        </w:rPr>
        <w:t>atau</w:t>
      </w:r>
      <w:proofErr w:type="spellEnd"/>
      <w:r w:rsidRPr="005A79C9">
        <w:rPr>
          <w:rFonts w:eastAsia="Times New Roman"/>
          <w:lang w:eastAsia="en-MY"/>
        </w:rPr>
        <w:t xml:space="preserve"> </w:t>
      </w:r>
      <w:proofErr w:type="spellStart"/>
      <w:r w:rsidRPr="005A79C9">
        <w:rPr>
          <w:rFonts w:eastAsia="Times New Roman"/>
          <w:lang w:eastAsia="en-MY"/>
        </w:rPr>
        <w:t>dikenali</w:t>
      </w:r>
      <w:proofErr w:type="spellEnd"/>
      <w:r w:rsidRPr="005A79C9">
        <w:rPr>
          <w:rFonts w:eastAsia="Times New Roman"/>
          <w:lang w:eastAsia="en-MY"/>
        </w:rPr>
        <w:t xml:space="preserve"> </w:t>
      </w:r>
      <w:proofErr w:type="spellStart"/>
      <w:r w:rsidRPr="005A79C9">
        <w:rPr>
          <w:rFonts w:eastAsia="Times New Roman"/>
          <w:lang w:eastAsia="en-MY"/>
        </w:rPr>
        <w:t>sebagai</w:t>
      </w:r>
      <w:proofErr w:type="spellEnd"/>
      <w:r w:rsidRPr="005A79C9">
        <w:rPr>
          <w:rFonts w:eastAsia="Times New Roman"/>
          <w:lang w:eastAsia="en-MY"/>
        </w:rPr>
        <w:t xml:space="preserve"> ‘regression of behaviour’. Kajian </w:t>
      </w:r>
      <w:proofErr w:type="spellStart"/>
      <w:r w:rsidRPr="005A79C9">
        <w:rPr>
          <w:rFonts w:eastAsia="Times New Roman"/>
          <w:lang w:eastAsia="en-MY"/>
        </w:rPr>
        <w:t>ini</w:t>
      </w:r>
      <w:proofErr w:type="spellEnd"/>
      <w:r w:rsidRPr="005A79C9">
        <w:rPr>
          <w:rFonts w:eastAsia="Times New Roman"/>
          <w:lang w:eastAsia="en-MY"/>
        </w:rPr>
        <w:t xml:space="preserve"> </w:t>
      </w:r>
      <w:proofErr w:type="spellStart"/>
      <w:r w:rsidRPr="005A79C9">
        <w:rPr>
          <w:rFonts w:eastAsia="Times New Roman"/>
          <w:lang w:eastAsia="en-MY"/>
        </w:rPr>
        <w:t>tidak</w:t>
      </w:r>
      <w:proofErr w:type="spellEnd"/>
      <w:r w:rsidRPr="005A79C9">
        <w:rPr>
          <w:rFonts w:eastAsia="Times New Roman"/>
          <w:lang w:eastAsia="en-MY"/>
        </w:rPr>
        <w:t xml:space="preserve"> </w:t>
      </w:r>
      <w:proofErr w:type="spellStart"/>
      <w:r w:rsidRPr="005A79C9">
        <w:rPr>
          <w:rFonts w:eastAsia="Times New Roman"/>
          <w:lang w:eastAsia="en-MY"/>
        </w:rPr>
        <w:t>dilakukan</w:t>
      </w:r>
      <w:proofErr w:type="spellEnd"/>
      <w:r w:rsidRPr="005A79C9">
        <w:rPr>
          <w:rFonts w:eastAsia="Times New Roman"/>
          <w:lang w:eastAsia="en-MY"/>
        </w:rPr>
        <w:t xml:space="preserve"> </w:t>
      </w:r>
      <w:proofErr w:type="spellStart"/>
      <w:r w:rsidRPr="005A79C9">
        <w:rPr>
          <w:rFonts w:eastAsia="Times New Roman"/>
          <w:lang w:eastAsia="en-MY"/>
        </w:rPr>
        <w:t>secara</w:t>
      </w:r>
      <w:proofErr w:type="spellEnd"/>
      <w:r w:rsidRPr="005A79C9">
        <w:rPr>
          <w:rFonts w:eastAsia="Times New Roman"/>
          <w:lang w:eastAsia="en-MY"/>
        </w:rPr>
        <w:t xml:space="preserve"> </w:t>
      </w:r>
      <w:proofErr w:type="spellStart"/>
      <w:r w:rsidRPr="005A79C9">
        <w:rPr>
          <w:rFonts w:eastAsia="Times New Roman"/>
          <w:lang w:eastAsia="en-MY"/>
        </w:rPr>
        <w:t>berterusan</w:t>
      </w:r>
      <w:proofErr w:type="spellEnd"/>
      <w:r w:rsidRPr="005A79C9">
        <w:rPr>
          <w:rFonts w:eastAsia="Times New Roman"/>
          <w:lang w:eastAsia="en-MY"/>
        </w:rPr>
        <w:t xml:space="preserve">. </w:t>
      </w:r>
      <w:proofErr w:type="spellStart"/>
      <w:r w:rsidRPr="005A79C9">
        <w:rPr>
          <w:rFonts w:eastAsia="Times New Roman"/>
          <w:lang w:eastAsia="en-MY"/>
        </w:rPr>
        <w:t>Ia</w:t>
      </w:r>
      <w:proofErr w:type="spellEnd"/>
      <w:r w:rsidRPr="005A79C9">
        <w:rPr>
          <w:rFonts w:eastAsia="Times New Roman"/>
          <w:lang w:eastAsia="en-MY"/>
        </w:rPr>
        <w:t xml:space="preserve"> </w:t>
      </w:r>
      <w:proofErr w:type="spellStart"/>
      <w:r w:rsidRPr="005A79C9">
        <w:rPr>
          <w:rFonts w:eastAsia="Times New Roman"/>
          <w:lang w:eastAsia="en-MY"/>
        </w:rPr>
        <w:t>dilakukan</w:t>
      </w:r>
      <w:proofErr w:type="spellEnd"/>
      <w:r w:rsidRPr="005A79C9">
        <w:rPr>
          <w:rFonts w:eastAsia="Times New Roman"/>
          <w:lang w:eastAsia="en-MY"/>
        </w:rPr>
        <w:t xml:space="preserve"> </w:t>
      </w:r>
      <w:proofErr w:type="spellStart"/>
      <w:r w:rsidRPr="005A79C9">
        <w:rPr>
          <w:rFonts w:eastAsia="Times New Roman"/>
          <w:lang w:eastAsia="en-MY"/>
        </w:rPr>
        <w:t>sekejap</w:t>
      </w:r>
      <w:proofErr w:type="spellEnd"/>
      <w:r w:rsidRPr="005A79C9">
        <w:rPr>
          <w:rFonts w:eastAsia="Times New Roman"/>
          <w:lang w:eastAsia="en-MY"/>
        </w:rPr>
        <w:t xml:space="preserve"> </w:t>
      </w:r>
      <w:proofErr w:type="spellStart"/>
      <w:r w:rsidRPr="005A79C9">
        <w:rPr>
          <w:rFonts w:eastAsia="Times New Roman"/>
          <w:lang w:eastAsia="en-MY"/>
        </w:rPr>
        <w:t>sahaja</w:t>
      </w:r>
      <w:proofErr w:type="spellEnd"/>
      <w:r w:rsidRPr="005A79C9">
        <w:rPr>
          <w:rFonts w:eastAsia="Times New Roman"/>
          <w:lang w:eastAsia="en-MY"/>
        </w:rPr>
        <w:t xml:space="preserve"> dan </w:t>
      </w:r>
      <w:proofErr w:type="spellStart"/>
      <w:r w:rsidRPr="005A79C9">
        <w:rPr>
          <w:rFonts w:eastAsia="Times New Roman"/>
          <w:lang w:eastAsia="en-MY"/>
        </w:rPr>
        <w:t>kajian</w:t>
      </w:r>
      <w:proofErr w:type="spellEnd"/>
      <w:r w:rsidRPr="005A79C9">
        <w:rPr>
          <w:rFonts w:eastAsia="Times New Roman"/>
          <w:lang w:eastAsia="en-MY"/>
        </w:rPr>
        <w:t xml:space="preserve"> </w:t>
      </w:r>
      <w:proofErr w:type="spellStart"/>
      <w:r w:rsidRPr="005A79C9">
        <w:rPr>
          <w:rFonts w:eastAsia="Times New Roman"/>
          <w:lang w:eastAsia="en-MY"/>
        </w:rPr>
        <w:t>tersebut</w:t>
      </w:r>
      <w:proofErr w:type="spellEnd"/>
      <w:r w:rsidRPr="005A79C9">
        <w:rPr>
          <w:rFonts w:eastAsia="Times New Roman"/>
          <w:lang w:eastAsia="en-MY"/>
        </w:rPr>
        <w:t xml:space="preserve"> </w:t>
      </w:r>
      <w:proofErr w:type="spellStart"/>
      <w:r w:rsidRPr="005A79C9">
        <w:rPr>
          <w:rFonts w:eastAsia="Times New Roman"/>
          <w:lang w:eastAsia="en-MY"/>
        </w:rPr>
        <w:t>tidak</w:t>
      </w:r>
      <w:proofErr w:type="spellEnd"/>
      <w:r w:rsidRPr="005A79C9">
        <w:rPr>
          <w:rFonts w:eastAsia="Times New Roman"/>
          <w:lang w:eastAsia="en-MY"/>
        </w:rPr>
        <w:t xml:space="preserve"> </w:t>
      </w:r>
      <w:proofErr w:type="spellStart"/>
      <w:r w:rsidRPr="005A79C9">
        <w:rPr>
          <w:rFonts w:eastAsia="Times New Roman"/>
          <w:lang w:eastAsia="en-MY"/>
        </w:rPr>
        <w:t>dapat</w:t>
      </w:r>
      <w:proofErr w:type="spellEnd"/>
      <w:r w:rsidRPr="005A79C9">
        <w:rPr>
          <w:rFonts w:eastAsia="Times New Roman"/>
          <w:lang w:eastAsia="en-MY"/>
        </w:rPr>
        <w:t xml:space="preserve"> </w:t>
      </w:r>
      <w:proofErr w:type="spellStart"/>
      <w:r w:rsidRPr="005A79C9">
        <w:rPr>
          <w:rFonts w:eastAsia="Times New Roman"/>
          <w:lang w:eastAsia="en-MY"/>
        </w:rPr>
        <w:t>membuktikan</w:t>
      </w:r>
      <w:proofErr w:type="spellEnd"/>
      <w:r w:rsidRPr="005A79C9">
        <w:rPr>
          <w:rFonts w:eastAsia="Times New Roman"/>
          <w:lang w:eastAsia="en-MY"/>
        </w:rPr>
        <w:t xml:space="preserve"> </w:t>
      </w:r>
      <w:proofErr w:type="spellStart"/>
      <w:r w:rsidRPr="005A79C9">
        <w:rPr>
          <w:rFonts w:eastAsia="Times New Roman"/>
          <w:lang w:eastAsia="en-MY"/>
        </w:rPr>
        <w:t>kaitan</w:t>
      </w:r>
      <w:proofErr w:type="spellEnd"/>
      <w:r w:rsidRPr="005A79C9">
        <w:rPr>
          <w:rFonts w:eastAsia="Times New Roman"/>
          <w:lang w:eastAsia="en-MY"/>
        </w:rPr>
        <w:t xml:space="preserve"> </w:t>
      </w:r>
      <w:proofErr w:type="spellStart"/>
      <w:r w:rsidRPr="005A79C9">
        <w:rPr>
          <w:rFonts w:eastAsia="Times New Roman"/>
          <w:lang w:eastAsia="en-MY"/>
        </w:rPr>
        <w:t>vaksin</w:t>
      </w:r>
      <w:proofErr w:type="spellEnd"/>
      <w:r w:rsidRPr="005A79C9">
        <w:rPr>
          <w:rFonts w:eastAsia="Times New Roman"/>
          <w:lang w:eastAsia="en-MY"/>
        </w:rPr>
        <w:t xml:space="preserve"> 3 </w:t>
      </w:r>
      <w:proofErr w:type="spellStart"/>
      <w:r w:rsidRPr="005A79C9">
        <w:rPr>
          <w:rFonts w:eastAsia="Times New Roman"/>
          <w:lang w:eastAsia="en-MY"/>
        </w:rPr>
        <w:t>serangkai</w:t>
      </w:r>
      <w:proofErr w:type="spellEnd"/>
      <w:r w:rsidRPr="005A79C9">
        <w:rPr>
          <w:rFonts w:eastAsia="Times New Roman"/>
          <w:lang w:eastAsia="en-MY"/>
        </w:rPr>
        <w:t xml:space="preserve"> </w:t>
      </w:r>
      <w:proofErr w:type="spellStart"/>
      <w:r w:rsidRPr="005A79C9">
        <w:rPr>
          <w:rFonts w:eastAsia="Times New Roman"/>
          <w:lang w:eastAsia="en-MY"/>
        </w:rPr>
        <w:t>dengan</w:t>
      </w:r>
      <w:proofErr w:type="spellEnd"/>
      <w:r w:rsidRPr="005A79C9">
        <w:rPr>
          <w:rFonts w:eastAsia="Times New Roman"/>
          <w:lang w:eastAsia="en-MY"/>
        </w:rPr>
        <w:t xml:space="preserve"> </w:t>
      </w:r>
      <w:proofErr w:type="spellStart"/>
      <w:r w:rsidRPr="005A79C9">
        <w:rPr>
          <w:rFonts w:eastAsia="Times New Roman"/>
          <w:lang w:eastAsia="en-MY"/>
        </w:rPr>
        <w:t>autisme</w:t>
      </w:r>
      <w:proofErr w:type="spellEnd"/>
      <w:r w:rsidRPr="005A79C9">
        <w:rPr>
          <w:rFonts w:eastAsia="Times New Roman"/>
          <w:lang w:eastAsia="en-MY"/>
        </w:rPr>
        <w:t xml:space="preserve"> </w:t>
      </w:r>
      <w:proofErr w:type="spellStart"/>
      <w:r w:rsidRPr="005A79C9">
        <w:rPr>
          <w:rFonts w:eastAsia="Times New Roman"/>
          <w:lang w:eastAsia="en-MY"/>
        </w:rPr>
        <w:t>secara</w:t>
      </w:r>
      <w:proofErr w:type="spellEnd"/>
      <w:r w:rsidRPr="005A79C9">
        <w:rPr>
          <w:rFonts w:eastAsia="Times New Roman"/>
          <w:lang w:eastAsia="en-MY"/>
        </w:rPr>
        <w:t xml:space="preserve"> </w:t>
      </w:r>
      <w:proofErr w:type="spellStart"/>
      <w:r w:rsidRPr="005A79C9">
        <w:rPr>
          <w:rFonts w:eastAsia="Times New Roman"/>
          <w:lang w:eastAsia="en-MY"/>
        </w:rPr>
        <w:t>saintifik</w:t>
      </w:r>
      <w:proofErr w:type="spellEnd"/>
      <w:r w:rsidRPr="005A79C9">
        <w:rPr>
          <w:rFonts w:eastAsia="Times New Roman"/>
          <w:lang w:eastAsia="en-MY"/>
        </w:rPr>
        <w:t xml:space="preserve">. </w:t>
      </w:r>
      <w:proofErr w:type="spellStart"/>
      <w:r w:rsidRPr="005A79C9">
        <w:rPr>
          <w:rFonts w:eastAsia="Times New Roman"/>
          <w:lang w:eastAsia="en-MY"/>
        </w:rPr>
        <w:t>Terdapat</w:t>
      </w:r>
      <w:proofErr w:type="spellEnd"/>
      <w:r w:rsidRPr="005A79C9">
        <w:rPr>
          <w:rFonts w:eastAsia="Times New Roman"/>
          <w:lang w:eastAsia="en-MY"/>
        </w:rPr>
        <w:t xml:space="preserve"> </w:t>
      </w:r>
      <w:proofErr w:type="spellStart"/>
      <w:r w:rsidRPr="005A79C9">
        <w:rPr>
          <w:rFonts w:eastAsia="Times New Roman"/>
          <w:lang w:eastAsia="en-MY"/>
        </w:rPr>
        <w:t>elemen</w:t>
      </w:r>
      <w:proofErr w:type="spellEnd"/>
      <w:r w:rsidRPr="005A79C9">
        <w:rPr>
          <w:rFonts w:eastAsia="Times New Roman"/>
          <w:lang w:eastAsia="en-MY"/>
        </w:rPr>
        <w:t xml:space="preserve"> </w:t>
      </w:r>
      <w:proofErr w:type="spellStart"/>
      <w:r w:rsidRPr="005A79C9">
        <w:rPr>
          <w:rFonts w:eastAsia="Times New Roman"/>
          <w:lang w:eastAsia="en-MY"/>
        </w:rPr>
        <w:t>penipuan</w:t>
      </w:r>
      <w:proofErr w:type="spellEnd"/>
      <w:r w:rsidRPr="005A79C9">
        <w:rPr>
          <w:rFonts w:eastAsia="Times New Roman"/>
          <w:lang w:eastAsia="en-MY"/>
        </w:rPr>
        <w:t xml:space="preserve"> yang di </w:t>
      </w:r>
      <w:proofErr w:type="spellStart"/>
      <w:r w:rsidRPr="005A79C9">
        <w:rPr>
          <w:rFonts w:eastAsia="Times New Roman"/>
          <w:lang w:eastAsia="en-MY"/>
        </w:rPr>
        <w:t>buat</w:t>
      </w:r>
      <w:proofErr w:type="spellEnd"/>
      <w:r w:rsidRPr="005A79C9">
        <w:rPr>
          <w:rFonts w:eastAsia="Times New Roman"/>
          <w:lang w:eastAsia="en-MY"/>
        </w:rPr>
        <w:t xml:space="preserve"> oleh </w:t>
      </w:r>
      <w:proofErr w:type="spellStart"/>
      <w:r w:rsidRPr="005A79C9">
        <w:rPr>
          <w:rFonts w:eastAsia="Times New Roman"/>
          <w:lang w:eastAsia="en-MY"/>
        </w:rPr>
        <w:t>doktor</w:t>
      </w:r>
      <w:proofErr w:type="spellEnd"/>
      <w:r w:rsidRPr="005A79C9">
        <w:rPr>
          <w:rFonts w:eastAsia="Times New Roman"/>
          <w:lang w:eastAsia="en-MY"/>
        </w:rPr>
        <w:t xml:space="preserve"> </w:t>
      </w:r>
      <w:proofErr w:type="spellStart"/>
      <w:r w:rsidRPr="005A79C9">
        <w:rPr>
          <w:rFonts w:eastAsia="Times New Roman"/>
          <w:lang w:eastAsia="en-MY"/>
        </w:rPr>
        <w:t>tersebut</w:t>
      </w:r>
      <w:proofErr w:type="spellEnd"/>
      <w:r w:rsidRPr="005A79C9">
        <w:rPr>
          <w:rFonts w:eastAsia="Times New Roman"/>
          <w:lang w:eastAsia="en-MY"/>
        </w:rPr>
        <w:t xml:space="preserve">. </w:t>
      </w:r>
      <w:r w:rsidRPr="005A79C9">
        <w:rPr>
          <w:bCs/>
          <w:lang w:val="sv-SE"/>
        </w:rPr>
        <w:t xml:space="preserve">Kemudian, kajian ini telah ditarik balik secara legal dan lesen amalan perubatan doktor tersebut telah diberhentikan. Akan tetapi, masih ada di kalangan ibu-bapa yang masih mempercayai kata-kata pakar perubatan tersebut. Maka daripada saat itu muncul beberapa golongan yang di label sebagai golongan anti-vaksin dan ”pro-choice’. Akan tetapi masih ramai lagi ibu bapa yang di dalam kalangan ragu-ragu terhadap vaksin tetapi tidak di kaji secara menyeluruh di Malaysia. </w:t>
      </w:r>
    </w:p>
    <w:p w14:paraId="0BCBA72D" w14:textId="77777777" w:rsidR="000F5D9D" w:rsidRPr="005A79C9" w:rsidRDefault="000F5D9D" w:rsidP="007D5C0F">
      <w:pPr>
        <w:pStyle w:val="NoSpacing"/>
        <w:jc w:val="both"/>
        <w:rPr>
          <w:lang w:val="sv-SE"/>
        </w:rPr>
      </w:pPr>
      <w:r w:rsidRPr="005A79C9">
        <w:rPr>
          <w:lang w:val="sv-SE"/>
        </w:rPr>
        <w:t>Tujuan Kajian</w:t>
      </w:r>
    </w:p>
    <w:p w14:paraId="1ED91482" w14:textId="77777777" w:rsidR="000F5D9D" w:rsidRPr="005A79C9" w:rsidRDefault="000F5D9D" w:rsidP="007D5C0F">
      <w:pPr>
        <w:pStyle w:val="NoSpacing"/>
        <w:jc w:val="both"/>
        <w:rPr>
          <w:lang w:val="sv-SE"/>
        </w:rPr>
      </w:pPr>
    </w:p>
    <w:p w14:paraId="08F48AAF" w14:textId="77777777" w:rsidR="000F5D9D" w:rsidRPr="005A79C9" w:rsidRDefault="000F5D9D" w:rsidP="007D5C0F">
      <w:pPr>
        <w:pStyle w:val="NoSpacing"/>
        <w:jc w:val="both"/>
        <w:rPr>
          <w:bCs/>
          <w:lang w:val="sv-SE"/>
        </w:rPr>
      </w:pPr>
      <w:r w:rsidRPr="005A79C9">
        <w:rPr>
          <w:bCs/>
          <w:lang w:val="sv-SE"/>
        </w:rPr>
        <w:t>Tujuan kajian ini dijalankan adalah untuk mengetahui dan memahami hubung kait sikap ragu terhadap vaksin di kalangan ibu bapa yang mempunyai anak autisme.</w:t>
      </w:r>
    </w:p>
    <w:p w14:paraId="28790BAE" w14:textId="77777777" w:rsidR="000F5D9D" w:rsidRPr="005A79C9" w:rsidRDefault="000F5D9D" w:rsidP="007D5C0F">
      <w:pPr>
        <w:pStyle w:val="NoSpacing"/>
        <w:jc w:val="both"/>
        <w:rPr>
          <w:lang w:val="sv-SE"/>
        </w:rPr>
      </w:pPr>
    </w:p>
    <w:p w14:paraId="46C1DD37" w14:textId="77777777" w:rsidR="000F5D9D" w:rsidRPr="007D5C0F" w:rsidRDefault="000F5D9D" w:rsidP="007D5C0F">
      <w:pPr>
        <w:pStyle w:val="NoSpacing"/>
        <w:jc w:val="both"/>
        <w:rPr>
          <w:b/>
          <w:bCs/>
          <w:lang w:val="sv-SE"/>
        </w:rPr>
      </w:pPr>
      <w:r w:rsidRPr="007D5C0F">
        <w:rPr>
          <w:b/>
          <w:bCs/>
          <w:lang w:val="sv-SE"/>
        </w:rPr>
        <w:t>Prosedur Kajian</w:t>
      </w:r>
    </w:p>
    <w:p w14:paraId="16505A01" w14:textId="77777777" w:rsidR="000F5D9D" w:rsidRPr="005A79C9" w:rsidRDefault="000F5D9D" w:rsidP="007D5C0F">
      <w:pPr>
        <w:pStyle w:val="NoSpacing"/>
        <w:jc w:val="both"/>
        <w:rPr>
          <w:bCs/>
          <w:lang w:val="sv-SE"/>
        </w:rPr>
      </w:pPr>
      <w:r w:rsidRPr="005A79C9">
        <w:rPr>
          <w:bCs/>
          <w:lang w:val="sv-SE"/>
        </w:rPr>
        <w:t>Kajian ini memerlukan peserta untuk mengisi borang soal selidik latar belakang, demografi dan soalan kaji selidik tentang sikap ibu-bapa terhadap vaksin (suntikan imunisasi) kanak-kanak.</w:t>
      </w:r>
    </w:p>
    <w:p w14:paraId="239995BB" w14:textId="77777777" w:rsidR="000F5D9D" w:rsidRPr="005A79C9" w:rsidRDefault="000F5D9D" w:rsidP="007D5C0F">
      <w:pPr>
        <w:pStyle w:val="NoSpacing"/>
        <w:jc w:val="both"/>
        <w:rPr>
          <w:lang w:val="sv-SE"/>
        </w:rPr>
      </w:pPr>
    </w:p>
    <w:p w14:paraId="5611F7B5" w14:textId="77777777" w:rsidR="000F5D9D" w:rsidRPr="007D5C0F" w:rsidRDefault="000F5D9D" w:rsidP="007D5C0F">
      <w:pPr>
        <w:pStyle w:val="NoSpacing"/>
        <w:jc w:val="both"/>
        <w:rPr>
          <w:b/>
          <w:bCs/>
          <w:lang w:val="sv-SE"/>
        </w:rPr>
      </w:pPr>
      <w:r w:rsidRPr="007D5C0F">
        <w:rPr>
          <w:b/>
          <w:bCs/>
          <w:lang w:val="sv-SE"/>
        </w:rPr>
        <w:t>Penyertaan dalam Kajian</w:t>
      </w:r>
    </w:p>
    <w:p w14:paraId="0A58AD41" w14:textId="77777777" w:rsidR="000F5D9D" w:rsidRPr="005A79C9" w:rsidRDefault="000F5D9D" w:rsidP="007D5C0F">
      <w:pPr>
        <w:pStyle w:val="NoSpacing"/>
        <w:jc w:val="both"/>
        <w:rPr>
          <w:lang w:val="sv-SE"/>
        </w:rPr>
      </w:pPr>
    </w:p>
    <w:p w14:paraId="06FB4991" w14:textId="77777777" w:rsidR="000F5D9D" w:rsidRPr="005A79C9" w:rsidRDefault="000F5D9D" w:rsidP="007D5C0F">
      <w:pPr>
        <w:pStyle w:val="NoSpacing"/>
        <w:jc w:val="both"/>
        <w:rPr>
          <w:lang w:val="sv-SE"/>
        </w:rPr>
      </w:pPr>
      <w:r w:rsidRPr="005A79C9">
        <w:rPr>
          <w:lang w:val="sv-SE"/>
        </w:rPr>
        <w:t xml:space="preserve">Penyertaan anda di dalam kajian ini adalah secara sukarela.  Anda berhak menolak tawaran penyertaan ini atau menarik diri daripada kajian ini pada bila-bila masa tanpa sebarang penalti.  </w:t>
      </w:r>
    </w:p>
    <w:p w14:paraId="714206EE" w14:textId="77777777" w:rsidR="000F5D9D" w:rsidRPr="007D5C0F" w:rsidRDefault="000F5D9D" w:rsidP="007D5C0F">
      <w:pPr>
        <w:pStyle w:val="NoSpacing"/>
        <w:jc w:val="both"/>
        <w:rPr>
          <w:b/>
          <w:bCs/>
          <w:lang w:val="sv-SE"/>
        </w:rPr>
      </w:pPr>
    </w:p>
    <w:p w14:paraId="39641894" w14:textId="77777777" w:rsidR="007D5C0F" w:rsidRDefault="007D5C0F" w:rsidP="007D5C0F">
      <w:pPr>
        <w:pStyle w:val="NoSpacing"/>
        <w:rPr>
          <w:b/>
          <w:bCs/>
          <w:lang w:val="sv-SE"/>
        </w:rPr>
      </w:pPr>
    </w:p>
    <w:p w14:paraId="06CC13C5" w14:textId="77777777" w:rsidR="007D5C0F" w:rsidRDefault="007D5C0F" w:rsidP="007D5C0F">
      <w:pPr>
        <w:pStyle w:val="NoSpacing"/>
        <w:rPr>
          <w:b/>
          <w:bCs/>
          <w:lang w:val="sv-SE"/>
        </w:rPr>
      </w:pPr>
    </w:p>
    <w:p w14:paraId="0D10CEB4" w14:textId="500FBCD5" w:rsidR="000F5D9D" w:rsidRPr="007D5C0F" w:rsidRDefault="000F5D9D" w:rsidP="007D5C0F">
      <w:pPr>
        <w:pStyle w:val="NoSpacing"/>
        <w:rPr>
          <w:b/>
          <w:bCs/>
          <w:lang w:val="sv-SE"/>
        </w:rPr>
      </w:pPr>
      <w:r w:rsidRPr="007D5C0F">
        <w:rPr>
          <w:b/>
          <w:bCs/>
          <w:lang w:val="sv-SE"/>
        </w:rPr>
        <w:lastRenderedPageBreak/>
        <w:t>Manfaat Kajian</w:t>
      </w:r>
    </w:p>
    <w:p w14:paraId="58D674C7" w14:textId="77777777" w:rsidR="000F5D9D" w:rsidRPr="005A79C9" w:rsidRDefault="000F5D9D" w:rsidP="007D5C0F">
      <w:pPr>
        <w:pStyle w:val="NoSpacing"/>
        <w:rPr>
          <w:lang w:val="sv-SE"/>
        </w:rPr>
      </w:pPr>
    </w:p>
    <w:p w14:paraId="364AE8A2" w14:textId="77777777" w:rsidR="000F5D9D" w:rsidRPr="005A79C9" w:rsidRDefault="000F5D9D" w:rsidP="007D5C0F">
      <w:pPr>
        <w:pStyle w:val="NoSpacing"/>
        <w:rPr>
          <w:lang w:val="sv-SE"/>
        </w:rPr>
      </w:pPr>
      <w:r w:rsidRPr="005A79C9">
        <w:rPr>
          <w:lang w:val="sv-SE"/>
        </w:rPr>
        <w:t xml:space="preserve">Dengan menagmbil bahagian dalam kajian ini, anda memberi peluang kepada para pengkaji untuk </w:t>
      </w:r>
      <w:r w:rsidRPr="005A79C9">
        <w:rPr>
          <w:bCs/>
          <w:lang w:val="sv-SE"/>
        </w:rPr>
        <w:t xml:space="preserve">mengetahui dan memahami hubung kait sikap ragu terhadap vaksin di kalangan ibu bapa yang mempunyai anak autisme. </w:t>
      </w:r>
      <w:r w:rsidRPr="005A79C9">
        <w:rPr>
          <w:lang w:val="sv-SE"/>
        </w:rPr>
        <w:t xml:space="preserve">Sekiranya terdapat perkaitan, kajian ini akan dijadikan bahan rujukan kepada perancang polisi dan kerajaan untuk mengambil langkah pencegahan supaya pendedahan terhadap keraguan vaksin di kalangan ibu-bapa yang mempunyai kanak-kanak autisme dapat di elakkan. </w:t>
      </w:r>
    </w:p>
    <w:p w14:paraId="72CB6FBB" w14:textId="77777777" w:rsidR="000F5D9D" w:rsidRPr="005A79C9" w:rsidRDefault="000F5D9D" w:rsidP="007D5C0F">
      <w:pPr>
        <w:pStyle w:val="NoSpacing"/>
        <w:rPr>
          <w:lang w:val="sv-SE"/>
        </w:rPr>
      </w:pPr>
    </w:p>
    <w:p w14:paraId="018A53D2" w14:textId="77777777" w:rsidR="000F5D9D" w:rsidRPr="005A79C9" w:rsidRDefault="000F5D9D" w:rsidP="007D5C0F">
      <w:pPr>
        <w:pStyle w:val="NoSpacing"/>
        <w:rPr>
          <w:lang w:val="sv-SE"/>
        </w:rPr>
      </w:pPr>
    </w:p>
    <w:p w14:paraId="32BE4E92" w14:textId="77777777" w:rsidR="000F5D9D" w:rsidRPr="007D5C0F" w:rsidRDefault="000F5D9D" w:rsidP="007D5C0F">
      <w:pPr>
        <w:pStyle w:val="NoSpacing"/>
        <w:rPr>
          <w:b/>
          <w:bCs/>
          <w:lang w:val="sv-SE"/>
        </w:rPr>
      </w:pPr>
      <w:r w:rsidRPr="007D5C0F">
        <w:rPr>
          <w:b/>
          <w:bCs/>
          <w:lang w:val="sv-SE"/>
        </w:rPr>
        <w:t>Risiko Kajian</w:t>
      </w:r>
    </w:p>
    <w:p w14:paraId="49D9021E" w14:textId="77777777" w:rsidR="000F5D9D" w:rsidRPr="005A79C9" w:rsidRDefault="000F5D9D" w:rsidP="007D5C0F">
      <w:pPr>
        <w:pStyle w:val="NoSpacing"/>
        <w:rPr>
          <w:lang w:val="sv-SE"/>
        </w:rPr>
      </w:pPr>
    </w:p>
    <w:p w14:paraId="25331E64" w14:textId="77777777" w:rsidR="000F5D9D" w:rsidRPr="005A79C9" w:rsidRDefault="000F5D9D" w:rsidP="007D5C0F">
      <w:pPr>
        <w:pStyle w:val="NoSpacing"/>
        <w:rPr>
          <w:lang w:val="sv-SE"/>
        </w:rPr>
      </w:pPr>
      <w:r w:rsidRPr="005A79C9">
        <w:rPr>
          <w:lang w:val="sv-SE"/>
        </w:rPr>
        <w:t xml:space="preserve">Tiada risiko kajian yang akan di alami kerana kajian ini tidak memerlukan anda untuk memberi sampel atau tidak berkait dengan ubatan. </w:t>
      </w:r>
    </w:p>
    <w:p w14:paraId="3521AA43" w14:textId="77777777" w:rsidR="000F5D9D" w:rsidRPr="005A79C9" w:rsidRDefault="000F5D9D" w:rsidP="007D5C0F">
      <w:pPr>
        <w:pStyle w:val="NoSpacing"/>
        <w:rPr>
          <w:lang w:val="sv-SE"/>
        </w:rPr>
      </w:pPr>
    </w:p>
    <w:p w14:paraId="678D8E33" w14:textId="77777777" w:rsidR="000F5D9D" w:rsidRPr="007D5C0F" w:rsidRDefault="000F5D9D" w:rsidP="007D5C0F">
      <w:pPr>
        <w:pStyle w:val="NoSpacing"/>
        <w:rPr>
          <w:b/>
          <w:bCs/>
          <w:lang w:val="sv-SE"/>
        </w:rPr>
      </w:pPr>
      <w:r w:rsidRPr="007D5C0F">
        <w:rPr>
          <w:b/>
          <w:bCs/>
          <w:lang w:val="sv-SE"/>
        </w:rPr>
        <w:t>Kerahsiaan</w:t>
      </w:r>
      <w:r w:rsidRPr="007D5C0F">
        <w:rPr>
          <w:b/>
          <w:bCs/>
          <w:lang w:val="sv-SE"/>
        </w:rPr>
        <w:tab/>
      </w:r>
    </w:p>
    <w:p w14:paraId="3C952DC5" w14:textId="77777777" w:rsidR="000F5D9D" w:rsidRPr="005A79C9" w:rsidRDefault="000F5D9D" w:rsidP="007D5C0F">
      <w:pPr>
        <w:pStyle w:val="NoSpacing"/>
        <w:rPr>
          <w:lang w:val="sv-SE"/>
        </w:rPr>
      </w:pPr>
    </w:p>
    <w:p w14:paraId="42099FFB" w14:textId="77777777" w:rsidR="000F5D9D" w:rsidRPr="005A79C9" w:rsidRDefault="000F5D9D" w:rsidP="007D5C0F">
      <w:pPr>
        <w:pStyle w:val="NoSpacing"/>
        <w:rPr>
          <w:lang w:val="sv-SE"/>
        </w:rPr>
      </w:pPr>
      <w:r w:rsidRPr="005A79C9">
        <w:rPr>
          <w:lang w:val="sv-SE"/>
        </w:rPr>
        <w:t>Maklumat perubatan anda akan dirahsiakan oleh penyelidik dan tidak akan didedahkan melainkan jika ia dikehendaki oleh undang-undang.</w:t>
      </w:r>
    </w:p>
    <w:p w14:paraId="064B299E" w14:textId="77777777" w:rsidR="000F5D9D" w:rsidRPr="005A79C9" w:rsidRDefault="000F5D9D" w:rsidP="007D5C0F">
      <w:pPr>
        <w:pStyle w:val="NoSpacing"/>
        <w:rPr>
          <w:lang w:val="sv-SE"/>
        </w:rPr>
      </w:pPr>
    </w:p>
    <w:p w14:paraId="0C88462D" w14:textId="77777777" w:rsidR="000F5D9D" w:rsidRPr="005A79C9" w:rsidRDefault="000F5D9D" w:rsidP="007D5C0F">
      <w:pPr>
        <w:pStyle w:val="NoSpacing"/>
        <w:rPr>
          <w:lang w:val="sv-SE"/>
        </w:rPr>
      </w:pPr>
      <w:r w:rsidRPr="005A79C9">
        <w:rPr>
          <w:lang w:val="sv-SE"/>
        </w:rPr>
        <w:t>Dengan menandatangani borang persetujuan ini, anda membenarkan penelitian rekod, penganalisaan dan penggunaan data hasil dari kajian ini.</w:t>
      </w:r>
    </w:p>
    <w:p w14:paraId="62F8F387" w14:textId="77777777" w:rsidR="000F5D9D" w:rsidRPr="005A79C9" w:rsidRDefault="000F5D9D" w:rsidP="007D5C0F">
      <w:pPr>
        <w:pStyle w:val="NoSpacing"/>
        <w:rPr>
          <w:lang w:val="sv-SE"/>
        </w:rPr>
      </w:pPr>
    </w:p>
    <w:p w14:paraId="03A37151" w14:textId="77777777" w:rsidR="000F5D9D" w:rsidRPr="005A79C9" w:rsidRDefault="000F5D9D" w:rsidP="007D5C0F">
      <w:pPr>
        <w:pStyle w:val="NoSpacing"/>
        <w:rPr>
          <w:lang w:val="sv-SE"/>
        </w:rPr>
      </w:pPr>
      <w:r w:rsidRPr="005A79C9">
        <w:rPr>
          <w:lang w:val="sv-SE"/>
        </w:rPr>
        <w:t xml:space="preserve">Sekiranya anda mempunyai sebarang pertanyaan mengenai kajian ini atau hak-hak anda, sila hubungi penyelidik di talian </w:t>
      </w:r>
      <w:r w:rsidRPr="005A79C9">
        <w:rPr>
          <w:u w:val="single"/>
          <w:lang w:val="sv-SE"/>
        </w:rPr>
        <w:t>(012-6871487)</w:t>
      </w:r>
      <w:r w:rsidRPr="005A79C9">
        <w:rPr>
          <w:lang w:val="sv-SE"/>
        </w:rPr>
        <w:t xml:space="preserve">  </w:t>
      </w:r>
    </w:p>
    <w:p w14:paraId="303ED9CA" w14:textId="77777777" w:rsidR="000F5D9D" w:rsidRPr="005A79C9" w:rsidRDefault="000F5D9D" w:rsidP="007D5C0F">
      <w:pPr>
        <w:pStyle w:val="NoSpacing"/>
        <w:rPr>
          <w:lang w:val="sv-SE"/>
        </w:rPr>
      </w:pPr>
    </w:p>
    <w:p w14:paraId="7635D80C" w14:textId="77777777" w:rsidR="000F5D9D" w:rsidRPr="005A79C9" w:rsidRDefault="000F5D9D" w:rsidP="007D5C0F">
      <w:pPr>
        <w:pStyle w:val="NoSpacing"/>
        <w:rPr>
          <w:lang w:val="sv-SE"/>
        </w:rPr>
      </w:pPr>
    </w:p>
    <w:p w14:paraId="0AAE3102" w14:textId="77777777" w:rsidR="000F5D9D" w:rsidRPr="005A79C9" w:rsidRDefault="000F5D9D" w:rsidP="007D5C0F">
      <w:pPr>
        <w:pStyle w:val="NoSpacing"/>
        <w:rPr>
          <w:lang w:val="sv-SE"/>
        </w:rPr>
      </w:pPr>
    </w:p>
    <w:p w14:paraId="579ADBE3" w14:textId="77777777" w:rsidR="000F5D9D" w:rsidRPr="005A79C9" w:rsidRDefault="000F5D9D" w:rsidP="007D5C0F">
      <w:pPr>
        <w:pStyle w:val="NoSpacing"/>
        <w:rPr>
          <w:lang w:val="sv-SE"/>
        </w:rPr>
      </w:pPr>
    </w:p>
    <w:p w14:paraId="6AF27C36" w14:textId="77777777" w:rsidR="000F5D9D" w:rsidRPr="005A79C9" w:rsidRDefault="000F5D9D" w:rsidP="007D5C0F">
      <w:pPr>
        <w:pStyle w:val="NoSpacing"/>
        <w:rPr>
          <w:lang w:val="sv-SE"/>
        </w:rPr>
      </w:pPr>
    </w:p>
    <w:p w14:paraId="73942145" w14:textId="77777777" w:rsidR="000F5D9D" w:rsidRPr="005A79C9" w:rsidRDefault="000F5D9D" w:rsidP="007D5C0F">
      <w:pPr>
        <w:pStyle w:val="NoSpacing"/>
        <w:rPr>
          <w:lang w:val="sv-SE"/>
        </w:rPr>
      </w:pPr>
    </w:p>
    <w:p w14:paraId="14CD4570" w14:textId="77777777" w:rsidR="000F5D9D" w:rsidRPr="005A79C9" w:rsidRDefault="000F5D9D" w:rsidP="007D5C0F">
      <w:pPr>
        <w:pStyle w:val="NoSpacing"/>
        <w:rPr>
          <w:lang w:val="sv-SE"/>
        </w:rPr>
      </w:pPr>
    </w:p>
    <w:p w14:paraId="21ED866C" w14:textId="77777777" w:rsidR="000F5D9D" w:rsidRPr="005A79C9" w:rsidRDefault="000F5D9D" w:rsidP="007D5C0F">
      <w:pPr>
        <w:pStyle w:val="NoSpacing"/>
        <w:rPr>
          <w:lang w:val="sv-SE"/>
        </w:rPr>
      </w:pPr>
    </w:p>
    <w:p w14:paraId="304AA192" w14:textId="77777777" w:rsidR="000F5D9D" w:rsidRPr="005A79C9" w:rsidRDefault="000F5D9D" w:rsidP="007D5C0F">
      <w:pPr>
        <w:pStyle w:val="NoSpacing"/>
        <w:rPr>
          <w:lang w:val="sv-SE"/>
        </w:rPr>
      </w:pPr>
    </w:p>
    <w:p w14:paraId="3A252AB1" w14:textId="77777777" w:rsidR="000F5D9D" w:rsidRPr="005A79C9" w:rsidRDefault="000F5D9D" w:rsidP="007D5C0F">
      <w:pPr>
        <w:pStyle w:val="NoSpacing"/>
        <w:rPr>
          <w:lang w:val="sv-SE"/>
        </w:rPr>
      </w:pPr>
    </w:p>
    <w:p w14:paraId="3EE39B2C" w14:textId="77777777" w:rsidR="000F5D9D" w:rsidRPr="005A79C9" w:rsidRDefault="000F5D9D" w:rsidP="007D5C0F">
      <w:pPr>
        <w:pStyle w:val="NoSpacing"/>
        <w:rPr>
          <w:lang w:val="sv-SE"/>
        </w:rPr>
      </w:pPr>
    </w:p>
    <w:p w14:paraId="3CC4BCC7" w14:textId="77777777" w:rsidR="000F5D9D" w:rsidRPr="005A79C9" w:rsidRDefault="000F5D9D" w:rsidP="007D5C0F">
      <w:pPr>
        <w:pStyle w:val="NoSpacing"/>
        <w:rPr>
          <w:lang w:val="sv-SE"/>
        </w:rPr>
      </w:pPr>
    </w:p>
    <w:p w14:paraId="628AF74E" w14:textId="77777777" w:rsidR="000F5D9D" w:rsidRPr="005A79C9" w:rsidRDefault="000F5D9D" w:rsidP="007D5C0F">
      <w:pPr>
        <w:pStyle w:val="NoSpacing"/>
        <w:rPr>
          <w:lang w:val="sv-SE"/>
        </w:rPr>
      </w:pPr>
    </w:p>
    <w:p w14:paraId="083E6373" w14:textId="77777777" w:rsidR="000F5D9D" w:rsidRPr="005A79C9" w:rsidRDefault="000F5D9D" w:rsidP="007D5C0F">
      <w:pPr>
        <w:pStyle w:val="NoSpacing"/>
        <w:rPr>
          <w:lang w:val="sv-SE"/>
        </w:rPr>
      </w:pPr>
    </w:p>
    <w:p w14:paraId="5C79ECC5" w14:textId="77777777" w:rsidR="000F5D9D" w:rsidRPr="005A79C9" w:rsidRDefault="000F5D9D" w:rsidP="007D5C0F">
      <w:pPr>
        <w:pStyle w:val="NoSpacing"/>
        <w:rPr>
          <w:lang w:val="sv-SE"/>
        </w:rPr>
      </w:pPr>
    </w:p>
    <w:p w14:paraId="4C7D3209" w14:textId="77777777" w:rsidR="000F5D9D" w:rsidRPr="005A79C9" w:rsidRDefault="000F5D9D" w:rsidP="007D5C0F">
      <w:pPr>
        <w:pStyle w:val="NoSpacing"/>
        <w:rPr>
          <w:lang w:val="sv-SE"/>
        </w:rPr>
      </w:pPr>
    </w:p>
    <w:p w14:paraId="79F54F65" w14:textId="77777777" w:rsidR="000F5D9D" w:rsidRPr="005A79C9" w:rsidRDefault="000F5D9D" w:rsidP="007D5C0F">
      <w:pPr>
        <w:pStyle w:val="NoSpacing"/>
        <w:rPr>
          <w:lang w:val="sv-SE"/>
        </w:rPr>
      </w:pPr>
    </w:p>
    <w:p w14:paraId="52F3C482" w14:textId="77777777" w:rsidR="000F5D9D" w:rsidRPr="005A79C9" w:rsidRDefault="000F5D9D" w:rsidP="007D5C0F">
      <w:pPr>
        <w:pStyle w:val="NoSpacing"/>
        <w:rPr>
          <w:lang w:val="sv-SE"/>
        </w:rPr>
      </w:pPr>
    </w:p>
    <w:p w14:paraId="6CC6A1F0" w14:textId="77777777" w:rsidR="000F5D9D" w:rsidRPr="005A79C9" w:rsidRDefault="000F5D9D" w:rsidP="007D5C0F">
      <w:pPr>
        <w:pStyle w:val="NoSpacing"/>
        <w:rPr>
          <w:lang w:val="sv-SE"/>
        </w:rPr>
      </w:pPr>
    </w:p>
    <w:p w14:paraId="1B3F77EA" w14:textId="77777777" w:rsidR="000F5D9D" w:rsidRPr="005A79C9" w:rsidRDefault="000F5D9D" w:rsidP="007D5C0F">
      <w:pPr>
        <w:pStyle w:val="NoSpacing"/>
        <w:rPr>
          <w:lang w:val="sv-SE"/>
        </w:rPr>
      </w:pPr>
    </w:p>
    <w:p w14:paraId="6CE80C12" w14:textId="77777777" w:rsidR="000F5D9D" w:rsidRPr="005A79C9" w:rsidRDefault="000F5D9D" w:rsidP="007D5C0F">
      <w:pPr>
        <w:pStyle w:val="NoSpacing"/>
        <w:rPr>
          <w:lang w:val="sv-SE"/>
        </w:rPr>
      </w:pPr>
    </w:p>
    <w:p w14:paraId="1D23F3FF" w14:textId="77777777" w:rsidR="000F5D9D" w:rsidRPr="005A79C9" w:rsidRDefault="000F5D9D" w:rsidP="007D5C0F">
      <w:pPr>
        <w:pStyle w:val="NoSpacing"/>
        <w:rPr>
          <w:lang w:val="sv-SE"/>
        </w:rPr>
      </w:pPr>
    </w:p>
    <w:p w14:paraId="07542F05" w14:textId="77777777" w:rsidR="000F5D9D" w:rsidRPr="005A79C9" w:rsidRDefault="000F5D9D" w:rsidP="007D5C0F">
      <w:pPr>
        <w:pStyle w:val="NoSpacing"/>
        <w:rPr>
          <w:lang w:val="sv-SE"/>
        </w:rPr>
      </w:pPr>
    </w:p>
    <w:p w14:paraId="2C21D703" w14:textId="6AE67A1F" w:rsidR="000F5D9D" w:rsidRPr="005A79C9" w:rsidRDefault="000F5D9D" w:rsidP="007D5C0F">
      <w:pPr>
        <w:pStyle w:val="NoSpacing"/>
        <w:rPr>
          <w:lang w:val="sv-SE"/>
        </w:rPr>
      </w:pPr>
      <w:r w:rsidRPr="005A79C9">
        <w:rPr>
          <w:lang w:val="sv-SE"/>
        </w:rPr>
        <w:t xml:space="preserve">                                                                                                      ___________________________________________________________________________</w:t>
      </w:r>
    </w:p>
    <w:p w14:paraId="294249BC" w14:textId="77777777" w:rsidR="000F5D9D" w:rsidRPr="007D5C0F" w:rsidRDefault="000F5D9D" w:rsidP="007D5C0F">
      <w:pPr>
        <w:pStyle w:val="NoSpacing"/>
        <w:rPr>
          <w:b/>
          <w:bCs/>
          <w:lang w:val="sv-SE"/>
        </w:rPr>
      </w:pPr>
      <w:r w:rsidRPr="007D5C0F">
        <w:rPr>
          <w:b/>
          <w:bCs/>
          <w:lang w:val="sv-SE"/>
        </w:rPr>
        <w:lastRenderedPageBreak/>
        <w:t xml:space="preserve">                                                                     Borang Izin</w:t>
      </w:r>
    </w:p>
    <w:p w14:paraId="6F137B40" w14:textId="77777777" w:rsidR="000F5D9D" w:rsidRPr="005A79C9" w:rsidRDefault="000F5D9D" w:rsidP="007D5C0F">
      <w:pPr>
        <w:pStyle w:val="NoSpacing"/>
        <w:rPr>
          <w:lang w:val="sv-SE"/>
        </w:rPr>
      </w:pPr>
    </w:p>
    <w:p w14:paraId="596C2ACD" w14:textId="77777777" w:rsidR="000F5D9D" w:rsidRPr="005A79C9" w:rsidRDefault="000F5D9D" w:rsidP="007D5C0F">
      <w:pPr>
        <w:pStyle w:val="NoSpacing"/>
        <w:rPr>
          <w:lang w:val="sv-SE"/>
        </w:rPr>
      </w:pPr>
    </w:p>
    <w:p w14:paraId="25B2F1AF" w14:textId="77777777" w:rsidR="000F5D9D" w:rsidRPr="005A79C9" w:rsidRDefault="000F5D9D" w:rsidP="007D5C0F">
      <w:pPr>
        <w:pStyle w:val="NoSpacing"/>
        <w:jc w:val="both"/>
        <w:rPr>
          <w:lang w:val="sv-SE"/>
        </w:rPr>
      </w:pPr>
      <w:r w:rsidRPr="005A79C9">
        <w:rPr>
          <w:lang w:val="sv-SE"/>
        </w:rPr>
        <w:t>Untuk menyertai kajian ini, anda diperlukan menandatangani Borang Izin ini.</w:t>
      </w:r>
    </w:p>
    <w:p w14:paraId="5CEEA00A" w14:textId="77777777" w:rsidR="000F5D9D" w:rsidRPr="005A79C9" w:rsidRDefault="000F5D9D" w:rsidP="007D5C0F">
      <w:pPr>
        <w:pStyle w:val="NoSpacing"/>
        <w:jc w:val="both"/>
        <w:rPr>
          <w:lang w:val="sv-SE"/>
        </w:rPr>
      </w:pPr>
    </w:p>
    <w:p w14:paraId="497E74D3" w14:textId="77777777" w:rsidR="000F5D9D" w:rsidRPr="005A79C9" w:rsidRDefault="000F5D9D" w:rsidP="007D5C0F">
      <w:pPr>
        <w:pStyle w:val="NoSpacing"/>
        <w:jc w:val="both"/>
        <w:rPr>
          <w:lang w:val="sv-SE"/>
        </w:rPr>
      </w:pPr>
      <w:r w:rsidRPr="005A79C9">
        <w:rPr>
          <w:lang w:val="sv-SE"/>
        </w:rPr>
        <w:t>Saya dengan ini mengesahkan yang saya telah memenuhi syarat umur dan dalam keadaan yang berkeupayaan untuk bertindak untuk diri sendiri/ *sebagai penjaga yang sah dalam perkara-perkara yang berikut:</w:t>
      </w:r>
    </w:p>
    <w:p w14:paraId="1354B0A6" w14:textId="77777777" w:rsidR="000F5D9D" w:rsidRPr="005A79C9" w:rsidRDefault="000F5D9D" w:rsidP="007D5C0F">
      <w:pPr>
        <w:pStyle w:val="NoSpacing"/>
        <w:jc w:val="both"/>
        <w:rPr>
          <w:lang w:val="sv-SE"/>
        </w:rPr>
      </w:pPr>
    </w:p>
    <w:p w14:paraId="33099CA8" w14:textId="77777777" w:rsidR="000F5D9D" w:rsidRPr="005A79C9" w:rsidRDefault="000F5D9D" w:rsidP="007D5C0F">
      <w:pPr>
        <w:pStyle w:val="NoSpacing"/>
        <w:jc w:val="both"/>
        <w:rPr>
          <w:lang w:val="sv-SE"/>
        </w:rPr>
      </w:pPr>
      <w:r w:rsidRPr="005A79C9">
        <w:rPr>
          <w:lang w:val="sv-SE"/>
        </w:rPr>
        <w:t>Saya memahami ciri-ciri dan skop kajian ini.</w:t>
      </w:r>
    </w:p>
    <w:p w14:paraId="12CBB665" w14:textId="77777777" w:rsidR="000F5D9D" w:rsidRPr="005A79C9" w:rsidRDefault="000F5D9D" w:rsidP="007D5C0F">
      <w:pPr>
        <w:pStyle w:val="NoSpacing"/>
        <w:jc w:val="both"/>
        <w:rPr>
          <w:lang w:val="sv-SE"/>
        </w:rPr>
      </w:pPr>
      <w:r w:rsidRPr="005A79C9">
        <w:rPr>
          <w:lang w:val="sv-SE"/>
        </w:rPr>
        <w:t>Saya telah membaca dan memahami semua syarat penyertaan kajian ini.</w:t>
      </w:r>
    </w:p>
    <w:p w14:paraId="2C21009B" w14:textId="77777777" w:rsidR="000F5D9D" w:rsidRPr="005A79C9" w:rsidRDefault="000F5D9D" w:rsidP="007D5C0F">
      <w:pPr>
        <w:pStyle w:val="NoSpacing"/>
        <w:jc w:val="both"/>
        <w:rPr>
          <w:lang w:val="sv-SE"/>
        </w:rPr>
      </w:pPr>
      <w:r w:rsidRPr="005A79C9">
        <w:rPr>
          <w:lang w:val="sv-SE"/>
        </w:rPr>
        <w:t>Saya berpuas hati dengan jawapan pada kemusykilan saya tentang kajian ini.</w:t>
      </w:r>
    </w:p>
    <w:p w14:paraId="092111D4" w14:textId="77777777" w:rsidR="000F5D9D" w:rsidRPr="005A79C9" w:rsidRDefault="000F5D9D" w:rsidP="007D5C0F">
      <w:pPr>
        <w:pStyle w:val="NoSpacing"/>
        <w:jc w:val="both"/>
        <w:rPr>
          <w:lang w:val="sv-SE"/>
        </w:rPr>
      </w:pPr>
      <w:r w:rsidRPr="005A79C9">
        <w:rPr>
          <w:lang w:val="sv-SE"/>
        </w:rPr>
        <w:t xml:space="preserve">Saya secara sukarela bersetuju menyertai  kajian ini dan mengikuti segala atur cara dan memberi maklumat yang diperlukan kepada penyelidik seperti yang dikehendaki.   </w:t>
      </w:r>
    </w:p>
    <w:p w14:paraId="54B5AB7C" w14:textId="77777777" w:rsidR="000F5D9D" w:rsidRPr="005A79C9" w:rsidRDefault="000F5D9D" w:rsidP="007D5C0F">
      <w:pPr>
        <w:pStyle w:val="NoSpacing"/>
        <w:jc w:val="both"/>
        <w:rPr>
          <w:lang w:val="sv-SE"/>
        </w:rPr>
      </w:pPr>
      <w:r w:rsidRPr="005A79C9">
        <w:rPr>
          <w:lang w:val="sv-SE"/>
        </w:rPr>
        <w:t>Saya boleh menarik diri daripada kajian ini pada bila-bila masa tanpa memberi sebab.</w:t>
      </w:r>
    </w:p>
    <w:p w14:paraId="58809A19" w14:textId="77777777" w:rsidR="000F5D9D" w:rsidRPr="005A79C9" w:rsidRDefault="000F5D9D" w:rsidP="007D5C0F">
      <w:pPr>
        <w:pStyle w:val="NoSpacing"/>
        <w:jc w:val="both"/>
        <w:rPr>
          <w:lang w:val="sv-SE"/>
        </w:rPr>
      </w:pPr>
      <w:r w:rsidRPr="005A79C9">
        <w:rPr>
          <w:lang w:val="sv-SE"/>
        </w:rPr>
        <w:t>Saya telah pun menerima satu salinan Borang Maklumat dan Borang Izin.</w:t>
      </w:r>
    </w:p>
    <w:p w14:paraId="58A49A0E" w14:textId="26E7F897" w:rsidR="000F5D9D" w:rsidRDefault="000F5D9D" w:rsidP="007D5C0F">
      <w:pPr>
        <w:pStyle w:val="NoSpacing"/>
        <w:jc w:val="both"/>
        <w:rPr>
          <w:lang w:val="sv-SE"/>
        </w:rPr>
      </w:pPr>
      <w:r w:rsidRPr="005A79C9">
        <w:rPr>
          <w:lang w:val="sv-SE"/>
        </w:rPr>
        <w:t xml:space="preserve">Kecuali kecederaan yang disebabkan kelalaian dan kecuaian oleh penyelidik, saya dengan ini melepaskan dan menggugurkan UiTM dan semua  penyelidik dari semua laibiliti berhubung dengan, wujud dari atau berkaitan dengan penyertaan saya dan bersetuju untuk menjadikan mereka tidak bertanggunggan terhadap apa-apa kerugian atau kecederaan yang mungkin akan saya tanggung disebabkan penyertaan saya. </w:t>
      </w:r>
    </w:p>
    <w:p w14:paraId="2C38801D" w14:textId="77777777" w:rsidR="007D5C0F" w:rsidRPr="005A79C9" w:rsidRDefault="007D5C0F" w:rsidP="007D5C0F">
      <w:pPr>
        <w:pStyle w:val="NoSpacing"/>
        <w:jc w:val="both"/>
        <w:rPr>
          <w:lang w:val="sv-SE"/>
        </w:rPr>
      </w:pPr>
    </w:p>
    <w:p w14:paraId="3DB6F748" w14:textId="77777777" w:rsidR="000F5D9D" w:rsidRPr="005A79C9" w:rsidRDefault="000F5D9D" w:rsidP="007D5C0F">
      <w:pPr>
        <w:pStyle w:val="NoSpacing"/>
        <w:rPr>
          <w:lang w:val="sv-SE"/>
        </w:rPr>
      </w:pPr>
      <w:r w:rsidRPr="005A79C9">
        <w:rPr>
          <w:lang w:val="sv-SE"/>
        </w:rPr>
        <w:t xml:space="preserve">_________________________________________________________________________ </w:t>
      </w:r>
    </w:p>
    <w:p w14:paraId="2F396A16" w14:textId="0E97A869" w:rsidR="000F5D9D" w:rsidRDefault="000F5D9D" w:rsidP="007D5C0F">
      <w:pPr>
        <w:pStyle w:val="NoSpacing"/>
        <w:rPr>
          <w:lang w:val="sv-SE"/>
        </w:rPr>
      </w:pPr>
      <w:r w:rsidRPr="005A79C9">
        <w:rPr>
          <w:lang w:val="sv-SE"/>
        </w:rPr>
        <w:t>Nama Subjek/Penjaga Sah                                                           Tandatangan</w:t>
      </w:r>
      <w:r w:rsidRPr="005A79C9">
        <w:rPr>
          <w:lang w:val="sv-SE"/>
        </w:rPr>
        <w:tab/>
      </w:r>
    </w:p>
    <w:p w14:paraId="6B248FBF" w14:textId="77777777" w:rsidR="007D5C0F" w:rsidRPr="005A79C9" w:rsidRDefault="007D5C0F" w:rsidP="007D5C0F">
      <w:pPr>
        <w:pStyle w:val="NoSpacing"/>
        <w:rPr>
          <w:lang w:val="sv-SE"/>
        </w:rPr>
      </w:pPr>
    </w:p>
    <w:p w14:paraId="48A79B2B" w14:textId="77777777" w:rsidR="000F5D9D" w:rsidRPr="005A79C9" w:rsidRDefault="000F5D9D" w:rsidP="007D5C0F">
      <w:pPr>
        <w:pStyle w:val="NoSpacing"/>
        <w:rPr>
          <w:lang w:val="sv-SE"/>
        </w:rPr>
      </w:pPr>
      <w:r w:rsidRPr="005A79C9">
        <w:rPr>
          <w:lang w:val="sv-SE"/>
        </w:rPr>
        <w:t xml:space="preserve">_________________________________________________________________________ </w:t>
      </w:r>
    </w:p>
    <w:p w14:paraId="60F89DE8" w14:textId="74AB76CA" w:rsidR="000F5D9D" w:rsidRDefault="000F5D9D" w:rsidP="007D5C0F">
      <w:pPr>
        <w:pStyle w:val="NoSpacing"/>
        <w:rPr>
          <w:lang w:val="sv-SE"/>
        </w:rPr>
      </w:pPr>
      <w:r w:rsidRPr="005A79C9">
        <w:rPr>
          <w:lang w:val="sv-SE"/>
        </w:rPr>
        <w:t>No. Kad Pengenalan                                                                     Tarikh</w:t>
      </w:r>
    </w:p>
    <w:p w14:paraId="70F90C81" w14:textId="77777777" w:rsidR="007D5C0F" w:rsidRPr="005A79C9" w:rsidRDefault="007D5C0F" w:rsidP="007D5C0F">
      <w:pPr>
        <w:pStyle w:val="NoSpacing"/>
        <w:rPr>
          <w:lang w:val="sv-SE"/>
        </w:rPr>
      </w:pPr>
    </w:p>
    <w:p w14:paraId="3CCEAC97" w14:textId="77777777" w:rsidR="000F5D9D" w:rsidRPr="005A79C9" w:rsidRDefault="000F5D9D" w:rsidP="007D5C0F">
      <w:pPr>
        <w:pStyle w:val="NoSpacing"/>
        <w:rPr>
          <w:lang w:val="sv-SE"/>
        </w:rPr>
      </w:pPr>
      <w:r w:rsidRPr="005A79C9">
        <w:rPr>
          <w:lang w:val="sv-SE"/>
        </w:rPr>
        <w:t xml:space="preserve">_________________________________________________________________________ </w:t>
      </w:r>
    </w:p>
    <w:p w14:paraId="5FBFF87E" w14:textId="1D61AB13" w:rsidR="000F5D9D" w:rsidRDefault="000F5D9D" w:rsidP="007D5C0F">
      <w:pPr>
        <w:pStyle w:val="NoSpacing"/>
        <w:rPr>
          <w:lang w:val="sv-SE"/>
        </w:rPr>
      </w:pPr>
      <w:r w:rsidRPr="005A79C9">
        <w:rPr>
          <w:lang w:val="sv-SE"/>
        </w:rPr>
        <w:t>Nama Saksi                                                                                  Tandatangan</w:t>
      </w:r>
    </w:p>
    <w:p w14:paraId="46ECB545" w14:textId="77777777" w:rsidR="007D5C0F" w:rsidRPr="005A79C9" w:rsidRDefault="007D5C0F" w:rsidP="007D5C0F">
      <w:pPr>
        <w:pStyle w:val="NoSpacing"/>
        <w:rPr>
          <w:lang w:val="sv-SE"/>
        </w:rPr>
      </w:pPr>
    </w:p>
    <w:p w14:paraId="62ACD93B" w14:textId="77777777" w:rsidR="000F5D9D" w:rsidRPr="005A79C9" w:rsidRDefault="000F5D9D" w:rsidP="007D5C0F">
      <w:pPr>
        <w:pStyle w:val="NoSpacing"/>
        <w:rPr>
          <w:lang w:val="sv-SE"/>
        </w:rPr>
      </w:pPr>
      <w:r w:rsidRPr="005A79C9">
        <w:rPr>
          <w:lang w:val="sv-SE"/>
        </w:rPr>
        <w:t xml:space="preserve">_________________________________________________________________________ </w:t>
      </w:r>
    </w:p>
    <w:p w14:paraId="1C169603" w14:textId="01F2E8D8" w:rsidR="000F5D9D" w:rsidRDefault="000F5D9D" w:rsidP="007D5C0F">
      <w:pPr>
        <w:pStyle w:val="NoSpacing"/>
        <w:rPr>
          <w:lang w:val="sv-SE"/>
        </w:rPr>
      </w:pPr>
      <w:r w:rsidRPr="005A79C9">
        <w:rPr>
          <w:lang w:val="sv-SE"/>
        </w:rPr>
        <w:t>No. Kad Pengenalan                                                                     Tarikh</w:t>
      </w:r>
    </w:p>
    <w:p w14:paraId="5EDB529A" w14:textId="77777777" w:rsidR="007D5C0F" w:rsidRPr="005A79C9" w:rsidRDefault="007D5C0F" w:rsidP="007D5C0F">
      <w:pPr>
        <w:pStyle w:val="NoSpacing"/>
        <w:rPr>
          <w:lang w:val="sv-SE"/>
        </w:rPr>
      </w:pPr>
    </w:p>
    <w:p w14:paraId="2985A1F2" w14:textId="77777777" w:rsidR="000F5D9D" w:rsidRPr="005A79C9" w:rsidRDefault="000F5D9D" w:rsidP="007D5C0F">
      <w:pPr>
        <w:pStyle w:val="NoSpacing"/>
        <w:rPr>
          <w:lang w:val="sv-SE"/>
        </w:rPr>
      </w:pPr>
      <w:r w:rsidRPr="005A79C9">
        <w:rPr>
          <w:lang w:val="sv-SE"/>
        </w:rPr>
        <w:t xml:space="preserve">_________________________________________________________________________ </w:t>
      </w:r>
    </w:p>
    <w:p w14:paraId="06A284E1" w14:textId="1EFCB744" w:rsidR="000F5D9D" w:rsidRDefault="000F5D9D" w:rsidP="007D5C0F">
      <w:pPr>
        <w:pStyle w:val="NoSpacing"/>
        <w:rPr>
          <w:lang w:val="sv-SE"/>
        </w:rPr>
      </w:pPr>
      <w:r w:rsidRPr="005A79C9">
        <w:rPr>
          <w:lang w:val="sv-SE"/>
        </w:rPr>
        <w:t>Nama Pengambil Izin                                                                   Tandatangan</w:t>
      </w:r>
    </w:p>
    <w:p w14:paraId="600F6399" w14:textId="77777777" w:rsidR="007D5C0F" w:rsidRPr="005A79C9" w:rsidRDefault="007D5C0F" w:rsidP="007D5C0F">
      <w:pPr>
        <w:pStyle w:val="NoSpacing"/>
        <w:rPr>
          <w:lang w:val="sv-SE"/>
        </w:rPr>
      </w:pPr>
    </w:p>
    <w:p w14:paraId="23D0558D" w14:textId="77777777" w:rsidR="000F5D9D" w:rsidRPr="005A79C9" w:rsidRDefault="000F5D9D" w:rsidP="007D5C0F">
      <w:pPr>
        <w:pStyle w:val="NoSpacing"/>
        <w:rPr>
          <w:lang w:val="sv-SE"/>
        </w:rPr>
      </w:pPr>
      <w:r w:rsidRPr="005A79C9">
        <w:rPr>
          <w:lang w:val="sv-SE"/>
        </w:rPr>
        <w:t xml:space="preserve">_________________________________________________________________________ </w:t>
      </w:r>
    </w:p>
    <w:p w14:paraId="0A6EC357" w14:textId="77777777" w:rsidR="000F5D9D" w:rsidRPr="005A79C9" w:rsidRDefault="000F5D9D" w:rsidP="007D5C0F">
      <w:pPr>
        <w:pStyle w:val="NoSpacing"/>
        <w:rPr>
          <w:lang w:val="sv-SE"/>
        </w:rPr>
      </w:pPr>
      <w:r w:rsidRPr="005A79C9">
        <w:rPr>
          <w:lang w:val="sv-SE"/>
        </w:rPr>
        <w:t>No. Kad Pengenalan                                                                     Tarikh</w:t>
      </w:r>
    </w:p>
    <w:p w14:paraId="56488E29" w14:textId="77777777" w:rsidR="000F5D9D" w:rsidRPr="005A79C9" w:rsidRDefault="000F5D9D" w:rsidP="007D5C0F">
      <w:pPr>
        <w:pStyle w:val="NoSpacing"/>
        <w:rPr>
          <w:bCs/>
        </w:rPr>
      </w:pPr>
      <w:r w:rsidRPr="005A79C9">
        <w:rPr>
          <w:bCs/>
        </w:rPr>
        <w:br w:type="page"/>
      </w:r>
    </w:p>
    <w:p w14:paraId="3882A585" w14:textId="77777777" w:rsidR="000F5D9D" w:rsidRPr="007D5C0F" w:rsidRDefault="000F5D9D" w:rsidP="007D5C0F">
      <w:pPr>
        <w:pStyle w:val="NoSpacing"/>
        <w:rPr>
          <w:b/>
        </w:rPr>
      </w:pPr>
      <w:r w:rsidRPr="007D5C0F">
        <w:rPr>
          <w:b/>
        </w:rPr>
        <w:lastRenderedPageBreak/>
        <w:t>APPENDIX C</w:t>
      </w:r>
    </w:p>
    <w:p w14:paraId="0714A501" w14:textId="77777777" w:rsidR="000F5D9D" w:rsidRPr="007D5C0F" w:rsidRDefault="000F5D9D" w:rsidP="007D5C0F">
      <w:pPr>
        <w:pStyle w:val="NoSpacing"/>
        <w:rPr>
          <w:b/>
        </w:rPr>
      </w:pPr>
    </w:p>
    <w:p w14:paraId="3E0AC7FE" w14:textId="100DBED6" w:rsidR="000F5D9D" w:rsidRDefault="000F5D9D" w:rsidP="007D5C0F">
      <w:pPr>
        <w:pStyle w:val="NoSpacing"/>
        <w:rPr>
          <w:b/>
          <w:lang w:val="sv-SE"/>
        </w:rPr>
      </w:pPr>
      <w:r w:rsidRPr="0054719C">
        <w:rPr>
          <w:b/>
          <w:highlight w:val="yellow"/>
          <w:lang w:val="sv-SE"/>
        </w:rPr>
        <w:t>SIKAP  RAGU IBU BAPA TENTANG VAKSIN (SUNTIKAN IMMUNISASI) DI LANGAN KANAK - KANAK AUTISME DAN FAKTOR-FAKTOR BERKAITAN DI MALAYSIA</w:t>
      </w:r>
      <w:r w:rsidR="0054719C">
        <w:rPr>
          <w:b/>
          <w:lang w:val="sv-SE"/>
        </w:rPr>
        <w:t xml:space="preserve"> OR</w:t>
      </w:r>
    </w:p>
    <w:p w14:paraId="7A5ED1E2" w14:textId="22A6C982" w:rsidR="0054719C" w:rsidRDefault="0054719C" w:rsidP="007D5C0F">
      <w:pPr>
        <w:pStyle w:val="NoSpacing"/>
        <w:rPr>
          <w:b/>
          <w:lang w:val="sv-SE"/>
        </w:rPr>
      </w:pPr>
    </w:p>
    <w:p w14:paraId="738D442F" w14:textId="1D3C44CC" w:rsidR="0054719C" w:rsidRPr="007D5C0F" w:rsidRDefault="0054719C" w:rsidP="007D5C0F">
      <w:pPr>
        <w:pStyle w:val="NoSpacing"/>
        <w:rPr>
          <w:b/>
          <w:lang w:val="sv-SE"/>
        </w:rPr>
      </w:pPr>
      <w:r>
        <w:rPr>
          <w:b/>
          <w:lang w:val="sv-SE"/>
        </w:rPr>
        <w:t xml:space="preserve">FAKTOR – FAKTOR BERKAITAN SIKAP RAGU IBU </w:t>
      </w:r>
      <w:r w:rsidRPr="0054719C">
        <w:rPr>
          <w:b/>
          <w:lang w:val="sv-SE"/>
        </w:rPr>
        <w:t>BAPA TENTANG VAKSIN (SUNTIKAN IMMUNISASI) DI LANGAN KANAK - KANAK AUTISME</w:t>
      </w:r>
    </w:p>
    <w:p w14:paraId="3EA730B1" w14:textId="77777777" w:rsidR="000F5D9D" w:rsidRPr="007D5C0F" w:rsidRDefault="000F5D9D" w:rsidP="007D5C0F">
      <w:pPr>
        <w:pStyle w:val="NoSpacing"/>
        <w:rPr>
          <w:b/>
          <w:lang w:val="sv-SE"/>
        </w:rPr>
      </w:pPr>
    </w:p>
    <w:p w14:paraId="2F03D2D7" w14:textId="7FC00E05" w:rsidR="000F5D9D" w:rsidRPr="007D5C0F" w:rsidRDefault="000F5D9D" w:rsidP="007D5C0F">
      <w:pPr>
        <w:pStyle w:val="NoSpacing"/>
        <w:rPr>
          <w:b/>
          <w:spacing w:val="-3"/>
        </w:rPr>
      </w:pPr>
      <w:r w:rsidRPr="007D5C0F">
        <w:rPr>
          <w:b/>
          <w:lang w:val="sv-SE"/>
        </w:rPr>
        <w:t>(</w:t>
      </w:r>
      <w:r w:rsidR="0054719C">
        <w:rPr>
          <w:b/>
          <w:lang w:val="sv-SE"/>
        </w:rPr>
        <w:t xml:space="preserve">FACTORS ASSOCIATED WITH </w:t>
      </w:r>
      <w:r w:rsidRPr="007D5C0F">
        <w:rPr>
          <w:b/>
        </w:rPr>
        <w:t xml:space="preserve">VACCINE HESITANCY </w:t>
      </w:r>
      <w:r w:rsidR="0054719C">
        <w:rPr>
          <w:b/>
        </w:rPr>
        <w:t>AMONG</w:t>
      </w:r>
      <w:r w:rsidRPr="007D5C0F">
        <w:rPr>
          <w:b/>
        </w:rPr>
        <w:t xml:space="preserve"> PARENT OF CHILD</w:t>
      </w:r>
      <w:r w:rsidR="0054719C">
        <w:rPr>
          <w:b/>
        </w:rPr>
        <w:t>REN</w:t>
      </w:r>
      <w:r w:rsidRPr="007D5C0F">
        <w:rPr>
          <w:b/>
        </w:rPr>
        <w:t xml:space="preserve"> WITH AUTISM SPECTURM DISORDER (ASD) </w:t>
      </w:r>
      <w:r w:rsidR="0054719C">
        <w:rPr>
          <w:b/>
        </w:rPr>
        <w:t>IN MALAYSIA</w:t>
      </w:r>
    </w:p>
    <w:p w14:paraId="40BC4218" w14:textId="77777777" w:rsidR="000F5D9D" w:rsidRPr="007D5C0F" w:rsidRDefault="000F5D9D" w:rsidP="007D5C0F">
      <w:pPr>
        <w:pStyle w:val="NoSpacing"/>
        <w:rPr>
          <w:b/>
          <w:spacing w:val="-3"/>
        </w:rPr>
      </w:pPr>
    </w:p>
    <w:p w14:paraId="11407135" w14:textId="77777777" w:rsidR="000F5D9D" w:rsidRPr="007D5C0F" w:rsidRDefault="000F5D9D" w:rsidP="007D5C0F">
      <w:pPr>
        <w:pStyle w:val="NoSpacing"/>
        <w:rPr>
          <w:b/>
          <w:spacing w:val="-1"/>
        </w:rPr>
      </w:pPr>
      <w:r w:rsidRPr="007D5C0F">
        <w:rPr>
          <w:b/>
          <w:spacing w:val="-1"/>
        </w:rPr>
        <w:t xml:space="preserve">(Fail </w:t>
      </w:r>
      <w:proofErr w:type="spellStart"/>
      <w:r w:rsidRPr="007D5C0F">
        <w:rPr>
          <w:b/>
          <w:spacing w:val="-1"/>
        </w:rPr>
        <w:t>Rujukan</w:t>
      </w:r>
      <w:proofErr w:type="spellEnd"/>
      <w:r w:rsidRPr="007D5C0F">
        <w:rPr>
          <w:b/>
          <w:spacing w:val="-1"/>
        </w:rPr>
        <w:t xml:space="preserve"> </w:t>
      </w:r>
      <w:proofErr w:type="spellStart"/>
      <w:r w:rsidRPr="007D5C0F">
        <w:rPr>
          <w:b/>
          <w:spacing w:val="-1"/>
        </w:rPr>
        <w:t>Klinikal</w:t>
      </w:r>
      <w:proofErr w:type="spellEnd"/>
      <w:r w:rsidRPr="007D5C0F">
        <w:rPr>
          <w:b/>
          <w:spacing w:val="-1"/>
        </w:rPr>
        <w:t>)</w:t>
      </w:r>
    </w:p>
    <w:p w14:paraId="7043B39A" w14:textId="77777777" w:rsidR="000F5D9D" w:rsidRPr="005A79C9" w:rsidRDefault="000F5D9D" w:rsidP="007D5C0F">
      <w:pPr>
        <w:pStyle w:val="NoSpacing"/>
        <w:rPr>
          <w:rFonts w:eastAsia="Arial"/>
        </w:rPr>
      </w:pPr>
    </w:p>
    <w:p w14:paraId="704E015F" w14:textId="77777777" w:rsidR="000F5D9D" w:rsidRPr="005A79C9" w:rsidRDefault="000F5D9D" w:rsidP="007D5C0F">
      <w:pPr>
        <w:pStyle w:val="NoSpacing"/>
        <w:rPr>
          <w:i/>
          <w:iCs/>
        </w:rPr>
      </w:pPr>
    </w:p>
    <w:p w14:paraId="7B977F09" w14:textId="77777777" w:rsidR="000F5D9D" w:rsidRPr="005A79C9" w:rsidRDefault="000F5D9D" w:rsidP="007D5C0F">
      <w:pPr>
        <w:pStyle w:val="NoSpacing"/>
        <w:rPr>
          <w:rFonts w:eastAsia="Arial"/>
          <w:bCs/>
        </w:rPr>
      </w:pPr>
    </w:p>
    <w:p w14:paraId="7DF18144" w14:textId="77777777" w:rsidR="000F5D9D" w:rsidRPr="005A79C9" w:rsidRDefault="000F5D9D" w:rsidP="007D5C0F">
      <w:pPr>
        <w:pStyle w:val="NoSpacing"/>
      </w:pPr>
      <w:r w:rsidRPr="005A79C9">
        <w:t xml:space="preserve">Nama </w:t>
      </w:r>
      <w:proofErr w:type="spellStart"/>
      <w:r w:rsidRPr="005A79C9">
        <w:t>Ibu</w:t>
      </w:r>
      <w:proofErr w:type="spellEnd"/>
      <w:r w:rsidRPr="005A79C9">
        <w:t xml:space="preserve"> / </w:t>
      </w:r>
      <w:proofErr w:type="spellStart"/>
      <w:r w:rsidRPr="005A79C9">
        <w:t>bapa</w:t>
      </w:r>
      <w:proofErr w:type="spellEnd"/>
      <w:r w:rsidRPr="005A79C9">
        <w:t xml:space="preserve">: </w:t>
      </w:r>
    </w:p>
    <w:p w14:paraId="34F8F76E" w14:textId="77777777" w:rsidR="000F5D9D" w:rsidRPr="005A79C9" w:rsidRDefault="000F5D9D" w:rsidP="007D5C0F">
      <w:pPr>
        <w:pStyle w:val="NoSpacing"/>
      </w:pPr>
      <w:r w:rsidRPr="005A79C9">
        <w:t xml:space="preserve">No </w:t>
      </w:r>
      <w:proofErr w:type="spellStart"/>
      <w:r w:rsidRPr="005A79C9">
        <w:t>Kad</w:t>
      </w:r>
      <w:proofErr w:type="spellEnd"/>
      <w:r w:rsidRPr="005A79C9">
        <w:t xml:space="preserve"> </w:t>
      </w:r>
      <w:proofErr w:type="spellStart"/>
      <w:r w:rsidRPr="005A79C9">
        <w:t>Pengenalan</w:t>
      </w:r>
      <w:proofErr w:type="spellEnd"/>
      <w:r w:rsidRPr="005A79C9">
        <w:t>:</w:t>
      </w:r>
    </w:p>
    <w:p w14:paraId="4E38F5D3" w14:textId="77777777" w:rsidR="000F5D9D" w:rsidRPr="005A79C9" w:rsidRDefault="000F5D9D" w:rsidP="007D5C0F">
      <w:pPr>
        <w:pStyle w:val="NoSpacing"/>
        <w:rPr>
          <w:rFonts w:eastAsia="Arial"/>
        </w:rPr>
      </w:pPr>
    </w:p>
    <w:p w14:paraId="7A3B88B3" w14:textId="77777777" w:rsidR="000F5D9D" w:rsidRPr="005A79C9" w:rsidRDefault="000F5D9D" w:rsidP="007D5C0F">
      <w:pPr>
        <w:pStyle w:val="NoSpacing"/>
        <w:rPr>
          <w:rFonts w:eastAsia="Arial"/>
        </w:rPr>
      </w:pPr>
      <w:r w:rsidRPr="005A79C9">
        <w:rPr>
          <w:rFonts w:eastAsia="Arial"/>
        </w:rPr>
        <w:t xml:space="preserve">Nama Anak: </w:t>
      </w:r>
    </w:p>
    <w:p w14:paraId="58F82E31" w14:textId="77777777" w:rsidR="000F5D9D" w:rsidRPr="005A79C9" w:rsidRDefault="000F5D9D" w:rsidP="007D5C0F">
      <w:pPr>
        <w:pStyle w:val="NoSpacing"/>
        <w:rPr>
          <w:rFonts w:eastAsia="Arial"/>
        </w:rPr>
      </w:pPr>
      <w:r w:rsidRPr="005A79C9">
        <w:t xml:space="preserve">No </w:t>
      </w:r>
      <w:proofErr w:type="spellStart"/>
      <w:r w:rsidRPr="005A79C9">
        <w:t>Kad</w:t>
      </w:r>
      <w:proofErr w:type="spellEnd"/>
      <w:r w:rsidRPr="005A79C9">
        <w:t xml:space="preserve"> </w:t>
      </w:r>
      <w:proofErr w:type="spellStart"/>
      <w:r w:rsidRPr="005A79C9">
        <w:t>Pengenalan</w:t>
      </w:r>
      <w:proofErr w:type="spellEnd"/>
      <w:r w:rsidRPr="005A79C9">
        <w:t>:</w:t>
      </w:r>
    </w:p>
    <w:p w14:paraId="4410EEAF" w14:textId="77777777" w:rsidR="000F5D9D" w:rsidRPr="005A79C9" w:rsidRDefault="000F5D9D" w:rsidP="007D5C0F">
      <w:pPr>
        <w:pStyle w:val="NoSpacing"/>
        <w:rPr>
          <w:rFonts w:eastAsia="Arial"/>
        </w:rPr>
      </w:pPr>
    </w:p>
    <w:p w14:paraId="58A18418" w14:textId="2DB027BF" w:rsidR="000F5D9D" w:rsidRPr="005A79C9" w:rsidRDefault="000F5D9D" w:rsidP="007D5C0F">
      <w:pPr>
        <w:pStyle w:val="NoSpacing"/>
        <w:rPr>
          <w:rFonts w:eastAsia="Arial"/>
        </w:rPr>
      </w:pPr>
      <w:proofErr w:type="spellStart"/>
      <w:r w:rsidRPr="005A79C9">
        <w:rPr>
          <w:spacing w:val="-1"/>
        </w:rPr>
        <w:t>Nombor</w:t>
      </w:r>
      <w:proofErr w:type="spellEnd"/>
      <w:r w:rsidRPr="005A79C9">
        <w:rPr>
          <w:spacing w:val="-1"/>
        </w:rPr>
        <w:t xml:space="preserve"> </w:t>
      </w:r>
      <w:proofErr w:type="spellStart"/>
      <w:proofErr w:type="gramStart"/>
      <w:r w:rsidRPr="005A79C9">
        <w:rPr>
          <w:spacing w:val="-1"/>
        </w:rPr>
        <w:t>kajian</w:t>
      </w:r>
      <w:proofErr w:type="spellEnd"/>
      <w:r w:rsidRPr="005A79C9">
        <w:rPr>
          <w:spacing w:val="-1"/>
        </w:rPr>
        <w:t xml:space="preserve"> :</w:t>
      </w:r>
      <w:proofErr w:type="gramEnd"/>
      <w:r w:rsidRPr="005A79C9">
        <w:rPr>
          <w:spacing w:val="-1"/>
        </w:rPr>
        <w:t xml:space="preserve"> </w:t>
      </w:r>
    </w:p>
    <w:p w14:paraId="4755625D" w14:textId="77777777" w:rsidR="000F5D9D" w:rsidRPr="005A79C9" w:rsidRDefault="000F5D9D" w:rsidP="007D5C0F">
      <w:pPr>
        <w:pStyle w:val="NoSpacing"/>
        <w:rPr>
          <w:rFonts w:eastAsia="Arial"/>
        </w:rPr>
      </w:pPr>
    </w:p>
    <w:p w14:paraId="31AB54DD" w14:textId="77777777" w:rsidR="000F5D9D" w:rsidRPr="005A79C9" w:rsidRDefault="000F5D9D" w:rsidP="007D5C0F">
      <w:pPr>
        <w:pStyle w:val="NoSpacing"/>
        <w:rPr>
          <w:rFonts w:eastAsia="Arial"/>
        </w:rPr>
      </w:pPr>
      <w:r w:rsidRPr="005A79C9">
        <w:t xml:space="preserve">Tarikh </w:t>
      </w:r>
      <w:proofErr w:type="spellStart"/>
      <w:r w:rsidRPr="005A79C9">
        <w:t>maklumat</w:t>
      </w:r>
      <w:proofErr w:type="spellEnd"/>
      <w:r w:rsidRPr="005A79C9">
        <w:t xml:space="preserve"> dan </w:t>
      </w:r>
      <w:proofErr w:type="spellStart"/>
      <w:r w:rsidRPr="005A79C9">
        <w:t>borang</w:t>
      </w:r>
      <w:proofErr w:type="spellEnd"/>
      <w:r w:rsidRPr="005A79C9">
        <w:t xml:space="preserve"> </w:t>
      </w:r>
      <w:proofErr w:type="spellStart"/>
      <w:r w:rsidRPr="005A79C9">
        <w:t>kebenaran</w:t>
      </w:r>
      <w:proofErr w:type="spellEnd"/>
      <w:r w:rsidRPr="005A79C9">
        <w:t xml:space="preserve"> </w:t>
      </w:r>
      <w:proofErr w:type="spellStart"/>
      <w:r w:rsidRPr="005A79C9">
        <w:t>ditandatangani</w:t>
      </w:r>
      <w:proofErr w:type="spellEnd"/>
      <w:r w:rsidRPr="005A79C9">
        <w:t>:</w:t>
      </w:r>
    </w:p>
    <w:p w14:paraId="14E37C47" w14:textId="77777777" w:rsidR="000F5D9D" w:rsidRPr="005A79C9" w:rsidRDefault="000F5D9D" w:rsidP="007D5C0F">
      <w:pPr>
        <w:pStyle w:val="NoSpacing"/>
        <w:rPr>
          <w:spacing w:val="-1"/>
        </w:rPr>
      </w:pPr>
    </w:p>
    <w:p w14:paraId="76236909" w14:textId="77777777" w:rsidR="000F5D9D" w:rsidRPr="005A79C9" w:rsidRDefault="000F5D9D" w:rsidP="007D5C0F">
      <w:pPr>
        <w:pStyle w:val="NoSpacing"/>
        <w:rPr>
          <w:rFonts w:eastAsia="Arial"/>
        </w:rPr>
      </w:pPr>
      <w:proofErr w:type="spellStart"/>
      <w:r w:rsidRPr="005A79C9">
        <w:rPr>
          <w:spacing w:val="-1"/>
        </w:rPr>
        <w:t>Lokasi</w:t>
      </w:r>
      <w:proofErr w:type="spellEnd"/>
      <w:r w:rsidRPr="005A79C9">
        <w:t xml:space="preserve">:     </w:t>
      </w:r>
    </w:p>
    <w:p w14:paraId="478175C8" w14:textId="77777777" w:rsidR="000F5D9D" w:rsidRPr="005A79C9" w:rsidRDefault="000F5D9D" w:rsidP="007D5C0F">
      <w:pPr>
        <w:pStyle w:val="NoSpacing"/>
      </w:pPr>
    </w:p>
    <w:p w14:paraId="51132EBB" w14:textId="05AA1A6C" w:rsidR="000F5D9D" w:rsidRDefault="000F5D9D" w:rsidP="007D5C0F">
      <w:pPr>
        <w:pStyle w:val="NoSpacing"/>
        <w:sectPr w:rsidR="000F5D9D" w:rsidSect="000F5D9D">
          <w:pgSz w:w="11906" w:h="16838"/>
          <w:pgMar w:top="1440" w:right="1440" w:bottom="1440" w:left="1440" w:header="708" w:footer="708" w:gutter="0"/>
          <w:cols w:space="708"/>
          <w:docGrid w:linePitch="360"/>
        </w:sectPr>
      </w:pPr>
      <w:proofErr w:type="spellStart"/>
      <w:proofErr w:type="gramStart"/>
      <w:r w:rsidRPr="005A79C9">
        <w:t>Telefo</w:t>
      </w:r>
      <w:r w:rsidR="0054719C">
        <w:t>n</w:t>
      </w:r>
      <w:proofErr w:type="spellEnd"/>
      <w:r w:rsidR="0054719C">
        <w:t xml:space="preserve"> :</w:t>
      </w:r>
      <w:proofErr w:type="gramEnd"/>
    </w:p>
    <w:p w14:paraId="75CB0E9D" w14:textId="09FCA422" w:rsidR="000F5D9D" w:rsidRDefault="000F5D9D" w:rsidP="0054719C">
      <w:pPr>
        <w:pStyle w:val="NoSpacing"/>
      </w:pPr>
    </w:p>
    <w:sectPr w:rsidR="000F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riz Quadrata St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toneInformalStd-Medium">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828386"/>
      <w:docPartObj>
        <w:docPartGallery w:val="Page Numbers (Bottom of Page)"/>
        <w:docPartUnique/>
      </w:docPartObj>
    </w:sdtPr>
    <w:sdtEndPr>
      <w:rPr>
        <w:rFonts w:ascii="Times New Roman" w:hAnsi="Times New Roman"/>
        <w:noProof/>
        <w:sz w:val="24"/>
        <w:szCs w:val="24"/>
      </w:rPr>
    </w:sdtEndPr>
    <w:sdtContent>
      <w:p w14:paraId="6383091A" w14:textId="77777777" w:rsidR="001756D0" w:rsidRPr="00F21082" w:rsidRDefault="001756D0">
        <w:pPr>
          <w:pStyle w:val="Footer"/>
          <w:jc w:val="center"/>
          <w:rPr>
            <w:rFonts w:ascii="Times New Roman" w:hAnsi="Times New Roman"/>
            <w:sz w:val="24"/>
            <w:szCs w:val="24"/>
          </w:rPr>
        </w:pPr>
        <w:r w:rsidRPr="00F21082">
          <w:rPr>
            <w:rFonts w:ascii="Times New Roman" w:hAnsi="Times New Roman"/>
            <w:sz w:val="24"/>
            <w:szCs w:val="24"/>
          </w:rPr>
          <w:fldChar w:fldCharType="begin"/>
        </w:r>
        <w:r w:rsidRPr="00F21082">
          <w:rPr>
            <w:rFonts w:ascii="Times New Roman" w:hAnsi="Times New Roman"/>
            <w:sz w:val="24"/>
            <w:szCs w:val="24"/>
          </w:rPr>
          <w:instrText xml:space="preserve"> PAGE   \* MERGEFORMAT </w:instrText>
        </w:r>
        <w:r w:rsidRPr="00F21082">
          <w:rPr>
            <w:rFonts w:ascii="Times New Roman" w:hAnsi="Times New Roman"/>
            <w:sz w:val="24"/>
            <w:szCs w:val="24"/>
          </w:rPr>
          <w:fldChar w:fldCharType="separate"/>
        </w:r>
        <w:r>
          <w:rPr>
            <w:rFonts w:ascii="Times New Roman" w:hAnsi="Times New Roman"/>
            <w:noProof/>
            <w:sz w:val="24"/>
            <w:szCs w:val="24"/>
          </w:rPr>
          <w:t>ii</w:t>
        </w:r>
        <w:r w:rsidRPr="00F21082">
          <w:rPr>
            <w:rFonts w:ascii="Times New Roman" w:hAnsi="Times New Roman"/>
            <w:noProof/>
            <w:sz w:val="24"/>
            <w:szCs w:val="24"/>
          </w:rPr>
          <w:fldChar w:fldCharType="end"/>
        </w:r>
      </w:p>
    </w:sdtContent>
  </w:sdt>
  <w:p w14:paraId="35011991" w14:textId="77777777" w:rsidR="001756D0" w:rsidRDefault="001756D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B3F"/>
    <w:multiLevelType w:val="multilevel"/>
    <w:tmpl w:val="376693EC"/>
    <w:lvl w:ilvl="0">
      <w:start w:val="1"/>
      <w:numFmt w:val="decimal"/>
      <w:lvlText w:val="%1."/>
      <w:lvlJc w:val="left"/>
      <w:pPr>
        <w:ind w:left="360" w:hanging="360"/>
      </w:pPr>
      <w:rPr>
        <w:rFonts w:ascii="Times New Roman" w:hAnsi="Times New Roman" w:hint="default"/>
        <w:b w:val="0"/>
        <w:i w:val="0"/>
        <w:sz w:val="24"/>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814537"/>
    <w:multiLevelType w:val="multilevel"/>
    <w:tmpl w:val="5EB84CF4"/>
    <w:lvl w:ilvl="0">
      <w:start w:val="3"/>
      <w:numFmt w:val="decimal"/>
      <w:lvlText w:val="%1"/>
      <w:lvlJc w:val="left"/>
      <w:pPr>
        <w:ind w:left="480" w:hanging="480"/>
      </w:pPr>
      <w:rPr>
        <w:rFonts w:hint="default"/>
      </w:rPr>
    </w:lvl>
    <w:lvl w:ilvl="1">
      <w:start w:val="8"/>
      <w:numFmt w:val="decimal"/>
      <w:lvlText w:val="%1.%2"/>
      <w:lvlJc w:val="left"/>
      <w:pPr>
        <w:ind w:left="905" w:hanging="48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B8E7BF2"/>
    <w:multiLevelType w:val="multilevel"/>
    <w:tmpl w:val="806C1006"/>
    <w:lvl w:ilvl="0">
      <w:start w:val="1"/>
      <w:numFmt w:val="lowerRoman"/>
      <w:lvlText w:val="%1."/>
      <w:lvlJc w:val="right"/>
      <w:pPr>
        <w:ind w:left="886" w:hanging="166"/>
      </w:pPr>
      <w:rPr>
        <w:rFonts w:hint="default"/>
        <w:b w:val="0"/>
        <w:i w:val="0"/>
        <w:sz w:val="24"/>
      </w:rPr>
    </w:lvl>
    <w:lvl w:ilvl="1">
      <w:start w:val="3"/>
      <w:numFmt w:val="decimal"/>
      <w:isLgl/>
      <w:lvlText w:val="%1.%2"/>
      <w:lvlJc w:val="left"/>
      <w:pPr>
        <w:ind w:left="432" w:firstLine="0"/>
      </w:pPr>
      <w:rPr>
        <w:rFonts w:hint="default"/>
      </w:rPr>
    </w:lvl>
    <w:lvl w:ilvl="2">
      <w:start w:val="1"/>
      <w:numFmt w:val="decimal"/>
      <w:isLgl/>
      <w:lvlText w:val="%1.%2.%3"/>
      <w:lvlJc w:val="left"/>
      <w:pPr>
        <w:ind w:left="148" w:firstLine="0"/>
      </w:pPr>
      <w:rPr>
        <w:rFonts w:hint="default"/>
      </w:rPr>
    </w:lvl>
    <w:lvl w:ilvl="3">
      <w:start w:val="1"/>
      <w:numFmt w:val="decimal"/>
      <w:isLgl/>
      <w:lvlText w:val="%1.%2.%3.%4"/>
      <w:lvlJc w:val="left"/>
      <w:pPr>
        <w:ind w:left="-136" w:firstLine="0"/>
      </w:pPr>
      <w:rPr>
        <w:rFonts w:hint="default"/>
      </w:rPr>
    </w:lvl>
    <w:lvl w:ilvl="4">
      <w:start w:val="1"/>
      <w:numFmt w:val="decimal"/>
      <w:isLgl/>
      <w:lvlText w:val="%1.%2.%3.%4.%5"/>
      <w:lvlJc w:val="left"/>
      <w:pPr>
        <w:ind w:left="-420" w:firstLine="0"/>
      </w:pPr>
      <w:rPr>
        <w:rFonts w:hint="default"/>
      </w:rPr>
    </w:lvl>
    <w:lvl w:ilvl="5">
      <w:start w:val="1"/>
      <w:numFmt w:val="decimal"/>
      <w:isLgl/>
      <w:lvlText w:val="%1.%2.%3.%4.%5.%6"/>
      <w:lvlJc w:val="left"/>
      <w:pPr>
        <w:ind w:left="-704" w:firstLine="0"/>
      </w:pPr>
      <w:rPr>
        <w:rFonts w:hint="default"/>
      </w:rPr>
    </w:lvl>
    <w:lvl w:ilvl="6">
      <w:start w:val="1"/>
      <w:numFmt w:val="decimal"/>
      <w:isLgl/>
      <w:lvlText w:val="%1.%2.%3.%4.%5.%6.%7"/>
      <w:lvlJc w:val="left"/>
      <w:pPr>
        <w:ind w:left="-988" w:firstLine="0"/>
      </w:pPr>
      <w:rPr>
        <w:rFonts w:hint="default"/>
      </w:rPr>
    </w:lvl>
    <w:lvl w:ilvl="7">
      <w:start w:val="1"/>
      <w:numFmt w:val="decimal"/>
      <w:isLgl/>
      <w:lvlText w:val="%1.%2.%3.%4.%5.%6.%7.%8"/>
      <w:lvlJc w:val="left"/>
      <w:pPr>
        <w:ind w:left="-1272" w:firstLine="0"/>
      </w:pPr>
      <w:rPr>
        <w:rFonts w:hint="default"/>
      </w:rPr>
    </w:lvl>
    <w:lvl w:ilvl="8">
      <w:start w:val="1"/>
      <w:numFmt w:val="decimal"/>
      <w:isLgl/>
      <w:lvlText w:val="%1.%2.%3.%4.%5.%6.%7.%8.%9"/>
      <w:lvlJc w:val="left"/>
      <w:pPr>
        <w:ind w:left="-1556" w:firstLine="0"/>
      </w:pPr>
      <w:rPr>
        <w:rFonts w:hint="default"/>
      </w:rPr>
    </w:lvl>
  </w:abstractNum>
  <w:abstractNum w:abstractNumId="3" w15:restartNumberingAfterBreak="0">
    <w:nsid w:val="0BB83228"/>
    <w:multiLevelType w:val="hybridMultilevel"/>
    <w:tmpl w:val="B23AE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11FD5CE4"/>
    <w:multiLevelType w:val="hybridMultilevel"/>
    <w:tmpl w:val="A70C19A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19E06EA6"/>
    <w:multiLevelType w:val="multilevel"/>
    <w:tmpl w:val="5EB84CF4"/>
    <w:lvl w:ilvl="0">
      <w:start w:val="3"/>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1F581B45"/>
    <w:multiLevelType w:val="multilevel"/>
    <w:tmpl w:val="98323C4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5C1176"/>
    <w:multiLevelType w:val="multilevel"/>
    <w:tmpl w:val="57E8E32A"/>
    <w:lvl w:ilvl="0">
      <w:start w:val="1"/>
      <w:numFmt w:val="decimal"/>
      <w:lvlText w:val="%1."/>
      <w:lvlJc w:val="left"/>
      <w:pPr>
        <w:ind w:left="567" w:hanging="283"/>
      </w:pPr>
      <w:rPr>
        <w:rFonts w:hint="default"/>
      </w:rPr>
    </w:lvl>
    <w:lvl w:ilvl="1">
      <w:start w:val="9"/>
      <w:numFmt w:val="none"/>
      <w:isLgl/>
      <w:lvlText w:val="3.8.2"/>
      <w:lvlJc w:val="left"/>
      <w:pPr>
        <w:ind w:left="1080" w:hanging="720"/>
      </w:pPr>
      <w:rPr>
        <w:rFonts w:hint="default"/>
      </w:rPr>
    </w:lvl>
    <w:lvl w:ilvl="2">
      <w:start w:val="1"/>
      <w:numFmt w:val="decimal"/>
      <w:isLgl/>
      <w:lvlText w:val="%1.10.%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BE0C12"/>
    <w:multiLevelType w:val="hybridMultilevel"/>
    <w:tmpl w:val="7CD0A9F6"/>
    <w:lvl w:ilvl="0" w:tplc="44090001">
      <w:start w:val="1"/>
      <w:numFmt w:val="bullet"/>
      <w:lvlText w:val=""/>
      <w:lvlJc w:val="left"/>
      <w:pPr>
        <w:ind w:left="327" w:hanging="360"/>
      </w:pPr>
      <w:rPr>
        <w:rFonts w:ascii="Symbol" w:hAnsi="Symbol" w:hint="default"/>
      </w:rPr>
    </w:lvl>
    <w:lvl w:ilvl="1" w:tplc="44090003" w:tentative="1">
      <w:start w:val="1"/>
      <w:numFmt w:val="bullet"/>
      <w:lvlText w:val="o"/>
      <w:lvlJc w:val="left"/>
      <w:pPr>
        <w:ind w:left="1047" w:hanging="360"/>
      </w:pPr>
      <w:rPr>
        <w:rFonts w:ascii="Courier New" w:hAnsi="Courier New" w:cs="Courier New" w:hint="default"/>
      </w:rPr>
    </w:lvl>
    <w:lvl w:ilvl="2" w:tplc="44090005" w:tentative="1">
      <w:start w:val="1"/>
      <w:numFmt w:val="bullet"/>
      <w:lvlText w:val=""/>
      <w:lvlJc w:val="left"/>
      <w:pPr>
        <w:ind w:left="1767" w:hanging="360"/>
      </w:pPr>
      <w:rPr>
        <w:rFonts w:ascii="Wingdings" w:hAnsi="Wingdings" w:hint="default"/>
      </w:rPr>
    </w:lvl>
    <w:lvl w:ilvl="3" w:tplc="44090001" w:tentative="1">
      <w:start w:val="1"/>
      <w:numFmt w:val="bullet"/>
      <w:lvlText w:val=""/>
      <w:lvlJc w:val="left"/>
      <w:pPr>
        <w:ind w:left="2487" w:hanging="360"/>
      </w:pPr>
      <w:rPr>
        <w:rFonts w:ascii="Symbol" w:hAnsi="Symbol" w:hint="default"/>
      </w:rPr>
    </w:lvl>
    <w:lvl w:ilvl="4" w:tplc="44090003" w:tentative="1">
      <w:start w:val="1"/>
      <w:numFmt w:val="bullet"/>
      <w:lvlText w:val="o"/>
      <w:lvlJc w:val="left"/>
      <w:pPr>
        <w:ind w:left="3207" w:hanging="360"/>
      </w:pPr>
      <w:rPr>
        <w:rFonts w:ascii="Courier New" w:hAnsi="Courier New" w:cs="Courier New" w:hint="default"/>
      </w:rPr>
    </w:lvl>
    <w:lvl w:ilvl="5" w:tplc="44090005" w:tentative="1">
      <w:start w:val="1"/>
      <w:numFmt w:val="bullet"/>
      <w:lvlText w:val=""/>
      <w:lvlJc w:val="left"/>
      <w:pPr>
        <w:ind w:left="3927" w:hanging="360"/>
      </w:pPr>
      <w:rPr>
        <w:rFonts w:ascii="Wingdings" w:hAnsi="Wingdings" w:hint="default"/>
      </w:rPr>
    </w:lvl>
    <w:lvl w:ilvl="6" w:tplc="44090001" w:tentative="1">
      <w:start w:val="1"/>
      <w:numFmt w:val="bullet"/>
      <w:lvlText w:val=""/>
      <w:lvlJc w:val="left"/>
      <w:pPr>
        <w:ind w:left="4647" w:hanging="360"/>
      </w:pPr>
      <w:rPr>
        <w:rFonts w:ascii="Symbol" w:hAnsi="Symbol" w:hint="default"/>
      </w:rPr>
    </w:lvl>
    <w:lvl w:ilvl="7" w:tplc="44090003" w:tentative="1">
      <w:start w:val="1"/>
      <w:numFmt w:val="bullet"/>
      <w:lvlText w:val="o"/>
      <w:lvlJc w:val="left"/>
      <w:pPr>
        <w:ind w:left="5367" w:hanging="360"/>
      </w:pPr>
      <w:rPr>
        <w:rFonts w:ascii="Courier New" w:hAnsi="Courier New" w:cs="Courier New" w:hint="default"/>
      </w:rPr>
    </w:lvl>
    <w:lvl w:ilvl="8" w:tplc="44090005" w:tentative="1">
      <w:start w:val="1"/>
      <w:numFmt w:val="bullet"/>
      <w:lvlText w:val=""/>
      <w:lvlJc w:val="left"/>
      <w:pPr>
        <w:ind w:left="6087" w:hanging="360"/>
      </w:pPr>
      <w:rPr>
        <w:rFonts w:ascii="Wingdings" w:hAnsi="Wingdings" w:hint="default"/>
      </w:rPr>
    </w:lvl>
  </w:abstractNum>
  <w:abstractNum w:abstractNumId="9" w15:restartNumberingAfterBreak="0">
    <w:nsid w:val="43C22036"/>
    <w:multiLevelType w:val="multilevel"/>
    <w:tmpl w:val="FAD8B7EC"/>
    <w:lvl w:ilvl="0">
      <w:start w:val="3"/>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1"/>
      <w:numFmt w:val="lowerRoman"/>
      <w:lvlText w:val="%3."/>
      <w:lvlJc w:val="righ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0" w15:restartNumberingAfterBreak="0">
    <w:nsid w:val="49E17433"/>
    <w:multiLevelType w:val="hybridMultilevel"/>
    <w:tmpl w:val="2B522DE6"/>
    <w:lvl w:ilvl="0" w:tplc="21C253B0">
      <w:start w:val="1"/>
      <w:numFmt w:val="lowerRoman"/>
      <w:lvlText w:val="%1."/>
      <w:lvlJc w:val="right"/>
      <w:pPr>
        <w:ind w:left="284"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EE4453F"/>
    <w:multiLevelType w:val="hybridMultilevel"/>
    <w:tmpl w:val="DFE622C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52E14650"/>
    <w:multiLevelType w:val="multilevel"/>
    <w:tmpl w:val="806C1006"/>
    <w:lvl w:ilvl="0">
      <w:start w:val="1"/>
      <w:numFmt w:val="lowerRoman"/>
      <w:lvlText w:val="%1."/>
      <w:lvlJc w:val="right"/>
      <w:pPr>
        <w:ind w:left="454" w:hanging="166"/>
      </w:pPr>
      <w:rPr>
        <w:rFonts w:hint="default"/>
        <w:b w:val="0"/>
        <w:i w:val="0"/>
        <w:sz w:val="24"/>
      </w:rPr>
    </w:lvl>
    <w:lvl w:ilvl="1">
      <w:start w:val="3"/>
      <w:numFmt w:val="decimal"/>
      <w:isLgl/>
      <w:lvlText w:val="%1.%2"/>
      <w:lvlJc w:val="left"/>
      <w:pPr>
        <w:ind w:left="0" w:firstLine="0"/>
      </w:pPr>
      <w:rPr>
        <w:rFonts w:hint="default"/>
      </w:rPr>
    </w:lvl>
    <w:lvl w:ilvl="2">
      <w:start w:val="1"/>
      <w:numFmt w:val="decimal"/>
      <w:isLgl/>
      <w:lvlText w:val="%1.%2.%3"/>
      <w:lvlJc w:val="left"/>
      <w:pPr>
        <w:ind w:left="-284" w:firstLine="0"/>
      </w:pPr>
      <w:rPr>
        <w:rFonts w:hint="default"/>
      </w:rPr>
    </w:lvl>
    <w:lvl w:ilvl="3">
      <w:start w:val="1"/>
      <w:numFmt w:val="decimal"/>
      <w:isLgl/>
      <w:lvlText w:val="%1.%2.%3.%4"/>
      <w:lvlJc w:val="left"/>
      <w:pPr>
        <w:ind w:left="-568" w:firstLine="0"/>
      </w:pPr>
      <w:rPr>
        <w:rFonts w:hint="default"/>
      </w:rPr>
    </w:lvl>
    <w:lvl w:ilvl="4">
      <w:start w:val="1"/>
      <w:numFmt w:val="decimal"/>
      <w:isLgl/>
      <w:lvlText w:val="%1.%2.%3.%4.%5"/>
      <w:lvlJc w:val="left"/>
      <w:pPr>
        <w:ind w:left="-852" w:firstLine="0"/>
      </w:pPr>
      <w:rPr>
        <w:rFonts w:hint="default"/>
      </w:rPr>
    </w:lvl>
    <w:lvl w:ilvl="5">
      <w:start w:val="1"/>
      <w:numFmt w:val="decimal"/>
      <w:isLgl/>
      <w:lvlText w:val="%1.%2.%3.%4.%5.%6"/>
      <w:lvlJc w:val="left"/>
      <w:pPr>
        <w:ind w:left="-1136" w:firstLine="0"/>
      </w:pPr>
      <w:rPr>
        <w:rFonts w:hint="default"/>
      </w:rPr>
    </w:lvl>
    <w:lvl w:ilvl="6">
      <w:start w:val="1"/>
      <w:numFmt w:val="decimal"/>
      <w:isLgl/>
      <w:lvlText w:val="%1.%2.%3.%4.%5.%6.%7"/>
      <w:lvlJc w:val="left"/>
      <w:pPr>
        <w:ind w:left="-1420" w:firstLine="0"/>
      </w:pPr>
      <w:rPr>
        <w:rFonts w:hint="default"/>
      </w:rPr>
    </w:lvl>
    <w:lvl w:ilvl="7">
      <w:start w:val="1"/>
      <w:numFmt w:val="decimal"/>
      <w:isLgl/>
      <w:lvlText w:val="%1.%2.%3.%4.%5.%6.%7.%8"/>
      <w:lvlJc w:val="left"/>
      <w:pPr>
        <w:ind w:left="-1704" w:firstLine="0"/>
      </w:pPr>
      <w:rPr>
        <w:rFonts w:hint="default"/>
      </w:rPr>
    </w:lvl>
    <w:lvl w:ilvl="8">
      <w:start w:val="1"/>
      <w:numFmt w:val="decimal"/>
      <w:isLgl/>
      <w:lvlText w:val="%1.%2.%3.%4.%5.%6.%7.%8.%9"/>
      <w:lvlJc w:val="left"/>
      <w:pPr>
        <w:ind w:left="-1988" w:firstLine="0"/>
      </w:pPr>
      <w:rPr>
        <w:rFonts w:hint="default"/>
      </w:rPr>
    </w:lvl>
  </w:abstractNum>
  <w:abstractNum w:abstractNumId="13" w15:restartNumberingAfterBreak="0">
    <w:nsid w:val="559F0DC3"/>
    <w:multiLevelType w:val="multilevel"/>
    <w:tmpl w:val="05BEC784"/>
    <w:lvl w:ilvl="0">
      <w:start w:val="1"/>
      <w:numFmt w:val="lowerRoman"/>
      <w:lvlText w:val="%1."/>
      <w:lvlJc w:val="center"/>
      <w:pPr>
        <w:ind w:left="488" w:hanging="165"/>
      </w:pPr>
      <w:rPr>
        <w:rFonts w:hint="default"/>
        <w:b w:val="0"/>
        <w:i w:val="0"/>
        <w:sz w:val="24"/>
      </w:rPr>
    </w:lvl>
    <w:lvl w:ilvl="1">
      <w:start w:val="3"/>
      <w:numFmt w:val="decimal"/>
      <w:isLgl/>
      <w:lvlText w:val="%1.%2"/>
      <w:lvlJc w:val="left"/>
      <w:pPr>
        <w:ind w:left="199" w:hanging="165"/>
      </w:pPr>
      <w:rPr>
        <w:rFonts w:hint="default"/>
      </w:rPr>
    </w:lvl>
    <w:lvl w:ilvl="2">
      <w:start w:val="1"/>
      <w:numFmt w:val="decimal"/>
      <w:isLgl/>
      <w:lvlText w:val="%1.%2.%3"/>
      <w:lvlJc w:val="left"/>
      <w:pPr>
        <w:ind w:left="-90" w:hanging="165"/>
      </w:pPr>
      <w:rPr>
        <w:rFonts w:hint="default"/>
      </w:rPr>
    </w:lvl>
    <w:lvl w:ilvl="3">
      <w:start w:val="1"/>
      <w:numFmt w:val="decimal"/>
      <w:isLgl/>
      <w:lvlText w:val="%1.%2.%3.%4"/>
      <w:lvlJc w:val="left"/>
      <w:pPr>
        <w:ind w:left="-379" w:hanging="165"/>
      </w:pPr>
      <w:rPr>
        <w:rFonts w:hint="default"/>
      </w:rPr>
    </w:lvl>
    <w:lvl w:ilvl="4">
      <w:start w:val="1"/>
      <w:numFmt w:val="decimal"/>
      <w:isLgl/>
      <w:lvlText w:val="%1.%2.%3.%4.%5"/>
      <w:lvlJc w:val="left"/>
      <w:pPr>
        <w:ind w:left="-668" w:hanging="165"/>
      </w:pPr>
      <w:rPr>
        <w:rFonts w:hint="default"/>
      </w:rPr>
    </w:lvl>
    <w:lvl w:ilvl="5">
      <w:start w:val="1"/>
      <w:numFmt w:val="decimal"/>
      <w:isLgl/>
      <w:lvlText w:val="%1.%2.%3.%4.%5.%6"/>
      <w:lvlJc w:val="left"/>
      <w:pPr>
        <w:ind w:left="-957" w:hanging="165"/>
      </w:pPr>
      <w:rPr>
        <w:rFonts w:hint="default"/>
      </w:rPr>
    </w:lvl>
    <w:lvl w:ilvl="6">
      <w:start w:val="1"/>
      <w:numFmt w:val="decimal"/>
      <w:isLgl/>
      <w:lvlText w:val="%1.%2.%3.%4.%5.%6.%7"/>
      <w:lvlJc w:val="left"/>
      <w:pPr>
        <w:ind w:left="-1246" w:hanging="165"/>
      </w:pPr>
      <w:rPr>
        <w:rFonts w:hint="default"/>
      </w:rPr>
    </w:lvl>
    <w:lvl w:ilvl="7">
      <w:start w:val="1"/>
      <w:numFmt w:val="decimal"/>
      <w:isLgl/>
      <w:lvlText w:val="%1.%2.%3.%4.%5.%6.%7.%8"/>
      <w:lvlJc w:val="left"/>
      <w:pPr>
        <w:ind w:left="-1535" w:hanging="165"/>
      </w:pPr>
      <w:rPr>
        <w:rFonts w:hint="default"/>
      </w:rPr>
    </w:lvl>
    <w:lvl w:ilvl="8">
      <w:start w:val="1"/>
      <w:numFmt w:val="decimal"/>
      <w:isLgl/>
      <w:lvlText w:val="%1.%2.%3.%4.%5.%6.%7.%8.%9"/>
      <w:lvlJc w:val="left"/>
      <w:pPr>
        <w:ind w:left="-1824" w:hanging="165"/>
      </w:pPr>
      <w:rPr>
        <w:rFonts w:hint="default"/>
      </w:rPr>
    </w:lvl>
  </w:abstractNum>
  <w:abstractNum w:abstractNumId="14" w15:restartNumberingAfterBreak="0">
    <w:nsid w:val="5DD918F3"/>
    <w:multiLevelType w:val="hybridMultilevel"/>
    <w:tmpl w:val="A04CF4A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63DF380E"/>
    <w:multiLevelType w:val="hybridMultilevel"/>
    <w:tmpl w:val="68109A8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6" w15:restartNumberingAfterBreak="0">
    <w:nsid w:val="640137A2"/>
    <w:multiLevelType w:val="multilevel"/>
    <w:tmpl w:val="401A963E"/>
    <w:lvl w:ilvl="0">
      <w:start w:val="3"/>
      <w:numFmt w:val="decimal"/>
      <w:lvlText w:val="%1"/>
      <w:lvlJc w:val="left"/>
      <w:pPr>
        <w:ind w:left="550" w:hanging="550"/>
      </w:pPr>
      <w:rPr>
        <w:rFonts w:asciiTheme="majorHAnsi" w:hAnsiTheme="majorHAnsi" w:cstheme="majorBidi" w:hint="default"/>
        <w:color w:val="2F5496" w:themeColor="accent1" w:themeShade="BF"/>
        <w:sz w:val="26"/>
      </w:rPr>
    </w:lvl>
    <w:lvl w:ilvl="1">
      <w:start w:val="8"/>
      <w:numFmt w:val="decimal"/>
      <w:lvlText w:val="%1.%2"/>
      <w:lvlJc w:val="left"/>
      <w:pPr>
        <w:ind w:left="975" w:hanging="550"/>
      </w:pPr>
      <w:rPr>
        <w:rFonts w:asciiTheme="majorHAnsi" w:hAnsiTheme="majorHAnsi" w:cstheme="majorBidi" w:hint="default"/>
        <w:color w:val="2F5496" w:themeColor="accent1" w:themeShade="BF"/>
        <w:sz w:val="26"/>
      </w:rPr>
    </w:lvl>
    <w:lvl w:ilvl="2">
      <w:start w:val="4"/>
      <w:numFmt w:val="decimal"/>
      <w:lvlText w:val="%1.%2.%3"/>
      <w:lvlJc w:val="left"/>
      <w:pPr>
        <w:ind w:left="1570" w:hanging="720"/>
      </w:pPr>
      <w:rPr>
        <w:rFonts w:ascii="Times New Roman" w:hAnsi="Times New Roman" w:cs="Times New Roman" w:hint="default"/>
        <w:color w:val="auto"/>
        <w:sz w:val="26"/>
      </w:rPr>
    </w:lvl>
    <w:lvl w:ilvl="3">
      <w:start w:val="1"/>
      <w:numFmt w:val="decimal"/>
      <w:lvlText w:val="%1.%2.%3.%4"/>
      <w:lvlJc w:val="left"/>
      <w:pPr>
        <w:ind w:left="1995" w:hanging="720"/>
      </w:pPr>
      <w:rPr>
        <w:rFonts w:asciiTheme="majorHAnsi" w:hAnsiTheme="majorHAnsi" w:cstheme="majorBidi" w:hint="default"/>
        <w:color w:val="2F5496" w:themeColor="accent1" w:themeShade="BF"/>
        <w:sz w:val="26"/>
      </w:rPr>
    </w:lvl>
    <w:lvl w:ilvl="4">
      <w:start w:val="1"/>
      <w:numFmt w:val="decimal"/>
      <w:lvlText w:val="%1.%2.%3.%4.%5"/>
      <w:lvlJc w:val="left"/>
      <w:pPr>
        <w:ind w:left="2780" w:hanging="1080"/>
      </w:pPr>
      <w:rPr>
        <w:rFonts w:asciiTheme="majorHAnsi" w:hAnsiTheme="majorHAnsi" w:cstheme="majorBidi" w:hint="default"/>
        <w:color w:val="2F5496" w:themeColor="accent1" w:themeShade="BF"/>
        <w:sz w:val="26"/>
      </w:rPr>
    </w:lvl>
    <w:lvl w:ilvl="5">
      <w:start w:val="1"/>
      <w:numFmt w:val="decimal"/>
      <w:lvlText w:val="%1.%2.%3.%4.%5.%6"/>
      <w:lvlJc w:val="left"/>
      <w:pPr>
        <w:ind w:left="3205" w:hanging="1080"/>
      </w:pPr>
      <w:rPr>
        <w:rFonts w:asciiTheme="majorHAnsi" w:hAnsiTheme="majorHAnsi" w:cstheme="majorBidi" w:hint="default"/>
        <w:color w:val="2F5496" w:themeColor="accent1" w:themeShade="BF"/>
        <w:sz w:val="26"/>
      </w:rPr>
    </w:lvl>
    <w:lvl w:ilvl="6">
      <w:start w:val="1"/>
      <w:numFmt w:val="decimal"/>
      <w:lvlText w:val="%1.%2.%3.%4.%5.%6.%7"/>
      <w:lvlJc w:val="left"/>
      <w:pPr>
        <w:ind w:left="3990" w:hanging="1440"/>
      </w:pPr>
      <w:rPr>
        <w:rFonts w:asciiTheme="majorHAnsi" w:hAnsiTheme="majorHAnsi" w:cstheme="majorBidi" w:hint="default"/>
        <w:color w:val="2F5496" w:themeColor="accent1" w:themeShade="BF"/>
        <w:sz w:val="26"/>
      </w:rPr>
    </w:lvl>
    <w:lvl w:ilvl="7">
      <w:start w:val="1"/>
      <w:numFmt w:val="decimal"/>
      <w:lvlText w:val="%1.%2.%3.%4.%5.%6.%7.%8"/>
      <w:lvlJc w:val="left"/>
      <w:pPr>
        <w:ind w:left="4415" w:hanging="1440"/>
      </w:pPr>
      <w:rPr>
        <w:rFonts w:asciiTheme="majorHAnsi" w:hAnsiTheme="majorHAnsi" w:cstheme="majorBidi" w:hint="default"/>
        <w:color w:val="2F5496" w:themeColor="accent1" w:themeShade="BF"/>
        <w:sz w:val="26"/>
      </w:rPr>
    </w:lvl>
    <w:lvl w:ilvl="8">
      <w:start w:val="1"/>
      <w:numFmt w:val="decimal"/>
      <w:lvlText w:val="%1.%2.%3.%4.%5.%6.%7.%8.%9"/>
      <w:lvlJc w:val="left"/>
      <w:pPr>
        <w:ind w:left="5200" w:hanging="1800"/>
      </w:pPr>
      <w:rPr>
        <w:rFonts w:asciiTheme="majorHAnsi" w:hAnsiTheme="majorHAnsi" w:cstheme="majorBidi" w:hint="default"/>
        <w:color w:val="2F5496" w:themeColor="accent1" w:themeShade="BF"/>
        <w:sz w:val="26"/>
      </w:rPr>
    </w:lvl>
  </w:abstractNum>
  <w:abstractNum w:abstractNumId="17" w15:restartNumberingAfterBreak="0">
    <w:nsid w:val="656B093B"/>
    <w:multiLevelType w:val="hybridMultilevel"/>
    <w:tmpl w:val="96B896C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5D57AD7"/>
    <w:multiLevelType w:val="hybridMultilevel"/>
    <w:tmpl w:val="F544FD6C"/>
    <w:lvl w:ilvl="0" w:tplc="21C253B0">
      <w:start w:val="1"/>
      <w:numFmt w:val="lowerRoman"/>
      <w:lvlText w:val="%1."/>
      <w:lvlJc w:val="right"/>
      <w:pPr>
        <w:ind w:left="2640" w:firstLine="0"/>
      </w:pPr>
      <w:rPr>
        <w:rFonts w:hint="default"/>
      </w:rPr>
    </w:lvl>
    <w:lvl w:ilvl="1" w:tplc="44090019" w:tentative="1">
      <w:start w:val="1"/>
      <w:numFmt w:val="lowerLetter"/>
      <w:lvlText w:val="%2."/>
      <w:lvlJc w:val="left"/>
      <w:pPr>
        <w:ind w:left="3796" w:hanging="360"/>
      </w:pPr>
    </w:lvl>
    <w:lvl w:ilvl="2" w:tplc="4409001B" w:tentative="1">
      <w:start w:val="1"/>
      <w:numFmt w:val="lowerRoman"/>
      <w:lvlText w:val="%3."/>
      <w:lvlJc w:val="right"/>
      <w:pPr>
        <w:ind w:left="4516" w:hanging="180"/>
      </w:pPr>
    </w:lvl>
    <w:lvl w:ilvl="3" w:tplc="4409000F" w:tentative="1">
      <w:start w:val="1"/>
      <w:numFmt w:val="decimal"/>
      <w:lvlText w:val="%4."/>
      <w:lvlJc w:val="left"/>
      <w:pPr>
        <w:ind w:left="5236" w:hanging="360"/>
      </w:pPr>
    </w:lvl>
    <w:lvl w:ilvl="4" w:tplc="44090019" w:tentative="1">
      <w:start w:val="1"/>
      <w:numFmt w:val="lowerLetter"/>
      <w:lvlText w:val="%5."/>
      <w:lvlJc w:val="left"/>
      <w:pPr>
        <w:ind w:left="5956" w:hanging="360"/>
      </w:pPr>
    </w:lvl>
    <w:lvl w:ilvl="5" w:tplc="4409001B" w:tentative="1">
      <w:start w:val="1"/>
      <w:numFmt w:val="lowerRoman"/>
      <w:lvlText w:val="%6."/>
      <w:lvlJc w:val="right"/>
      <w:pPr>
        <w:ind w:left="6676" w:hanging="180"/>
      </w:pPr>
    </w:lvl>
    <w:lvl w:ilvl="6" w:tplc="4409000F" w:tentative="1">
      <w:start w:val="1"/>
      <w:numFmt w:val="decimal"/>
      <w:lvlText w:val="%7."/>
      <w:lvlJc w:val="left"/>
      <w:pPr>
        <w:ind w:left="7396" w:hanging="360"/>
      </w:pPr>
    </w:lvl>
    <w:lvl w:ilvl="7" w:tplc="44090019" w:tentative="1">
      <w:start w:val="1"/>
      <w:numFmt w:val="lowerLetter"/>
      <w:lvlText w:val="%8."/>
      <w:lvlJc w:val="left"/>
      <w:pPr>
        <w:ind w:left="8116" w:hanging="360"/>
      </w:pPr>
    </w:lvl>
    <w:lvl w:ilvl="8" w:tplc="4409001B" w:tentative="1">
      <w:start w:val="1"/>
      <w:numFmt w:val="lowerRoman"/>
      <w:lvlText w:val="%9."/>
      <w:lvlJc w:val="right"/>
      <w:pPr>
        <w:ind w:left="8836" w:hanging="180"/>
      </w:pPr>
    </w:lvl>
  </w:abstractNum>
  <w:abstractNum w:abstractNumId="19" w15:restartNumberingAfterBreak="0">
    <w:nsid w:val="67752E46"/>
    <w:multiLevelType w:val="hybridMultilevel"/>
    <w:tmpl w:val="F014F7F8"/>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6F5027EC"/>
    <w:multiLevelType w:val="hybridMultilevel"/>
    <w:tmpl w:val="5FD2613E"/>
    <w:lvl w:ilvl="0" w:tplc="44090001">
      <w:start w:val="1"/>
      <w:numFmt w:val="bullet"/>
      <w:lvlText w:val=""/>
      <w:lvlJc w:val="left"/>
      <w:pPr>
        <w:ind w:left="327" w:hanging="360"/>
      </w:pPr>
      <w:rPr>
        <w:rFonts w:ascii="Symbol" w:hAnsi="Symbol" w:hint="default"/>
      </w:rPr>
    </w:lvl>
    <w:lvl w:ilvl="1" w:tplc="44090003" w:tentative="1">
      <w:start w:val="1"/>
      <w:numFmt w:val="bullet"/>
      <w:lvlText w:val="o"/>
      <w:lvlJc w:val="left"/>
      <w:pPr>
        <w:ind w:left="1047" w:hanging="360"/>
      </w:pPr>
      <w:rPr>
        <w:rFonts w:ascii="Courier New" w:hAnsi="Courier New" w:cs="Courier New" w:hint="default"/>
      </w:rPr>
    </w:lvl>
    <w:lvl w:ilvl="2" w:tplc="44090005" w:tentative="1">
      <w:start w:val="1"/>
      <w:numFmt w:val="bullet"/>
      <w:lvlText w:val=""/>
      <w:lvlJc w:val="left"/>
      <w:pPr>
        <w:ind w:left="1767" w:hanging="360"/>
      </w:pPr>
      <w:rPr>
        <w:rFonts w:ascii="Wingdings" w:hAnsi="Wingdings" w:hint="default"/>
      </w:rPr>
    </w:lvl>
    <w:lvl w:ilvl="3" w:tplc="44090001" w:tentative="1">
      <w:start w:val="1"/>
      <w:numFmt w:val="bullet"/>
      <w:lvlText w:val=""/>
      <w:lvlJc w:val="left"/>
      <w:pPr>
        <w:ind w:left="2487" w:hanging="360"/>
      </w:pPr>
      <w:rPr>
        <w:rFonts w:ascii="Symbol" w:hAnsi="Symbol" w:hint="default"/>
      </w:rPr>
    </w:lvl>
    <w:lvl w:ilvl="4" w:tplc="44090003" w:tentative="1">
      <w:start w:val="1"/>
      <w:numFmt w:val="bullet"/>
      <w:lvlText w:val="o"/>
      <w:lvlJc w:val="left"/>
      <w:pPr>
        <w:ind w:left="3207" w:hanging="360"/>
      </w:pPr>
      <w:rPr>
        <w:rFonts w:ascii="Courier New" w:hAnsi="Courier New" w:cs="Courier New" w:hint="default"/>
      </w:rPr>
    </w:lvl>
    <w:lvl w:ilvl="5" w:tplc="44090005" w:tentative="1">
      <w:start w:val="1"/>
      <w:numFmt w:val="bullet"/>
      <w:lvlText w:val=""/>
      <w:lvlJc w:val="left"/>
      <w:pPr>
        <w:ind w:left="3927" w:hanging="360"/>
      </w:pPr>
      <w:rPr>
        <w:rFonts w:ascii="Wingdings" w:hAnsi="Wingdings" w:hint="default"/>
      </w:rPr>
    </w:lvl>
    <w:lvl w:ilvl="6" w:tplc="44090001" w:tentative="1">
      <w:start w:val="1"/>
      <w:numFmt w:val="bullet"/>
      <w:lvlText w:val=""/>
      <w:lvlJc w:val="left"/>
      <w:pPr>
        <w:ind w:left="4647" w:hanging="360"/>
      </w:pPr>
      <w:rPr>
        <w:rFonts w:ascii="Symbol" w:hAnsi="Symbol" w:hint="default"/>
      </w:rPr>
    </w:lvl>
    <w:lvl w:ilvl="7" w:tplc="44090003" w:tentative="1">
      <w:start w:val="1"/>
      <w:numFmt w:val="bullet"/>
      <w:lvlText w:val="o"/>
      <w:lvlJc w:val="left"/>
      <w:pPr>
        <w:ind w:left="5367" w:hanging="360"/>
      </w:pPr>
      <w:rPr>
        <w:rFonts w:ascii="Courier New" w:hAnsi="Courier New" w:cs="Courier New" w:hint="default"/>
      </w:rPr>
    </w:lvl>
    <w:lvl w:ilvl="8" w:tplc="44090005" w:tentative="1">
      <w:start w:val="1"/>
      <w:numFmt w:val="bullet"/>
      <w:lvlText w:val=""/>
      <w:lvlJc w:val="left"/>
      <w:pPr>
        <w:ind w:left="6087" w:hanging="360"/>
      </w:pPr>
      <w:rPr>
        <w:rFonts w:ascii="Wingdings" w:hAnsi="Wingdings" w:hint="default"/>
      </w:rPr>
    </w:lvl>
  </w:abstractNum>
  <w:abstractNum w:abstractNumId="21" w15:restartNumberingAfterBreak="0">
    <w:nsid w:val="74B63990"/>
    <w:multiLevelType w:val="multilevel"/>
    <w:tmpl w:val="806C1006"/>
    <w:lvl w:ilvl="0">
      <w:start w:val="1"/>
      <w:numFmt w:val="lowerRoman"/>
      <w:lvlText w:val="%1."/>
      <w:lvlJc w:val="right"/>
      <w:pPr>
        <w:ind w:left="886" w:hanging="166"/>
      </w:pPr>
      <w:rPr>
        <w:rFonts w:hint="default"/>
        <w:b w:val="0"/>
        <w:i w:val="0"/>
        <w:sz w:val="24"/>
      </w:rPr>
    </w:lvl>
    <w:lvl w:ilvl="1">
      <w:start w:val="3"/>
      <w:numFmt w:val="decimal"/>
      <w:isLgl/>
      <w:lvlText w:val="%1.%2"/>
      <w:lvlJc w:val="left"/>
      <w:pPr>
        <w:ind w:left="432" w:firstLine="0"/>
      </w:pPr>
      <w:rPr>
        <w:rFonts w:hint="default"/>
      </w:rPr>
    </w:lvl>
    <w:lvl w:ilvl="2">
      <w:start w:val="1"/>
      <w:numFmt w:val="decimal"/>
      <w:isLgl/>
      <w:lvlText w:val="%1.%2.%3"/>
      <w:lvlJc w:val="left"/>
      <w:pPr>
        <w:ind w:left="148" w:firstLine="0"/>
      </w:pPr>
      <w:rPr>
        <w:rFonts w:hint="default"/>
      </w:rPr>
    </w:lvl>
    <w:lvl w:ilvl="3">
      <w:start w:val="1"/>
      <w:numFmt w:val="decimal"/>
      <w:isLgl/>
      <w:lvlText w:val="%1.%2.%3.%4"/>
      <w:lvlJc w:val="left"/>
      <w:pPr>
        <w:ind w:left="-136" w:firstLine="0"/>
      </w:pPr>
      <w:rPr>
        <w:rFonts w:hint="default"/>
      </w:rPr>
    </w:lvl>
    <w:lvl w:ilvl="4">
      <w:start w:val="1"/>
      <w:numFmt w:val="decimal"/>
      <w:isLgl/>
      <w:lvlText w:val="%1.%2.%3.%4.%5"/>
      <w:lvlJc w:val="left"/>
      <w:pPr>
        <w:ind w:left="-420" w:firstLine="0"/>
      </w:pPr>
      <w:rPr>
        <w:rFonts w:hint="default"/>
      </w:rPr>
    </w:lvl>
    <w:lvl w:ilvl="5">
      <w:start w:val="1"/>
      <w:numFmt w:val="decimal"/>
      <w:isLgl/>
      <w:lvlText w:val="%1.%2.%3.%4.%5.%6"/>
      <w:lvlJc w:val="left"/>
      <w:pPr>
        <w:ind w:left="-704" w:firstLine="0"/>
      </w:pPr>
      <w:rPr>
        <w:rFonts w:hint="default"/>
      </w:rPr>
    </w:lvl>
    <w:lvl w:ilvl="6">
      <w:start w:val="1"/>
      <w:numFmt w:val="decimal"/>
      <w:isLgl/>
      <w:lvlText w:val="%1.%2.%3.%4.%5.%6.%7"/>
      <w:lvlJc w:val="left"/>
      <w:pPr>
        <w:ind w:left="-988" w:firstLine="0"/>
      </w:pPr>
      <w:rPr>
        <w:rFonts w:hint="default"/>
      </w:rPr>
    </w:lvl>
    <w:lvl w:ilvl="7">
      <w:start w:val="1"/>
      <w:numFmt w:val="decimal"/>
      <w:isLgl/>
      <w:lvlText w:val="%1.%2.%3.%4.%5.%6.%7.%8"/>
      <w:lvlJc w:val="left"/>
      <w:pPr>
        <w:ind w:left="-1272" w:firstLine="0"/>
      </w:pPr>
      <w:rPr>
        <w:rFonts w:hint="default"/>
      </w:rPr>
    </w:lvl>
    <w:lvl w:ilvl="8">
      <w:start w:val="1"/>
      <w:numFmt w:val="decimal"/>
      <w:isLgl/>
      <w:lvlText w:val="%1.%2.%3.%4.%5.%6.%7.%8.%9"/>
      <w:lvlJc w:val="left"/>
      <w:pPr>
        <w:ind w:left="-1556" w:firstLine="0"/>
      </w:pPr>
      <w:rPr>
        <w:rFonts w:hint="default"/>
      </w:rPr>
    </w:lvl>
  </w:abstractNum>
  <w:num w:numId="1">
    <w:abstractNumId w:val="0"/>
  </w:num>
  <w:num w:numId="2">
    <w:abstractNumId w:val="12"/>
  </w:num>
  <w:num w:numId="3">
    <w:abstractNumId w:val="6"/>
  </w:num>
  <w:num w:numId="4">
    <w:abstractNumId w:val="13"/>
  </w:num>
  <w:num w:numId="5">
    <w:abstractNumId w:val="18"/>
  </w:num>
  <w:num w:numId="6">
    <w:abstractNumId w:val="10"/>
  </w:num>
  <w:num w:numId="7">
    <w:abstractNumId w:val="7"/>
  </w:num>
  <w:num w:numId="8">
    <w:abstractNumId w:val="2"/>
  </w:num>
  <w:num w:numId="9">
    <w:abstractNumId w:val="21"/>
  </w:num>
  <w:num w:numId="10">
    <w:abstractNumId w:val="20"/>
  </w:num>
  <w:num w:numId="11">
    <w:abstractNumId w:val="5"/>
  </w:num>
  <w:num w:numId="12">
    <w:abstractNumId w:val="9"/>
  </w:num>
  <w:num w:numId="13">
    <w:abstractNumId w:val="19"/>
  </w:num>
  <w:num w:numId="14">
    <w:abstractNumId w:val="16"/>
  </w:num>
  <w:num w:numId="15">
    <w:abstractNumId w:val="1"/>
  </w:num>
  <w:num w:numId="16">
    <w:abstractNumId w:val="8"/>
  </w:num>
  <w:num w:numId="17">
    <w:abstractNumId w:val="14"/>
  </w:num>
  <w:num w:numId="18">
    <w:abstractNumId w:val="15"/>
  </w:num>
  <w:num w:numId="19">
    <w:abstractNumId w:val="17"/>
  </w:num>
  <w:num w:numId="20">
    <w:abstractNumId w:val="4"/>
  </w:num>
  <w:num w:numId="21">
    <w:abstractNumId w:val="11"/>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9D"/>
    <w:rsid w:val="000B3CF0"/>
    <w:rsid w:val="000F5D9D"/>
    <w:rsid w:val="001756D0"/>
    <w:rsid w:val="00314AEF"/>
    <w:rsid w:val="00324E68"/>
    <w:rsid w:val="00366E94"/>
    <w:rsid w:val="003C5012"/>
    <w:rsid w:val="0054719C"/>
    <w:rsid w:val="006609A3"/>
    <w:rsid w:val="007D5C0F"/>
    <w:rsid w:val="00854604"/>
    <w:rsid w:val="00903E5E"/>
    <w:rsid w:val="00A01740"/>
    <w:rsid w:val="00A660A1"/>
    <w:rsid w:val="00BB1102"/>
    <w:rsid w:val="00CD6683"/>
    <w:rsid w:val="00DB381A"/>
    <w:rsid w:val="00DE2892"/>
    <w:rsid w:val="00E22C20"/>
    <w:rsid w:val="00F2485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0886B"/>
  <w15:chartTrackingRefBased/>
  <w15:docId w15:val="{80B5480A-0621-4EBB-B6C7-16EB952E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9D"/>
    <w:rPr>
      <w:rFonts w:ascii="Times New Roman" w:hAnsi="Times New Roman" w:cs="Times New Roman"/>
      <w:sz w:val="24"/>
    </w:rPr>
  </w:style>
  <w:style w:type="paragraph" w:styleId="Heading1">
    <w:name w:val="heading 1"/>
    <w:basedOn w:val="Normal"/>
    <w:next w:val="Normal"/>
    <w:link w:val="Heading1Char"/>
    <w:uiPriority w:val="9"/>
    <w:qFormat/>
    <w:rsid w:val="000F5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5D9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F5D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F5D9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D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D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semiHidden/>
    <w:unhideWhenUsed/>
    <w:qFormat/>
    <w:rsid w:val="000F5D9D"/>
    <w:pPr>
      <w:outlineLvl w:val="9"/>
    </w:pPr>
  </w:style>
  <w:style w:type="paragraph" w:styleId="TOC2">
    <w:name w:val="toc 2"/>
    <w:basedOn w:val="Normal"/>
    <w:next w:val="Normal"/>
    <w:autoRedefine/>
    <w:uiPriority w:val="39"/>
    <w:unhideWhenUsed/>
    <w:rsid w:val="000F5D9D"/>
    <w:pPr>
      <w:tabs>
        <w:tab w:val="left" w:pos="880"/>
        <w:tab w:val="right" w:leader="dot" w:pos="8657"/>
      </w:tabs>
      <w:spacing w:after="100"/>
      <w:ind w:left="220"/>
    </w:pPr>
  </w:style>
  <w:style w:type="paragraph" w:styleId="TOC1">
    <w:name w:val="toc 1"/>
    <w:basedOn w:val="Normal"/>
    <w:next w:val="Normal"/>
    <w:autoRedefine/>
    <w:uiPriority w:val="39"/>
    <w:unhideWhenUsed/>
    <w:rsid w:val="000F5D9D"/>
    <w:pPr>
      <w:tabs>
        <w:tab w:val="right" w:leader="dot" w:pos="8657"/>
      </w:tabs>
    </w:pPr>
    <w:rPr>
      <w:b/>
      <w:caps/>
    </w:rPr>
  </w:style>
  <w:style w:type="character" w:styleId="Hyperlink">
    <w:name w:val="Hyperlink"/>
    <w:basedOn w:val="DefaultParagraphFont"/>
    <w:uiPriority w:val="99"/>
    <w:unhideWhenUsed/>
    <w:rsid w:val="000F5D9D"/>
    <w:rPr>
      <w:color w:val="0563C1" w:themeColor="hyperlink"/>
      <w:u w:val="single"/>
    </w:rPr>
  </w:style>
  <w:style w:type="paragraph" w:styleId="ListParagraph">
    <w:name w:val="List Paragraph"/>
    <w:basedOn w:val="Normal"/>
    <w:uiPriority w:val="34"/>
    <w:qFormat/>
    <w:rsid w:val="000F5D9D"/>
    <w:pPr>
      <w:ind w:left="720"/>
      <w:contextualSpacing/>
    </w:pPr>
  </w:style>
  <w:style w:type="character" w:customStyle="1" w:styleId="FooterChar">
    <w:name w:val="Footer Char"/>
    <w:basedOn w:val="DefaultParagraphFont"/>
    <w:link w:val="Footer"/>
    <w:uiPriority w:val="99"/>
    <w:rsid w:val="000F5D9D"/>
    <w:rPr>
      <w:sz w:val="18"/>
      <w:szCs w:val="18"/>
    </w:rPr>
  </w:style>
  <w:style w:type="paragraph" w:styleId="Footer">
    <w:name w:val="footer"/>
    <w:basedOn w:val="Normal"/>
    <w:link w:val="FooterChar"/>
    <w:uiPriority w:val="99"/>
    <w:unhideWhenUsed/>
    <w:rsid w:val="000F5D9D"/>
    <w:pPr>
      <w:widowControl w:val="0"/>
      <w:tabs>
        <w:tab w:val="center" w:pos="4153"/>
        <w:tab w:val="right" w:pos="8306"/>
      </w:tabs>
      <w:snapToGrid w:val="0"/>
    </w:pPr>
    <w:rPr>
      <w:rFonts w:asciiTheme="minorHAnsi" w:hAnsiTheme="minorHAnsi" w:cstheme="minorBidi"/>
      <w:sz w:val="18"/>
      <w:szCs w:val="18"/>
    </w:rPr>
  </w:style>
  <w:style w:type="character" w:customStyle="1" w:styleId="FooterChar1">
    <w:name w:val="Footer Char1"/>
    <w:basedOn w:val="DefaultParagraphFont"/>
    <w:uiPriority w:val="99"/>
    <w:semiHidden/>
    <w:rsid w:val="000F5D9D"/>
    <w:rPr>
      <w:rFonts w:ascii="Times New Roman" w:hAnsi="Times New Roman" w:cs="Times New Roman"/>
      <w:sz w:val="24"/>
    </w:rPr>
  </w:style>
  <w:style w:type="character" w:styleId="Emphasis">
    <w:name w:val="Emphasis"/>
    <w:basedOn w:val="DefaultParagraphFont"/>
    <w:uiPriority w:val="20"/>
    <w:qFormat/>
    <w:rsid w:val="000F5D9D"/>
    <w:rPr>
      <w:i/>
      <w:iCs/>
    </w:rPr>
  </w:style>
  <w:style w:type="table" w:customStyle="1" w:styleId="TableGrid2">
    <w:name w:val="Table Grid2"/>
    <w:basedOn w:val="TableNormal"/>
    <w:next w:val="TableGrid"/>
    <w:uiPriority w:val="39"/>
    <w:rsid w:val="000F5D9D"/>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0F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0F5D9D"/>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0F5D9D"/>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F5D9D"/>
    <w:pPr>
      <w:spacing w:after="0" w:line="240" w:lineRule="auto"/>
    </w:pPr>
    <w:rPr>
      <w:rFonts w:ascii="Times New Roman" w:eastAsiaTheme="minorEastAsia" w:hAnsi="Times New Roman" w:cs="Times New Roman"/>
      <w:sz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F5D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5D9D"/>
    <w:rPr>
      <w:rFonts w:asciiTheme="majorHAnsi" w:eastAsiaTheme="majorEastAsia" w:hAnsiTheme="majorHAnsi" w:cstheme="majorBidi"/>
      <w:i/>
      <w:iCs/>
      <w:color w:val="2F5496" w:themeColor="accent1" w:themeShade="BF"/>
      <w:sz w:val="24"/>
    </w:rPr>
  </w:style>
  <w:style w:type="character" w:customStyle="1" w:styleId="Heading6Char">
    <w:name w:val="Heading 6 Char"/>
    <w:basedOn w:val="DefaultParagraphFont"/>
    <w:link w:val="Heading6"/>
    <w:uiPriority w:val="9"/>
    <w:semiHidden/>
    <w:rsid w:val="000F5D9D"/>
    <w:rPr>
      <w:rFonts w:asciiTheme="majorHAnsi" w:eastAsiaTheme="majorEastAsia" w:hAnsiTheme="majorHAnsi" w:cstheme="majorBidi"/>
      <w:color w:val="1F3763" w:themeColor="accent1" w:themeShade="7F"/>
      <w:sz w:val="24"/>
    </w:rPr>
  </w:style>
  <w:style w:type="paragraph" w:customStyle="1" w:styleId="Default">
    <w:name w:val="Default"/>
    <w:rsid w:val="000F5D9D"/>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zh-CN"/>
    </w:rPr>
  </w:style>
  <w:style w:type="paragraph" w:styleId="TOC3">
    <w:name w:val="toc 3"/>
    <w:basedOn w:val="Normal"/>
    <w:next w:val="Normal"/>
    <w:autoRedefine/>
    <w:uiPriority w:val="39"/>
    <w:unhideWhenUsed/>
    <w:rsid w:val="000F5D9D"/>
    <w:pPr>
      <w:spacing w:after="100"/>
      <w:ind w:left="440"/>
    </w:pPr>
    <w:rPr>
      <w:rFonts w:asciiTheme="minorHAnsi" w:hAnsiTheme="minorHAnsi"/>
    </w:rPr>
  </w:style>
  <w:style w:type="paragraph" w:styleId="Title">
    <w:name w:val="Title"/>
    <w:basedOn w:val="Normal"/>
    <w:next w:val="Normal"/>
    <w:link w:val="TitleChar"/>
    <w:uiPriority w:val="10"/>
    <w:qFormat/>
    <w:rsid w:val="000F5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9D"/>
    <w:rPr>
      <w:rFonts w:asciiTheme="majorHAnsi" w:eastAsiaTheme="majorEastAsia" w:hAnsiTheme="majorHAnsi" w:cstheme="majorBidi"/>
      <w:spacing w:val="-10"/>
      <w:kern w:val="28"/>
      <w:sz w:val="56"/>
      <w:szCs w:val="56"/>
    </w:rPr>
  </w:style>
  <w:style w:type="character" w:customStyle="1" w:styleId="indent">
    <w:name w:val="indent"/>
    <w:basedOn w:val="DefaultParagraphFont"/>
    <w:rsid w:val="000F5D9D"/>
  </w:style>
  <w:style w:type="paragraph" w:customStyle="1" w:styleId="TableParagraph">
    <w:name w:val="Table Paragraph"/>
    <w:basedOn w:val="Normal"/>
    <w:uiPriority w:val="1"/>
    <w:rsid w:val="000F5D9D"/>
    <w:rPr>
      <w:rFonts w:ascii="Calibri" w:eastAsia="Times New Roman" w:hAnsi="Calibri"/>
      <w:szCs w:val="24"/>
    </w:rPr>
  </w:style>
  <w:style w:type="paragraph" w:customStyle="1" w:styleId="references">
    <w:name w:val="references"/>
    <w:basedOn w:val="Normal"/>
    <w:rsid w:val="000F5D9D"/>
    <w:pPr>
      <w:spacing w:before="100" w:beforeAutospacing="1" w:after="100" w:afterAutospacing="1"/>
    </w:pPr>
    <w:rPr>
      <w:rFonts w:ascii="Calibri" w:eastAsia="Times New Roman" w:hAnsi="Calibri"/>
      <w:szCs w:val="24"/>
    </w:rPr>
  </w:style>
  <w:style w:type="paragraph" w:customStyle="1" w:styleId="msonormal0">
    <w:name w:val="msonormal"/>
    <w:basedOn w:val="Normal"/>
    <w:rsid w:val="000F5D9D"/>
    <w:pPr>
      <w:spacing w:before="100" w:beforeAutospacing="1" w:after="100" w:afterAutospacing="1"/>
    </w:pPr>
    <w:rPr>
      <w:rFonts w:eastAsia="Times New Roman"/>
      <w:szCs w:val="24"/>
    </w:rPr>
  </w:style>
  <w:style w:type="character" w:customStyle="1" w:styleId="HeaderChar">
    <w:name w:val="Header Char"/>
    <w:basedOn w:val="DefaultParagraphFont"/>
    <w:link w:val="Header"/>
    <w:uiPriority w:val="99"/>
    <w:rsid w:val="000F5D9D"/>
    <w:rPr>
      <w:sz w:val="18"/>
      <w:szCs w:val="18"/>
    </w:rPr>
  </w:style>
  <w:style w:type="paragraph" w:styleId="Header">
    <w:name w:val="header"/>
    <w:basedOn w:val="Normal"/>
    <w:link w:val="HeaderChar"/>
    <w:uiPriority w:val="99"/>
    <w:unhideWhenUsed/>
    <w:rsid w:val="000F5D9D"/>
    <w:pPr>
      <w:widowControl w:val="0"/>
      <w:tabs>
        <w:tab w:val="center" w:pos="4153"/>
        <w:tab w:val="right" w:pos="8306"/>
      </w:tabs>
      <w:snapToGrid w:val="0"/>
    </w:pPr>
    <w:rPr>
      <w:rFonts w:asciiTheme="minorHAnsi" w:hAnsiTheme="minorHAnsi" w:cstheme="minorBidi"/>
      <w:sz w:val="18"/>
      <w:szCs w:val="18"/>
    </w:rPr>
  </w:style>
  <w:style w:type="character" w:customStyle="1" w:styleId="HeaderChar1">
    <w:name w:val="Header Char1"/>
    <w:basedOn w:val="DefaultParagraphFont"/>
    <w:uiPriority w:val="99"/>
    <w:semiHidden/>
    <w:rsid w:val="000F5D9D"/>
    <w:rPr>
      <w:rFonts w:ascii="Times New Roman" w:hAnsi="Times New Roman" w:cs="Times New Roman"/>
      <w:sz w:val="24"/>
    </w:rPr>
  </w:style>
  <w:style w:type="paragraph" w:styleId="BodyText">
    <w:name w:val="Body Text"/>
    <w:basedOn w:val="Normal"/>
    <w:link w:val="BodyTextChar"/>
    <w:uiPriority w:val="1"/>
    <w:semiHidden/>
    <w:unhideWhenUsed/>
    <w:rsid w:val="000F5D9D"/>
    <w:pPr>
      <w:widowControl w:val="0"/>
      <w:ind w:left="236"/>
    </w:pPr>
    <w:rPr>
      <w:rFonts w:ascii="Arial" w:eastAsia="Arial" w:hAnsi="Arial"/>
      <w:sz w:val="20"/>
      <w:szCs w:val="20"/>
    </w:rPr>
  </w:style>
  <w:style w:type="character" w:customStyle="1" w:styleId="BodyTextChar">
    <w:name w:val="Body Text Char"/>
    <w:basedOn w:val="DefaultParagraphFont"/>
    <w:link w:val="BodyText"/>
    <w:uiPriority w:val="1"/>
    <w:semiHidden/>
    <w:rsid w:val="000F5D9D"/>
    <w:rPr>
      <w:rFonts w:ascii="Arial" w:eastAsia="Arial" w:hAnsi="Arial" w:cs="Times New Roman"/>
      <w:sz w:val="20"/>
      <w:szCs w:val="20"/>
    </w:rPr>
  </w:style>
  <w:style w:type="paragraph" w:styleId="NoSpacing">
    <w:name w:val="No Spacing"/>
    <w:uiPriority w:val="1"/>
    <w:qFormat/>
    <w:rsid w:val="000F5D9D"/>
    <w:pPr>
      <w:spacing w:after="0" w:line="240" w:lineRule="auto"/>
    </w:pPr>
    <w:rPr>
      <w:rFonts w:ascii="Times New Roman" w:hAnsi="Times New Roman" w:cs="Times New Roman"/>
      <w:sz w:val="24"/>
    </w:rPr>
  </w:style>
  <w:style w:type="character" w:customStyle="1" w:styleId="A3">
    <w:name w:val="A3"/>
    <w:uiPriority w:val="99"/>
    <w:rsid w:val="000F5D9D"/>
    <w:rPr>
      <w:rFonts w:cs="Friz Quadrata Std"/>
      <w:color w:val="000000"/>
      <w:sz w:val="18"/>
      <w:szCs w:val="18"/>
    </w:rPr>
  </w:style>
  <w:style w:type="paragraph" w:styleId="NormalWeb">
    <w:name w:val="Normal (Web)"/>
    <w:basedOn w:val="Normal"/>
    <w:uiPriority w:val="99"/>
    <w:unhideWhenUsed/>
    <w:rsid w:val="000F5D9D"/>
    <w:pPr>
      <w:spacing w:before="100" w:beforeAutospacing="1" w:after="100" w:afterAutospacing="1" w:line="240" w:lineRule="auto"/>
    </w:pPr>
    <w:rPr>
      <w:szCs w:val="24"/>
    </w:rPr>
  </w:style>
  <w:style w:type="paragraph" w:styleId="BodyTextIndent">
    <w:name w:val="Body Text Indent"/>
    <w:basedOn w:val="Normal"/>
    <w:link w:val="BodyTextIndentChar"/>
    <w:uiPriority w:val="99"/>
    <w:semiHidden/>
    <w:unhideWhenUsed/>
    <w:rsid w:val="000F5D9D"/>
    <w:pPr>
      <w:spacing w:after="120"/>
      <w:ind w:left="360"/>
    </w:pPr>
  </w:style>
  <w:style w:type="character" w:customStyle="1" w:styleId="BodyTextIndentChar">
    <w:name w:val="Body Text Indent Char"/>
    <w:basedOn w:val="DefaultParagraphFont"/>
    <w:link w:val="BodyTextIndent"/>
    <w:uiPriority w:val="99"/>
    <w:semiHidden/>
    <w:rsid w:val="000F5D9D"/>
    <w:rPr>
      <w:rFonts w:ascii="Times New Roman" w:hAnsi="Times New Roman" w:cs="Times New Roman"/>
      <w:sz w:val="24"/>
    </w:rPr>
  </w:style>
  <w:style w:type="character" w:styleId="PlaceholderText">
    <w:name w:val="Placeholder Text"/>
    <w:basedOn w:val="DefaultParagraphFont"/>
    <w:uiPriority w:val="99"/>
    <w:semiHidden/>
    <w:rsid w:val="000F5D9D"/>
    <w:rPr>
      <w:color w:val="808080"/>
    </w:rPr>
  </w:style>
  <w:style w:type="paragraph" w:styleId="BalloonText">
    <w:name w:val="Balloon Text"/>
    <w:basedOn w:val="Normal"/>
    <w:link w:val="BalloonTextChar"/>
    <w:uiPriority w:val="99"/>
    <w:semiHidden/>
    <w:unhideWhenUsed/>
    <w:rsid w:val="000F5D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9D"/>
    <w:rPr>
      <w:rFonts w:ascii="Segoe UI" w:hAnsi="Segoe UI" w:cs="Segoe UI"/>
      <w:sz w:val="18"/>
      <w:szCs w:val="18"/>
    </w:rPr>
  </w:style>
  <w:style w:type="character" w:styleId="Strong">
    <w:name w:val="Strong"/>
    <w:basedOn w:val="DefaultParagraphFont"/>
    <w:uiPriority w:val="22"/>
    <w:qFormat/>
    <w:rsid w:val="000F5D9D"/>
    <w:rPr>
      <w:b/>
      <w:bCs/>
    </w:rPr>
  </w:style>
  <w:style w:type="character" w:styleId="UnresolvedMention">
    <w:name w:val="Unresolved Mention"/>
    <w:basedOn w:val="DefaultParagraphFont"/>
    <w:uiPriority w:val="99"/>
    <w:semiHidden/>
    <w:unhideWhenUsed/>
    <w:rsid w:val="000F5D9D"/>
    <w:rPr>
      <w:color w:val="605E5C"/>
      <w:shd w:val="clear" w:color="auto" w:fill="E1DFDD"/>
    </w:rPr>
  </w:style>
  <w:style w:type="character" w:styleId="CommentReference">
    <w:name w:val="annotation reference"/>
    <w:basedOn w:val="DefaultParagraphFont"/>
    <w:uiPriority w:val="99"/>
    <w:semiHidden/>
    <w:unhideWhenUsed/>
    <w:rsid w:val="000F5D9D"/>
    <w:rPr>
      <w:sz w:val="16"/>
      <w:szCs w:val="16"/>
    </w:rPr>
  </w:style>
  <w:style w:type="paragraph" w:styleId="CommentText">
    <w:name w:val="annotation text"/>
    <w:basedOn w:val="Normal"/>
    <w:link w:val="CommentTextChar"/>
    <w:uiPriority w:val="99"/>
    <w:semiHidden/>
    <w:unhideWhenUsed/>
    <w:rsid w:val="000F5D9D"/>
    <w:pPr>
      <w:spacing w:line="240" w:lineRule="auto"/>
    </w:pPr>
    <w:rPr>
      <w:sz w:val="20"/>
      <w:szCs w:val="20"/>
    </w:rPr>
  </w:style>
  <w:style w:type="character" w:customStyle="1" w:styleId="CommentTextChar">
    <w:name w:val="Comment Text Char"/>
    <w:basedOn w:val="DefaultParagraphFont"/>
    <w:link w:val="CommentText"/>
    <w:uiPriority w:val="99"/>
    <w:semiHidden/>
    <w:rsid w:val="000F5D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5D9D"/>
    <w:rPr>
      <w:b/>
      <w:bCs/>
    </w:rPr>
  </w:style>
  <w:style w:type="character" w:customStyle="1" w:styleId="CommentSubjectChar">
    <w:name w:val="Comment Subject Char"/>
    <w:basedOn w:val="CommentTextChar"/>
    <w:link w:val="CommentSubject"/>
    <w:uiPriority w:val="99"/>
    <w:semiHidden/>
    <w:rsid w:val="000F5D9D"/>
    <w:rPr>
      <w:rFonts w:ascii="Times New Roman" w:hAnsi="Times New Roman" w:cs="Times New Roman"/>
      <w:b/>
      <w:bCs/>
      <w:sz w:val="20"/>
      <w:szCs w:val="20"/>
    </w:rPr>
  </w:style>
  <w:style w:type="paragraph" w:styleId="FootnoteText">
    <w:name w:val="footnote text"/>
    <w:basedOn w:val="Normal"/>
    <w:link w:val="FootnoteTextChar"/>
    <w:uiPriority w:val="99"/>
    <w:semiHidden/>
    <w:unhideWhenUsed/>
    <w:rsid w:val="000F5D9D"/>
    <w:pPr>
      <w:spacing w:line="240" w:lineRule="auto"/>
    </w:pPr>
    <w:rPr>
      <w:sz w:val="20"/>
      <w:szCs w:val="20"/>
    </w:rPr>
  </w:style>
  <w:style w:type="character" w:customStyle="1" w:styleId="FootnoteTextChar">
    <w:name w:val="Footnote Text Char"/>
    <w:basedOn w:val="DefaultParagraphFont"/>
    <w:link w:val="FootnoteText"/>
    <w:uiPriority w:val="99"/>
    <w:semiHidden/>
    <w:rsid w:val="000F5D9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0F5D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4149">
      <w:bodyDiv w:val="1"/>
      <w:marLeft w:val="0"/>
      <w:marRight w:val="0"/>
      <w:marTop w:val="0"/>
      <w:marBottom w:val="0"/>
      <w:divBdr>
        <w:top w:val="none" w:sz="0" w:space="0" w:color="auto"/>
        <w:left w:val="none" w:sz="0" w:space="0" w:color="auto"/>
        <w:bottom w:val="none" w:sz="0" w:space="0" w:color="auto"/>
        <w:right w:val="none" w:sz="0" w:space="0" w:color="auto"/>
      </w:divBdr>
    </w:div>
    <w:div w:id="1270426299">
      <w:bodyDiv w:val="1"/>
      <w:marLeft w:val="0"/>
      <w:marRight w:val="0"/>
      <w:marTop w:val="0"/>
      <w:marBottom w:val="0"/>
      <w:divBdr>
        <w:top w:val="none" w:sz="0" w:space="0" w:color="auto"/>
        <w:left w:val="none" w:sz="0" w:space="0" w:color="auto"/>
        <w:bottom w:val="none" w:sz="0" w:space="0" w:color="auto"/>
        <w:right w:val="none" w:sz="0" w:space="0" w:color="auto"/>
      </w:divBdr>
      <w:divsChild>
        <w:div w:id="867647047">
          <w:marLeft w:val="1267"/>
          <w:marRight w:val="0"/>
          <w:marTop w:val="0"/>
          <w:marBottom w:val="0"/>
          <w:divBdr>
            <w:top w:val="none" w:sz="0" w:space="0" w:color="auto"/>
            <w:left w:val="none" w:sz="0" w:space="0" w:color="auto"/>
            <w:bottom w:val="none" w:sz="0" w:space="0" w:color="auto"/>
            <w:right w:val="none" w:sz="0" w:space="0" w:color="auto"/>
          </w:divBdr>
        </w:div>
        <w:div w:id="1875117605">
          <w:marLeft w:val="1267"/>
          <w:marRight w:val="0"/>
          <w:marTop w:val="0"/>
          <w:marBottom w:val="0"/>
          <w:divBdr>
            <w:top w:val="none" w:sz="0" w:space="0" w:color="auto"/>
            <w:left w:val="none" w:sz="0" w:space="0" w:color="auto"/>
            <w:bottom w:val="none" w:sz="0" w:space="0" w:color="auto"/>
            <w:right w:val="none" w:sz="0" w:space="0" w:color="auto"/>
          </w:divBdr>
        </w:div>
      </w:divsChild>
    </w:div>
    <w:div w:id="1405644208">
      <w:bodyDiv w:val="1"/>
      <w:marLeft w:val="0"/>
      <w:marRight w:val="0"/>
      <w:marTop w:val="0"/>
      <w:marBottom w:val="0"/>
      <w:divBdr>
        <w:top w:val="none" w:sz="0" w:space="0" w:color="auto"/>
        <w:left w:val="none" w:sz="0" w:space="0" w:color="auto"/>
        <w:bottom w:val="none" w:sz="0" w:space="0" w:color="auto"/>
        <w:right w:val="none" w:sz="0" w:space="0" w:color="auto"/>
      </w:divBdr>
    </w:div>
    <w:div w:id="1984039026">
      <w:bodyDiv w:val="1"/>
      <w:marLeft w:val="0"/>
      <w:marRight w:val="0"/>
      <w:marTop w:val="0"/>
      <w:marBottom w:val="0"/>
      <w:divBdr>
        <w:top w:val="none" w:sz="0" w:space="0" w:color="auto"/>
        <w:left w:val="none" w:sz="0" w:space="0" w:color="auto"/>
        <w:bottom w:val="none" w:sz="0" w:space="0" w:color="auto"/>
        <w:right w:val="none" w:sz="0" w:space="0" w:color="auto"/>
      </w:divBdr>
      <w:divsChild>
        <w:div w:id="1275208652">
          <w:marLeft w:val="547"/>
          <w:marRight w:val="0"/>
          <w:marTop w:val="0"/>
          <w:marBottom w:val="0"/>
          <w:divBdr>
            <w:top w:val="none" w:sz="0" w:space="0" w:color="auto"/>
            <w:left w:val="none" w:sz="0" w:space="0" w:color="auto"/>
            <w:bottom w:val="none" w:sz="0" w:space="0" w:color="auto"/>
            <w:right w:val="none" w:sz="0" w:space="0" w:color="auto"/>
          </w:divBdr>
        </w:div>
        <w:div w:id="1621186042">
          <w:marLeft w:val="547"/>
          <w:marRight w:val="0"/>
          <w:marTop w:val="0"/>
          <w:marBottom w:val="0"/>
          <w:divBdr>
            <w:top w:val="none" w:sz="0" w:space="0" w:color="auto"/>
            <w:left w:val="none" w:sz="0" w:space="0" w:color="auto"/>
            <w:bottom w:val="none" w:sz="0" w:space="0" w:color="auto"/>
            <w:right w:val="none" w:sz="0" w:space="0" w:color="auto"/>
          </w:divBdr>
        </w:div>
        <w:div w:id="2039577301">
          <w:marLeft w:val="547"/>
          <w:marRight w:val="0"/>
          <w:marTop w:val="0"/>
          <w:marBottom w:val="0"/>
          <w:divBdr>
            <w:top w:val="none" w:sz="0" w:space="0" w:color="auto"/>
            <w:left w:val="none" w:sz="0" w:space="0" w:color="auto"/>
            <w:bottom w:val="none" w:sz="0" w:space="0" w:color="auto"/>
            <w:right w:val="none" w:sz="0" w:space="0" w:color="auto"/>
          </w:divBdr>
        </w:div>
        <w:div w:id="7590580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penepi.com/SampleSize/SSPropor.htm" TargetMode="External"/><Relationship Id="rId3" Type="http://schemas.openxmlformats.org/officeDocument/2006/relationships/styles" Target="styles.xml"/><Relationship Id="rId7" Type="http://schemas.openxmlformats.org/officeDocument/2006/relationships/footer" Target="footer1.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C1CE-5FA2-471C-B4CF-CE932AB2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50</Pages>
  <Words>25434</Words>
  <Characters>144978</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adliah jamil</dc:creator>
  <cp:keywords/>
  <dc:description/>
  <cp:lastModifiedBy>adliah jamil</cp:lastModifiedBy>
  <cp:revision>6</cp:revision>
  <dcterms:created xsi:type="dcterms:W3CDTF">2020-01-31T12:14:00Z</dcterms:created>
  <dcterms:modified xsi:type="dcterms:W3CDTF">2020-01-31T15:49:00Z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af6aadc2-8ce1-33a2-85a7-dc6506ebb634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