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60B" w:rsidRDefault="0025460B" w:rsidP="0025460B">
      <w:proofErr w:type="gramStart"/>
      <w:r>
        <w:rPr>
          <w:b/>
          <w:bCs/>
        </w:rPr>
        <w:t>TITLE :</w:t>
      </w:r>
      <w:proofErr w:type="gramEnd"/>
      <w:r>
        <w:rPr>
          <w:b/>
          <w:bCs/>
        </w:rPr>
        <w:t xml:space="preserve"> </w:t>
      </w:r>
      <w:r w:rsidRPr="0025460B">
        <w:rPr>
          <w:b/>
          <w:bCs/>
        </w:rPr>
        <w:t xml:space="preserve">Prevalence of </w:t>
      </w:r>
      <w:proofErr w:type="spellStart"/>
      <w:r w:rsidRPr="0025460B">
        <w:rPr>
          <w:b/>
          <w:bCs/>
        </w:rPr>
        <w:t>Vitreoretinal</w:t>
      </w:r>
      <w:proofErr w:type="spellEnd"/>
      <w:r w:rsidRPr="0025460B">
        <w:rPr>
          <w:b/>
          <w:bCs/>
        </w:rPr>
        <w:t xml:space="preserve"> Complications after </w:t>
      </w:r>
      <w:proofErr w:type="spellStart"/>
      <w:r w:rsidRPr="0025460B">
        <w:rPr>
          <w:b/>
          <w:bCs/>
        </w:rPr>
        <w:t>Intravitreal</w:t>
      </w:r>
      <w:proofErr w:type="spellEnd"/>
      <w:r w:rsidRPr="0025460B">
        <w:rPr>
          <w:b/>
          <w:bCs/>
        </w:rPr>
        <w:t xml:space="preserve"> injections in </w:t>
      </w:r>
    </w:p>
    <w:p w:rsidR="0025460B" w:rsidRDefault="0025460B" w:rsidP="0025460B">
      <w:pPr>
        <w:rPr>
          <w:b/>
          <w:bCs/>
        </w:rPr>
      </w:pPr>
      <w:r w:rsidRPr="0025460B">
        <w:rPr>
          <w:b/>
          <w:bCs/>
        </w:rPr>
        <w:t>Norfolk and Norwich University Hospital  </w:t>
      </w:r>
    </w:p>
    <w:p w:rsidR="0025460B" w:rsidRDefault="0025460B" w:rsidP="0025460B">
      <w:pPr>
        <w:rPr>
          <w:b/>
          <w:bCs/>
        </w:rPr>
      </w:pPr>
    </w:p>
    <w:p w:rsidR="0025460B" w:rsidRDefault="0025460B" w:rsidP="0025460B">
      <w:pPr>
        <w:rPr>
          <w:bCs/>
        </w:rPr>
      </w:pPr>
      <w:proofErr w:type="spellStart"/>
      <w:proofErr w:type="gramStart"/>
      <w:r>
        <w:rPr>
          <w:b/>
          <w:bCs/>
        </w:rPr>
        <w:t>Inroduction</w:t>
      </w:r>
      <w:proofErr w:type="spellEnd"/>
      <w:r>
        <w:rPr>
          <w:b/>
          <w:bCs/>
        </w:rPr>
        <w:t xml:space="preserve"> :</w:t>
      </w:r>
      <w:proofErr w:type="gramEnd"/>
      <w:r>
        <w:rPr>
          <w:bCs/>
        </w:rPr>
        <w:t xml:space="preserve"> </w:t>
      </w:r>
    </w:p>
    <w:p w:rsidR="008669A8" w:rsidRDefault="008669A8" w:rsidP="008669A8">
      <w:pPr>
        <w:rPr>
          <w:bCs/>
        </w:rPr>
      </w:pPr>
      <w:r>
        <w:rPr>
          <w:bCs/>
        </w:rPr>
        <w:t xml:space="preserve">An estimated 388,880 </w:t>
      </w:r>
      <w:proofErr w:type="spellStart"/>
      <w:r>
        <w:rPr>
          <w:bCs/>
        </w:rPr>
        <w:t>Intravitreal</w:t>
      </w:r>
      <w:proofErr w:type="spellEnd"/>
      <w:r>
        <w:rPr>
          <w:bCs/>
        </w:rPr>
        <w:t xml:space="preserve"> injections are given per year in </w:t>
      </w:r>
      <w:proofErr w:type="spellStart"/>
      <w:r>
        <w:rPr>
          <w:bCs/>
        </w:rPr>
        <w:t>theUK</w:t>
      </w:r>
      <w:proofErr w:type="spellEnd"/>
      <w:r>
        <w:rPr>
          <w:bCs/>
        </w:rPr>
        <w:t xml:space="preserve"> and around 5.9 million in the US making it easily the </w:t>
      </w:r>
      <w:proofErr w:type="spellStart"/>
      <w:r>
        <w:rPr>
          <w:bCs/>
        </w:rPr>
        <w:t>t</w:t>
      </w:r>
      <w:r w:rsidRPr="008669A8">
        <w:rPr>
          <w:bCs/>
        </w:rPr>
        <w:t>he</w:t>
      </w:r>
      <w:proofErr w:type="spellEnd"/>
      <w:r w:rsidRPr="008669A8">
        <w:rPr>
          <w:bCs/>
        </w:rPr>
        <w:t xml:space="preserve"> most common </w:t>
      </w:r>
      <w:r w:rsidRPr="008669A8">
        <w:rPr>
          <w:bCs/>
        </w:rPr>
        <w:t>intraocular procedure worldwide &amp; likely the most commonly p</w:t>
      </w:r>
      <w:r>
        <w:rPr>
          <w:bCs/>
        </w:rPr>
        <w:t xml:space="preserve">erformed surgical procedure in Modern </w:t>
      </w:r>
      <w:proofErr w:type="gramStart"/>
      <w:r>
        <w:rPr>
          <w:bCs/>
        </w:rPr>
        <w:t>M</w:t>
      </w:r>
      <w:r w:rsidRPr="008669A8">
        <w:rPr>
          <w:bCs/>
        </w:rPr>
        <w:t>edicine</w:t>
      </w:r>
      <w:r>
        <w:rPr>
          <w:bCs/>
        </w:rPr>
        <w:t xml:space="preserve"> .</w:t>
      </w:r>
      <w:proofErr w:type="gramEnd"/>
      <w:r w:rsidRPr="008669A8">
        <w:rPr>
          <w:bCs/>
        </w:rPr>
        <w:t xml:space="preserve"> </w:t>
      </w:r>
      <w:proofErr w:type="spellStart"/>
      <w:proofErr w:type="gramStart"/>
      <w:r w:rsidRPr="008669A8">
        <w:rPr>
          <w:bCs/>
        </w:rPr>
        <w:t>Intravitreal</w:t>
      </w:r>
      <w:proofErr w:type="spellEnd"/>
      <w:r w:rsidRPr="008669A8">
        <w:rPr>
          <w:bCs/>
        </w:rPr>
        <w:t xml:space="preserve">  injection</w:t>
      </w:r>
      <w:proofErr w:type="gramEnd"/>
      <w:r w:rsidRPr="008669A8">
        <w:rPr>
          <w:bCs/>
        </w:rPr>
        <w:t xml:space="preserve"> is a safe procedure and the rate of complication following  this procedure is quite low. Due to the fact it is such a widely practised procedure and a lot of patients receive consecutive injections this aspect needs to be studied in detail and also needs </w:t>
      </w:r>
      <w:proofErr w:type="gramStart"/>
      <w:r w:rsidRPr="008669A8">
        <w:rPr>
          <w:bCs/>
        </w:rPr>
        <w:t>repor</w:t>
      </w:r>
      <w:r>
        <w:rPr>
          <w:bCs/>
        </w:rPr>
        <w:t>t</w:t>
      </w:r>
      <w:r w:rsidRPr="008669A8">
        <w:rPr>
          <w:bCs/>
        </w:rPr>
        <w:t>ing  in</w:t>
      </w:r>
      <w:proofErr w:type="gramEnd"/>
      <w:r w:rsidRPr="008669A8">
        <w:rPr>
          <w:bCs/>
        </w:rPr>
        <w:t xml:space="preserve"> a large scale.</w:t>
      </w:r>
    </w:p>
    <w:p w:rsidR="008669A8" w:rsidRPr="008669A8" w:rsidRDefault="008669A8" w:rsidP="008669A8">
      <w:pPr>
        <w:rPr>
          <w:b/>
          <w:bCs/>
        </w:rPr>
      </w:pPr>
      <w:r w:rsidRPr="008669A8">
        <w:rPr>
          <w:b/>
          <w:bCs/>
        </w:rPr>
        <w:t xml:space="preserve">PURPOSE OF THE </w:t>
      </w:r>
      <w:proofErr w:type="gramStart"/>
      <w:r w:rsidRPr="008669A8">
        <w:rPr>
          <w:b/>
          <w:bCs/>
        </w:rPr>
        <w:t>STUDY</w:t>
      </w:r>
      <w:r>
        <w:rPr>
          <w:b/>
          <w:bCs/>
        </w:rPr>
        <w:t xml:space="preserve"> :</w:t>
      </w:r>
      <w:proofErr w:type="gramEnd"/>
    </w:p>
    <w:p w:rsidR="00000000" w:rsidRPr="008669A8" w:rsidRDefault="008669A8" w:rsidP="008669A8">
      <w:pPr>
        <w:numPr>
          <w:ilvl w:val="0"/>
          <w:numId w:val="9"/>
        </w:numPr>
        <w:rPr>
          <w:bCs/>
        </w:rPr>
      </w:pPr>
      <w:r w:rsidRPr="008669A8">
        <w:rPr>
          <w:bCs/>
        </w:rPr>
        <w:t>To Identify and study cases of retinal tears  and retinal detachment foll</w:t>
      </w:r>
      <w:r>
        <w:rPr>
          <w:bCs/>
        </w:rPr>
        <w:t xml:space="preserve">owing </w:t>
      </w:r>
      <w:proofErr w:type="spellStart"/>
      <w:r>
        <w:rPr>
          <w:bCs/>
        </w:rPr>
        <w:t>intravitreal</w:t>
      </w:r>
      <w:proofErr w:type="spellEnd"/>
      <w:r>
        <w:rPr>
          <w:bCs/>
        </w:rPr>
        <w:t xml:space="preserve"> treatment IVI</w:t>
      </w:r>
      <w:r w:rsidRPr="008669A8">
        <w:rPr>
          <w:bCs/>
        </w:rPr>
        <w:t xml:space="preserve"> (injections and implants)</w:t>
      </w:r>
    </w:p>
    <w:p w:rsidR="00000000" w:rsidRPr="008669A8" w:rsidRDefault="008669A8" w:rsidP="008669A8">
      <w:pPr>
        <w:numPr>
          <w:ilvl w:val="0"/>
          <w:numId w:val="9"/>
        </w:numPr>
        <w:rPr>
          <w:bCs/>
        </w:rPr>
      </w:pPr>
      <w:r w:rsidRPr="008669A8">
        <w:rPr>
          <w:bCs/>
        </w:rPr>
        <w:t xml:space="preserve">To Assess minimal </w:t>
      </w:r>
      <w:r w:rsidRPr="008669A8">
        <w:rPr>
          <w:bCs/>
        </w:rPr>
        <w:t>estimated risk compared to normal population</w:t>
      </w:r>
    </w:p>
    <w:p w:rsidR="0025460B" w:rsidRDefault="0025460B" w:rsidP="0025460B">
      <w:pPr>
        <w:rPr>
          <w:bCs/>
        </w:rPr>
      </w:pPr>
    </w:p>
    <w:p w:rsidR="0025460B" w:rsidRDefault="0025460B" w:rsidP="0025460B">
      <w:pPr>
        <w:rPr>
          <w:b/>
          <w:bCs/>
        </w:rPr>
      </w:pPr>
      <w:r w:rsidRPr="0025460B">
        <w:rPr>
          <w:b/>
          <w:bCs/>
        </w:rPr>
        <w:t>Materials</w:t>
      </w:r>
      <w:r w:rsidR="00D60986">
        <w:rPr>
          <w:b/>
          <w:bCs/>
        </w:rPr>
        <w:t xml:space="preserve"> </w:t>
      </w:r>
      <w:r w:rsidRPr="0025460B">
        <w:rPr>
          <w:b/>
          <w:bCs/>
        </w:rPr>
        <w:t>&amp;</w:t>
      </w:r>
      <w:r w:rsidR="00D60986">
        <w:rPr>
          <w:b/>
          <w:bCs/>
        </w:rPr>
        <w:t xml:space="preserve"> </w:t>
      </w:r>
      <w:proofErr w:type="gramStart"/>
      <w:r w:rsidRPr="0025460B">
        <w:rPr>
          <w:b/>
          <w:bCs/>
        </w:rPr>
        <w:t>Methods</w:t>
      </w:r>
      <w:r>
        <w:rPr>
          <w:b/>
          <w:bCs/>
        </w:rPr>
        <w:t xml:space="preserve"> :</w:t>
      </w:r>
      <w:proofErr w:type="gramEnd"/>
    </w:p>
    <w:p w:rsidR="0025460B" w:rsidRDefault="0025460B" w:rsidP="0025460B">
      <w:pPr>
        <w:numPr>
          <w:ilvl w:val="0"/>
          <w:numId w:val="1"/>
        </w:numPr>
        <w:rPr>
          <w:b/>
          <w:bCs/>
        </w:rPr>
      </w:pPr>
      <w:r w:rsidRPr="0025460B">
        <w:rPr>
          <w:b/>
          <w:bCs/>
        </w:rPr>
        <w:t xml:space="preserve">Design of the </w:t>
      </w:r>
      <w:proofErr w:type="gramStart"/>
      <w:r w:rsidRPr="0025460B">
        <w:rPr>
          <w:b/>
          <w:bCs/>
        </w:rPr>
        <w:t>study :</w:t>
      </w:r>
      <w:proofErr w:type="gramEnd"/>
      <w:r w:rsidRPr="0025460B">
        <w:rPr>
          <w:b/>
          <w:bCs/>
        </w:rPr>
        <w:t xml:space="preserve">  </w:t>
      </w:r>
      <w:r w:rsidRPr="0025460B">
        <w:rPr>
          <w:rFonts w:ascii="Arial" w:hAnsi="Arial" w:cs="Arial"/>
          <w:color w:val="000000"/>
          <w:sz w:val="21"/>
          <w:szCs w:val="21"/>
          <w:shd w:val="clear" w:color="auto" w:fill="FFFFFF"/>
        </w:rPr>
        <w:t>Single-</w:t>
      </w:r>
      <w:proofErr w:type="spellStart"/>
      <w:r w:rsidRPr="0025460B">
        <w:rPr>
          <w:rFonts w:ascii="Arial" w:hAnsi="Arial" w:cs="Arial"/>
          <w:color w:val="000000"/>
          <w:sz w:val="21"/>
          <w:szCs w:val="21"/>
          <w:shd w:val="clear" w:color="auto" w:fill="FFFFFF"/>
        </w:rPr>
        <w:t>center</w:t>
      </w:r>
      <w:proofErr w:type="spellEnd"/>
      <w:r w:rsidRPr="0025460B">
        <w:rPr>
          <w:rFonts w:ascii="Arial" w:hAnsi="Arial" w:cs="Arial"/>
          <w:color w:val="000000"/>
          <w:sz w:val="21"/>
          <w:szCs w:val="21"/>
          <w:shd w:val="clear" w:color="auto" w:fill="FFFFFF"/>
        </w:rPr>
        <w:t xml:space="preserve">, </w:t>
      </w:r>
      <w:r w:rsidR="00695C96" w:rsidRPr="0025460B">
        <w:rPr>
          <w:rFonts w:ascii="Arial" w:hAnsi="Arial" w:cs="Arial"/>
          <w:color w:val="000000"/>
          <w:sz w:val="21"/>
          <w:szCs w:val="21"/>
          <w:shd w:val="clear" w:color="auto" w:fill="FFFFFF"/>
        </w:rPr>
        <w:t xml:space="preserve">Retrospective review of prospectively collected data </w:t>
      </w:r>
      <w:r w:rsidRPr="0025460B">
        <w:rPr>
          <w:rFonts w:ascii="Arial" w:hAnsi="Arial" w:cs="Arial"/>
          <w:color w:val="000000"/>
          <w:sz w:val="21"/>
          <w:szCs w:val="21"/>
          <w:shd w:val="clear" w:color="auto" w:fill="FFFFFF"/>
        </w:rPr>
        <w:t>.</w:t>
      </w:r>
    </w:p>
    <w:p w:rsidR="00D60986" w:rsidRPr="00D60986" w:rsidRDefault="0025460B" w:rsidP="00D60986">
      <w:pPr>
        <w:numPr>
          <w:ilvl w:val="0"/>
          <w:numId w:val="1"/>
        </w:numPr>
      </w:pPr>
      <w:r w:rsidRPr="0025460B">
        <w:rPr>
          <w:b/>
          <w:bCs/>
        </w:rPr>
        <w:t xml:space="preserve">Methodology </w:t>
      </w:r>
      <w:r>
        <w:rPr>
          <w:b/>
          <w:bCs/>
        </w:rPr>
        <w:t xml:space="preserve">: </w:t>
      </w:r>
    </w:p>
    <w:p w:rsidR="00695C96" w:rsidRPr="00695C96" w:rsidRDefault="0025460B" w:rsidP="008669A8">
      <w:pPr>
        <w:ind w:left="720"/>
        <w:rPr>
          <w:rFonts w:cstheme="minorHAnsi"/>
        </w:rPr>
      </w:pPr>
      <w:r w:rsidRPr="008D3319">
        <w:rPr>
          <w:rFonts w:cstheme="minorHAnsi"/>
          <w:bCs/>
        </w:rPr>
        <w:t xml:space="preserve">All patients who had received </w:t>
      </w:r>
      <w:proofErr w:type="spellStart"/>
      <w:r w:rsidRPr="008D3319">
        <w:rPr>
          <w:rFonts w:cstheme="minorHAnsi"/>
          <w:bCs/>
        </w:rPr>
        <w:t>intravitreal</w:t>
      </w:r>
      <w:proofErr w:type="spellEnd"/>
      <w:r w:rsidRPr="008D3319">
        <w:rPr>
          <w:rFonts w:cstheme="minorHAnsi"/>
          <w:bCs/>
        </w:rPr>
        <w:t xml:space="preserve"> injections from January 1</w:t>
      </w:r>
      <w:r w:rsidRPr="008D3319">
        <w:rPr>
          <w:rFonts w:cstheme="minorHAnsi"/>
          <w:bCs/>
          <w:vertAlign w:val="superscript"/>
        </w:rPr>
        <w:t>st</w:t>
      </w:r>
      <w:r w:rsidRPr="008D3319">
        <w:rPr>
          <w:rFonts w:cstheme="minorHAnsi"/>
          <w:bCs/>
        </w:rPr>
        <w:t xml:space="preserve"> 2010 till September 1</w:t>
      </w:r>
      <w:r w:rsidRPr="008D3319">
        <w:rPr>
          <w:rFonts w:cstheme="minorHAnsi"/>
          <w:bCs/>
          <w:vertAlign w:val="superscript"/>
        </w:rPr>
        <w:t>st</w:t>
      </w:r>
      <w:r w:rsidR="00D60986" w:rsidRPr="008D3319">
        <w:rPr>
          <w:rFonts w:cstheme="minorHAnsi"/>
          <w:bCs/>
        </w:rPr>
        <w:t xml:space="preserve">2019 in Norfolk and Norwich Hospital were </w:t>
      </w:r>
      <w:proofErr w:type="gramStart"/>
      <w:r w:rsidR="00D60986" w:rsidRPr="008D3319">
        <w:rPr>
          <w:rFonts w:cstheme="minorHAnsi"/>
          <w:bCs/>
        </w:rPr>
        <w:t>evaluated  using</w:t>
      </w:r>
      <w:proofErr w:type="gramEnd"/>
      <w:r w:rsidR="00D60986" w:rsidRPr="008D3319">
        <w:rPr>
          <w:rFonts w:cstheme="minorHAnsi"/>
          <w:bCs/>
        </w:rPr>
        <w:t xml:space="preserve"> </w:t>
      </w:r>
      <w:proofErr w:type="spellStart"/>
      <w:r w:rsidR="00D60986" w:rsidRPr="008D3319">
        <w:rPr>
          <w:rFonts w:cstheme="minorHAnsi"/>
          <w:bCs/>
        </w:rPr>
        <w:t>medisoft</w:t>
      </w:r>
      <w:proofErr w:type="spellEnd"/>
      <w:r w:rsidR="00D60986" w:rsidRPr="008D3319">
        <w:rPr>
          <w:rFonts w:cstheme="minorHAnsi"/>
          <w:bCs/>
        </w:rPr>
        <w:t xml:space="preserve"> .</w:t>
      </w:r>
    </w:p>
    <w:p w:rsidR="00695C96" w:rsidRPr="00695C96" w:rsidRDefault="00695C96" w:rsidP="008669A8">
      <w:pPr>
        <w:ind w:left="720"/>
        <w:rPr>
          <w:rFonts w:cstheme="minorHAnsi"/>
        </w:rPr>
      </w:pPr>
      <w:r w:rsidRPr="008D3319">
        <w:rPr>
          <w:rFonts w:cstheme="minorHAnsi"/>
          <w:color w:val="000000"/>
        </w:rPr>
        <w:t xml:space="preserve">All patients </w:t>
      </w:r>
      <w:proofErr w:type="gramStart"/>
      <w:r w:rsidRPr="008D3319">
        <w:rPr>
          <w:rFonts w:cstheme="minorHAnsi"/>
          <w:color w:val="000000"/>
        </w:rPr>
        <w:t xml:space="preserve">had  </w:t>
      </w:r>
      <w:r>
        <w:rPr>
          <w:rFonts w:cstheme="minorHAnsi"/>
          <w:color w:val="000000"/>
        </w:rPr>
        <w:t>been</w:t>
      </w:r>
      <w:proofErr w:type="gramEnd"/>
      <w:r>
        <w:rPr>
          <w:rFonts w:cstheme="minorHAnsi"/>
          <w:color w:val="000000"/>
        </w:rPr>
        <w:t xml:space="preserve"> </w:t>
      </w:r>
      <w:r w:rsidRPr="008D3319">
        <w:rPr>
          <w:rFonts w:cstheme="minorHAnsi"/>
          <w:color w:val="000000"/>
        </w:rPr>
        <w:t xml:space="preserve">provided </w:t>
      </w:r>
      <w:r>
        <w:rPr>
          <w:rFonts w:cstheme="minorHAnsi"/>
          <w:color w:val="000000"/>
        </w:rPr>
        <w:t xml:space="preserve">with </w:t>
      </w:r>
      <w:r w:rsidRPr="008D3319">
        <w:rPr>
          <w:rFonts w:cstheme="minorHAnsi"/>
          <w:color w:val="000000"/>
        </w:rPr>
        <w:t>informed consent before each injection.</w:t>
      </w:r>
      <w:r>
        <w:rPr>
          <w:rFonts w:cstheme="minorHAnsi"/>
          <w:color w:val="000000"/>
        </w:rPr>
        <w:t xml:space="preserve"> </w:t>
      </w:r>
      <w:r w:rsidRPr="008D3319">
        <w:rPr>
          <w:rFonts w:cstheme="minorHAnsi"/>
          <w:color w:val="000000"/>
        </w:rPr>
        <w:t xml:space="preserve">All injections were performed in a sterile environment with the patient in a supine position. The </w:t>
      </w:r>
      <w:proofErr w:type="spellStart"/>
      <w:r w:rsidRPr="008D3319">
        <w:rPr>
          <w:rFonts w:cstheme="minorHAnsi"/>
          <w:color w:val="000000"/>
        </w:rPr>
        <w:t>Periocular</w:t>
      </w:r>
      <w:proofErr w:type="spellEnd"/>
      <w:r w:rsidRPr="008D3319">
        <w:rPr>
          <w:rFonts w:cstheme="minorHAnsi"/>
          <w:color w:val="000000"/>
        </w:rPr>
        <w:t xml:space="preserve"> skin and e</w:t>
      </w:r>
      <w:r>
        <w:rPr>
          <w:rFonts w:cstheme="minorHAnsi"/>
          <w:color w:val="000000"/>
        </w:rPr>
        <w:t>yelids were cleaned</w:t>
      </w:r>
      <w:r w:rsidRPr="008D3319">
        <w:rPr>
          <w:rFonts w:cstheme="minorHAnsi"/>
          <w:color w:val="000000"/>
        </w:rPr>
        <w:t xml:space="preserve"> with topical </w:t>
      </w:r>
      <w:proofErr w:type="spellStart"/>
      <w:r w:rsidRPr="008D3319">
        <w:rPr>
          <w:rFonts w:cstheme="minorHAnsi"/>
          <w:color w:val="000000"/>
        </w:rPr>
        <w:t>povidone</w:t>
      </w:r>
      <w:proofErr w:type="spellEnd"/>
      <w:r w:rsidRPr="008D3319">
        <w:rPr>
          <w:rFonts w:cstheme="minorHAnsi"/>
          <w:color w:val="000000"/>
        </w:rPr>
        <w:t xml:space="preserve">-iodine 5 % before each injection. After topical </w:t>
      </w:r>
      <w:proofErr w:type="spellStart"/>
      <w:r w:rsidRPr="008D3319">
        <w:rPr>
          <w:rFonts w:cstheme="minorHAnsi"/>
          <w:color w:val="000000"/>
        </w:rPr>
        <w:t>anesthesia</w:t>
      </w:r>
      <w:proofErr w:type="spellEnd"/>
      <w:r w:rsidRPr="008D3319">
        <w:rPr>
          <w:rFonts w:cstheme="minorHAnsi"/>
          <w:color w:val="000000"/>
        </w:rPr>
        <w:t xml:space="preserve"> with topical </w:t>
      </w:r>
      <w:proofErr w:type="spellStart"/>
      <w:r w:rsidRPr="008D3319">
        <w:rPr>
          <w:rFonts w:cstheme="minorHAnsi"/>
          <w:color w:val="000000"/>
        </w:rPr>
        <w:t>povidone</w:t>
      </w:r>
      <w:proofErr w:type="spellEnd"/>
      <w:r w:rsidRPr="008D3319">
        <w:rPr>
          <w:rFonts w:cstheme="minorHAnsi"/>
          <w:color w:val="000000"/>
        </w:rPr>
        <w:t xml:space="preserve"> iodine was instilled into the cul-de-sac 2 minutes prior to injection. An eyelid speculum was used in each injection. The injections were performed through the </w:t>
      </w:r>
      <w:proofErr w:type="spellStart"/>
      <w:r w:rsidRPr="008D3319">
        <w:rPr>
          <w:rFonts w:cstheme="minorHAnsi"/>
          <w:color w:val="000000"/>
        </w:rPr>
        <w:t>inferonasal</w:t>
      </w:r>
      <w:proofErr w:type="spellEnd"/>
      <w:r w:rsidRPr="008D3319">
        <w:rPr>
          <w:rFonts w:cstheme="minorHAnsi"/>
          <w:color w:val="000000"/>
        </w:rPr>
        <w:t xml:space="preserve"> quadrant, either 3.5 or 4 mm posterior to the </w:t>
      </w:r>
      <w:proofErr w:type="spellStart"/>
      <w:r w:rsidRPr="008D3319">
        <w:rPr>
          <w:rFonts w:cstheme="minorHAnsi"/>
          <w:color w:val="000000"/>
        </w:rPr>
        <w:t>limbus</w:t>
      </w:r>
      <w:proofErr w:type="spellEnd"/>
      <w:r w:rsidRPr="008D3319">
        <w:rPr>
          <w:rFonts w:cstheme="minorHAnsi"/>
          <w:color w:val="000000"/>
        </w:rPr>
        <w:t xml:space="preserve"> for </w:t>
      </w:r>
      <w:proofErr w:type="spellStart"/>
      <w:r w:rsidRPr="008D3319">
        <w:rPr>
          <w:rFonts w:cstheme="minorHAnsi"/>
          <w:color w:val="000000"/>
        </w:rPr>
        <w:t>pseudophakic</w:t>
      </w:r>
      <w:proofErr w:type="spellEnd"/>
      <w:r w:rsidRPr="008D3319">
        <w:rPr>
          <w:rFonts w:cstheme="minorHAnsi"/>
          <w:color w:val="000000"/>
        </w:rPr>
        <w:t xml:space="preserve"> and </w:t>
      </w:r>
      <w:proofErr w:type="spellStart"/>
      <w:r w:rsidRPr="008D3319">
        <w:rPr>
          <w:rFonts w:cstheme="minorHAnsi"/>
          <w:color w:val="000000"/>
        </w:rPr>
        <w:t>phakic</w:t>
      </w:r>
      <w:proofErr w:type="spellEnd"/>
      <w:r w:rsidRPr="008D3319">
        <w:rPr>
          <w:rFonts w:cstheme="minorHAnsi"/>
          <w:color w:val="000000"/>
        </w:rPr>
        <w:t xml:space="preserve"> individuals, respectively. 30-gauge needle was used </w:t>
      </w:r>
      <w:proofErr w:type="gramStart"/>
      <w:r w:rsidRPr="008D3319">
        <w:rPr>
          <w:rFonts w:cstheme="minorHAnsi"/>
          <w:color w:val="000000"/>
        </w:rPr>
        <w:t>for</w:t>
      </w:r>
      <w:proofErr w:type="gramEnd"/>
      <w:r w:rsidRPr="008D3319">
        <w:rPr>
          <w:rFonts w:cstheme="minorHAnsi"/>
          <w:color w:val="000000"/>
        </w:rPr>
        <w:t xml:space="preserve"> all injections</w:t>
      </w:r>
    </w:p>
    <w:p w:rsidR="00695C96" w:rsidRDefault="00D60986" w:rsidP="008669A8">
      <w:pPr>
        <w:ind w:left="720"/>
        <w:rPr>
          <w:rFonts w:cstheme="minorHAnsi"/>
        </w:rPr>
      </w:pPr>
      <w:r w:rsidRPr="008D3319">
        <w:rPr>
          <w:rFonts w:cstheme="minorHAnsi"/>
          <w:bCs/>
        </w:rPr>
        <w:t>The</w:t>
      </w:r>
      <w:r w:rsidRPr="008D3319">
        <w:rPr>
          <w:rFonts w:cstheme="minorHAnsi"/>
          <w:b/>
          <w:bCs/>
        </w:rPr>
        <w:t xml:space="preserve"> </w:t>
      </w:r>
      <w:r w:rsidR="00695C96" w:rsidRPr="008D3319">
        <w:rPr>
          <w:rFonts w:cstheme="minorHAnsi"/>
        </w:rPr>
        <w:t xml:space="preserve">Patients who received </w:t>
      </w:r>
      <w:proofErr w:type="spellStart"/>
      <w:r w:rsidR="00695C96" w:rsidRPr="008D3319">
        <w:rPr>
          <w:rFonts w:cstheme="minorHAnsi"/>
        </w:rPr>
        <w:t>intravitreal</w:t>
      </w:r>
      <w:proofErr w:type="spellEnd"/>
      <w:r w:rsidR="00695C96" w:rsidRPr="008D3319">
        <w:rPr>
          <w:rFonts w:cstheme="minorHAnsi"/>
        </w:rPr>
        <w:t xml:space="preserve"> injection of any ocular drug or implant and presented with </w:t>
      </w:r>
      <w:r w:rsidRPr="008D3319">
        <w:rPr>
          <w:rFonts w:cstheme="minorHAnsi"/>
        </w:rPr>
        <w:t xml:space="preserve">retinal tear or retinal </w:t>
      </w:r>
      <w:proofErr w:type="gramStart"/>
      <w:r w:rsidRPr="008D3319">
        <w:rPr>
          <w:rFonts w:cstheme="minorHAnsi"/>
        </w:rPr>
        <w:t xml:space="preserve">detachment </w:t>
      </w:r>
      <w:r w:rsidR="00695C96" w:rsidRPr="008D3319">
        <w:rPr>
          <w:rFonts w:cstheme="minorHAnsi"/>
        </w:rPr>
        <w:t xml:space="preserve"> within</w:t>
      </w:r>
      <w:proofErr w:type="gramEnd"/>
      <w:r w:rsidR="00695C96" w:rsidRPr="008D3319">
        <w:rPr>
          <w:rFonts w:cstheme="minorHAnsi"/>
        </w:rPr>
        <w:t xml:space="preserve"> 6 months of receiving the injection or a year after a implant</w:t>
      </w:r>
      <w:r w:rsidRPr="008D3319">
        <w:rPr>
          <w:rFonts w:cstheme="minorHAnsi"/>
        </w:rPr>
        <w:t xml:space="preserve"> were included in the study.</w:t>
      </w:r>
      <w:r w:rsidR="005E041E" w:rsidRPr="008D3319">
        <w:rPr>
          <w:rFonts w:cstheme="minorHAnsi"/>
        </w:rPr>
        <w:t xml:space="preserve"> </w:t>
      </w:r>
      <w:r w:rsidRPr="008D3319">
        <w:rPr>
          <w:rFonts w:cstheme="minorHAnsi"/>
          <w:bCs/>
        </w:rPr>
        <w:t>The patients</w:t>
      </w:r>
      <w:r w:rsidRPr="008D3319">
        <w:rPr>
          <w:rFonts w:cstheme="minorHAnsi"/>
        </w:rPr>
        <w:t xml:space="preserve"> who had developed retinal tears or detachment due to other reasons like </w:t>
      </w:r>
      <w:proofErr w:type="spellStart"/>
      <w:r w:rsidR="00695C96" w:rsidRPr="008D3319">
        <w:rPr>
          <w:rFonts w:cstheme="minorHAnsi"/>
        </w:rPr>
        <w:t>Tractional</w:t>
      </w:r>
      <w:proofErr w:type="spellEnd"/>
      <w:r w:rsidR="00695C96" w:rsidRPr="008D3319">
        <w:rPr>
          <w:rFonts w:cstheme="minorHAnsi"/>
        </w:rPr>
        <w:t xml:space="preserve"> retinal detachment </w:t>
      </w:r>
      <w:r w:rsidR="008D3319">
        <w:rPr>
          <w:rFonts w:cstheme="minorHAnsi"/>
        </w:rPr>
        <w:t xml:space="preserve">due to diabetic retinopathy </w:t>
      </w:r>
      <w:r w:rsidRPr="008D3319">
        <w:rPr>
          <w:rFonts w:cstheme="minorHAnsi"/>
        </w:rPr>
        <w:t xml:space="preserve">were excluded from the study and also the patients who presented </w:t>
      </w:r>
      <w:r w:rsidR="00695C96" w:rsidRPr="008D3319">
        <w:rPr>
          <w:rFonts w:cstheme="minorHAnsi"/>
        </w:rPr>
        <w:t xml:space="preserve">more than 6 months after last IVT injection </w:t>
      </w:r>
      <w:r w:rsidRPr="008D3319">
        <w:rPr>
          <w:rFonts w:cstheme="minorHAnsi"/>
        </w:rPr>
        <w:t xml:space="preserve">or a year after receiving the implant. </w:t>
      </w:r>
    </w:p>
    <w:p w:rsidR="00695C96" w:rsidRPr="008669A8" w:rsidRDefault="00D60986" w:rsidP="008669A8">
      <w:pPr>
        <w:ind w:left="720"/>
        <w:rPr>
          <w:rFonts w:cstheme="minorHAnsi"/>
        </w:rPr>
      </w:pPr>
      <w:r w:rsidRPr="008D3319">
        <w:rPr>
          <w:rFonts w:cstheme="minorHAnsi"/>
        </w:rPr>
        <w:lastRenderedPageBreak/>
        <w:t xml:space="preserve">The following data was collected for each </w:t>
      </w:r>
      <w:proofErr w:type="gramStart"/>
      <w:r w:rsidRPr="008D3319">
        <w:rPr>
          <w:rFonts w:cstheme="minorHAnsi"/>
        </w:rPr>
        <w:t>patient :</w:t>
      </w:r>
      <w:proofErr w:type="gramEnd"/>
      <w:r w:rsidR="008D3319" w:rsidRPr="008D3319">
        <w:rPr>
          <w:rFonts w:cstheme="minorHAnsi"/>
        </w:rPr>
        <w:t xml:space="preserve"> </w:t>
      </w:r>
      <w:r w:rsidRPr="008D3319">
        <w:rPr>
          <w:rFonts w:cstheme="minorHAnsi"/>
        </w:rPr>
        <w:t>Age , gender, underlying retinal disease</w:t>
      </w:r>
      <w:r w:rsidR="00695C96">
        <w:rPr>
          <w:rFonts w:cstheme="minorHAnsi"/>
        </w:rPr>
        <w:t xml:space="preserve">, number </w:t>
      </w:r>
      <w:r w:rsidRPr="008D3319">
        <w:rPr>
          <w:rFonts w:cstheme="minorHAnsi"/>
        </w:rPr>
        <w:t xml:space="preserve"> of Injections re</w:t>
      </w:r>
      <w:r w:rsidR="005E041E" w:rsidRPr="008D3319">
        <w:rPr>
          <w:rFonts w:cstheme="minorHAnsi"/>
        </w:rPr>
        <w:t>ceived prior to the complication and the drug or implant received</w:t>
      </w:r>
      <w:r w:rsidR="008D3319">
        <w:rPr>
          <w:rFonts w:cstheme="minorHAnsi"/>
        </w:rPr>
        <w:t xml:space="preserve"> and the complication they had after the procedure.</w:t>
      </w:r>
    </w:p>
    <w:p w:rsidR="008D3319" w:rsidRPr="008D3319" w:rsidRDefault="008D3319" w:rsidP="00695C96">
      <w:pPr>
        <w:pStyle w:val="NormalWeb"/>
        <w:shd w:val="clear" w:color="auto" w:fill="FFFFFF"/>
        <w:spacing w:before="166" w:beforeAutospacing="0" w:after="166" w:afterAutospacing="0" w:line="276" w:lineRule="auto"/>
        <w:ind w:left="720"/>
        <w:jc w:val="both"/>
        <w:rPr>
          <w:rFonts w:asciiTheme="minorHAnsi" w:hAnsiTheme="minorHAnsi" w:cstheme="minorHAnsi"/>
          <w:color w:val="000000"/>
          <w:sz w:val="22"/>
          <w:szCs w:val="22"/>
        </w:rPr>
      </w:pPr>
      <w:r w:rsidRPr="008D3319">
        <w:rPr>
          <w:rFonts w:asciiTheme="minorHAnsi" w:hAnsiTheme="minorHAnsi" w:cstheme="minorHAnsi"/>
          <w:color w:val="000000"/>
          <w:sz w:val="22"/>
          <w:szCs w:val="22"/>
        </w:rPr>
        <w:t>.</w:t>
      </w:r>
    </w:p>
    <w:p w:rsidR="008D3319" w:rsidRDefault="00695C96" w:rsidP="008D3319">
      <w:pPr>
        <w:ind w:left="360"/>
        <w:rPr>
          <w:rFonts w:cstheme="minorHAnsi"/>
          <w:b/>
        </w:rPr>
      </w:pPr>
      <w:proofErr w:type="gramStart"/>
      <w:r w:rsidRPr="00695C96">
        <w:rPr>
          <w:rFonts w:cstheme="minorHAnsi"/>
          <w:b/>
        </w:rPr>
        <w:t>RESULTS :</w:t>
      </w:r>
      <w:proofErr w:type="gramEnd"/>
    </w:p>
    <w:p w:rsidR="00695C96" w:rsidRDefault="00695C96" w:rsidP="00695C96">
      <w:pPr>
        <w:numPr>
          <w:ilvl w:val="0"/>
          <w:numId w:val="4"/>
        </w:numPr>
        <w:rPr>
          <w:rFonts w:cstheme="minorHAnsi"/>
        </w:rPr>
      </w:pPr>
      <w:r>
        <w:rPr>
          <w:rFonts w:cstheme="minorHAnsi"/>
        </w:rPr>
        <w:t xml:space="preserve">In our study a total of </w:t>
      </w:r>
      <w:r w:rsidRPr="00695C96">
        <w:rPr>
          <w:rFonts w:cstheme="minorHAnsi"/>
        </w:rPr>
        <w:t>6835 eyes</w:t>
      </w:r>
      <w:r>
        <w:rPr>
          <w:rFonts w:cstheme="minorHAnsi"/>
        </w:rPr>
        <w:t xml:space="preserve"> of 5453 patient were injected , the t</w:t>
      </w:r>
      <w:r w:rsidRPr="00695C96">
        <w:rPr>
          <w:rFonts w:cstheme="minorHAnsi"/>
        </w:rPr>
        <w:t>otal</w:t>
      </w:r>
      <w:r>
        <w:rPr>
          <w:rFonts w:cstheme="minorHAnsi"/>
        </w:rPr>
        <w:t xml:space="preserve"> number of  injections were  </w:t>
      </w:r>
      <w:r w:rsidRPr="00695C96">
        <w:rPr>
          <w:rFonts w:cstheme="minorHAnsi"/>
        </w:rPr>
        <w:t>62,532</w:t>
      </w:r>
      <w:r>
        <w:rPr>
          <w:rFonts w:cstheme="minorHAnsi"/>
        </w:rPr>
        <w:t xml:space="preserve"> .The Average age of patients was</w:t>
      </w:r>
      <w:r w:rsidRPr="00695C96">
        <w:rPr>
          <w:rFonts w:cstheme="minorHAnsi"/>
        </w:rPr>
        <w:t xml:space="preserve"> 66 +/- 14.27 (Range 19-100)</w:t>
      </w:r>
      <w:r>
        <w:rPr>
          <w:rFonts w:cstheme="minorHAnsi"/>
        </w:rPr>
        <w:t xml:space="preserve"> .T</w:t>
      </w:r>
      <w:r w:rsidRPr="00695C96">
        <w:rPr>
          <w:rFonts w:cstheme="minorHAnsi"/>
        </w:rPr>
        <w:t>he number  of injections per patient prior to the complication was 9.76+/-2.20 .The mean Time interval between the injection and the complication in days was 51.25 ±12.74 .</w:t>
      </w:r>
    </w:p>
    <w:p w:rsidR="00695C96" w:rsidRPr="00695C96" w:rsidRDefault="00695C96" w:rsidP="00695C96">
      <w:pPr>
        <w:numPr>
          <w:ilvl w:val="0"/>
          <w:numId w:val="4"/>
        </w:numPr>
        <w:rPr>
          <w:rFonts w:cstheme="minorHAnsi"/>
        </w:rPr>
      </w:pPr>
      <w:r>
        <w:rPr>
          <w:rFonts w:cstheme="minorHAnsi"/>
        </w:rPr>
        <w:t xml:space="preserve">The number of complications recorded were </w:t>
      </w:r>
      <w:r w:rsidRPr="00695C96">
        <w:rPr>
          <w:rFonts w:cstheme="minorHAnsi"/>
        </w:rPr>
        <w:t xml:space="preserve">8 </w:t>
      </w:r>
      <w:r>
        <w:rPr>
          <w:rFonts w:cstheme="minorHAnsi"/>
        </w:rPr>
        <w:t xml:space="preserve">patients had retinal detachments </w:t>
      </w:r>
      <w:r w:rsidRPr="00695C96">
        <w:rPr>
          <w:rFonts w:cstheme="minorHAnsi"/>
        </w:rPr>
        <w:t xml:space="preserve">, 1 had </w:t>
      </w:r>
      <w:r>
        <w:rPr>
          <w:rFonts w:cstheme="minorHAnsi"/>
        </w:rPr>
        <w:t xml:space="preserve">a </w:t>
      </w:r>
      <w:r w:rsidRPr="00695C96">
        <w:rPr>
          <w:rFonts w:cstheme="minorHAnsi"/>
        </w:rPr>
        <w:t>retinal tear and 21 patients had sub macular haemorrhage (SMH)</w:t>
      </w:r>
    </w:p>
    <w:p w:rsidR="00695C96" w:rsidRPr="00695C96" w:rsidRDefault="00695C96" w:rsidP="00695C96">
      <w:pPr>
        <w:ind w:left="360"/>
        <w:rPr>
          <w:rFonts w:cstheme="minorHAnsi"/>
        </w:rPr>
      </w:pPr>
    </w:p>
    <w:p w:rsidR="00695C96" w:rsidRPr="00695C96" w:rsidRDefault="00695C96" w:rsidP="00695C96">
      <w:pPr>
        <w:rPr>
          <w:rFonts w:cstheme="minorHAnsi"/>
          <w:b/>
        </w:rPr>
      </w:pPr>
      <w:r w:rsidRPr="00695C96">
        <w:rPr>
          <w:rFonts w:cstheme="minorHAnsi"/>
          <w:b/>
        </w:rPr>
        <w:t xml:space="preserve">FIG </w:t>
      </w:r>
      <w:proofErr w:type="gramStart"/>
      <w:r w:rsidRPr="00695C96">
        <w:rPr>
          <w:rFonts w:cstheme="minorHAnsi"/>
          <w:b/>
        </w:rPr>
        <w:t>1</w:t>
      </w:r>
      <w:r>
        <w:rPr>
          <w:rFonts w:cstheme="minorHAnsi"/>
          <w:b/>
        </w:rPr>
        <w:t xml:space="preserve"> :</w:t>
      </w:r>
      <w:proofErr w:type="gramEnd"/>
      <w:r>
        <w:rPr>
          <w:rFonts w:cstheme="minorHAnsi"/>
          <w:b/>
        </w:rPr>
        <w:t xml:space="preserve"> Indications of Injections who had a retinal </w:t>
      </w:r>
      <w:proofErr w:type="spellStart"/>
      <w:r>
        <w:rPr>
          <w:rFonts w:cstheme="minorHAnsi"/>
          <w:b/>
        </w:rPr>
        <w:t>detachement</w:t>
      </w:r>
      <w:proofErr w:type="spellEnd"/>
      <w:r>
        <w:rPr>
          <w:rFonts w:cstheme="minorHAnsi"/>
          <w:b/>
        </w:rPr>
        <w:t xml:space="preserve"> /tear after injection</w:t>
      </w:r>
    </w:p>
    <w:p w:rsidR="00695C96" w:rsidRPr="008669A8" w:rsidRDefault="008669A8" w:rsidP="008D3319">
      <w:pPr>
        <w:ind w:left="360"/>
        <w:rPr>
          <w:rFonts w:cstheme="minorHAnsi"/>
        </w:rPr>
      </w:pPr>
      <w:r w:rsidRPr="008669A8">
        <w:rPr>
          <w:rFonts w:cstheme="minorHAnsi"/>
        </w:rPr>
        <w:t>AMD was the most common Indication in our study</w:t>
      </w:r>
    </w:p>
    <w:p w:rsidR="008669A8" w:rsidRDefault="008669A8" w:rsidP="008D3319">
      <w:pPr>
        <w:ind w:left="360"/>
        <w:rPr>
          <w:rFonts w:cstheme="minorHAnsi"/>
          <w:b/>
        </w:rPr>
      </w:pPr>
      <w:r w:rsidRPr="008669A8">
        <w:rPr>
          <w:rFonts w:cstheme="minorHAnsi"/>
          <w:b/>
        </w:rPr>
        <w:drawing>
          <wp:inline distT="0" distB="0" distL="0" distR="0">
            <wp:extent cx="4962525" cy="3171825"/>
            <wp:effectExtent l="19050" t="0" r="9525" b="0"/>
            <wp:docPr id="4" name="Picture 2"/>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4972066" cy="3177923"/>
                    </a:xfrm>
                    <a:prstGeom prst="rect">
                      <a:avLst/>
                    </a:prstGeom>
                  </pic:spPr>
                </pic:pic>
              </a:graphicData>
            </a:graphic>
          </wp:inline>
        </w:drawing>
      </w: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r>
        <w:rPr>
          <w:rFonts w:cstheme="minorHAnsi"/>
          <w:b/>
        </w:rPr>
        <w:t>FIG 2: Number of cases of Retinal detachment /Tear per year</w:t>
      </w:r>
    </w:p>
    <w:p w:rsidR="008669A8" w:rsidRDefault="008669A8" w:rsidP="008D3319">
      <w:pPr>
        <w:ind w:left="360"/>
        <w:rPr>
          <w:rFonts w:cstheme="minorHAnsi"/>
          <w:b/>
        </w:rPr>
      </w:pPr>
    </w:p>
    <w:p w:rsidR="00695C96" w:rsidRDefault="00695C96" w:rsidP="008D3319">
      <w:pPr>
        <w:ind w:left="360"/>
        <w:rPr>
          <w:rFonts w:cstheme="minorHAnsi"/>
          <w:b/>
        </w:rPr>
      </w:pPr>
      <w:r w:rsidRPr="00695C96">
        <w:rPr>
          <w:rFonts w:cstheme="minorHAnsi"/>
          <w:b/>
        </w:rPr>
        <w:drawing>
          <wp:inline distT="0" distB="0" distL="0" distR="0">
            <wp:extent cx="5266383" cy="4180114"/>
            <wp:effectExtent l="19050" t="0" r="0" b="0"/>
            <wp:docPr id="2" name="Picture 2" descr="20191014032525.jpg"/>
            <wp:cNvGraphicFramePr/>
            <a:graphic xmlns:a="http://schemas.openxmlformats.org/drawingml/2006/main">
              <a:graphicData uri="http://schemas.openxmlformats.org/drawingml/2006/picture">
                <pic:pic xmlns:pic="http://schemas.openxmlformats.org/drawingml/2006/picture">
                  <pic:nvPicPr>
                    <pic:cNvPr id="5" name="Content Placeholder 4" descr="20191014032525.jpg"/>
                    <pic:cNvPicPr>
                      <a:picLocks noChangeAspect="1"/>
                    </pic:cNvPicPr>
                  </pic:nvPicPr>
                  <pic:blipFill>
                    <a:blip r:embed="rId6" cstate="print"/>
                    <a:stretch>
                      <a:fillRect/>
                    </a:stretch>
                  </pic:blipFill>
                  <pic:spPr>
                    <a:xfrm>
                      <a:off x="0" y="0"/>
                      <a:ext cx="5263853" cy="4178106"/>
                    </a:xfrm>
                    <a:prstGeom prst="rect">
                      <a:avLst/>
                    </a:prstGeom>
                  </pic:spPr>
                </pic:pic>
              </a:graphicData>
            </a:graphic>
          </wp:inline>
        </w:drawing>
      </w: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r>
        <w:rPr>
          <w:rFonts w:cstheme="minorHAnsi"/>
          <w:b/>
        </w:rPr>
        <w:t xml:space="preserve">Table </w:t>
      </w:r>
      <w:proofErr w:type="gramStart"/>
      <w:r>
        <w:rPr>
          <w:rFonts w:cstheme="minorHAnsi"/>
          <w:b/>
        </w:rPr>
        <w:t>1 :</w:t>
      </w:r>
      <w:proofErr w:type="gramEnd"/>
      <w:r>
        <w:rPr>
          <w:rFonts w:cstheme="minorHAnsi"/>
          <w:b/>
        </w:rPr>
        <w:t xml:space="preserve"> Mean number of injections per  eye with respect to different medications</w:t>
      </w:r>
    </w:p>
    <w:tbl>
      <w:tblPr>
        <w:tblW w:w="8448" w:type="dxa"/>
        <w:tblCellMar>
          <w:left w:w="0" w:type="dxa"/>
          <w:right w:w="0" w:type="dxa"/>
        </w:tblCellMar>
        <w:tblLook w:val="04A0"/>
      </w:tblPr>
      <w:tblGrid>
        <w:gridCol w:w="1534"/>
        <w:gridCol w:w="2046"/>
        <w:gridCol w:w="1701"/>
        <w:gridCol w:w="1119"/>
        <w:gridCol w:w="1420"/>
        <w:gridCol w:w="1399"/>
      </w:tblGrid>
      <w:tr w:rsidR="008669A8" w:rsidRPr="008669A8" w:rsidTr="008669A8">
        <w:trPr>
          <w:trHeight w:val="2050"/>
        </w:trPr>
        <w:tc>
          <w:tcPr>
            <w:tcW w:w="1500" w:type="dxa"/>
            <w:tcBorders>
              <w:top w:val="single" w:sz="8" w:space="0" w:color="FFFFFF"/>
              <w:left w:val="single" w:sz="8" w:space="0" w:color="FFFFFF"/>
              <w:bottom w:val="single" w:sz="24" w:space="0" w:color="FFFFFF"/>
              <w:right w:val="single" w:sz="8" w:space="0" w:color="FFFFFF"/>
            </w:tcBorders>
            <w:shd w:val="clear" w:color="auto" w:fill="B71E42"/>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bCs/>
              </w:rPr>
              <w:t xml:space="preserve">Drug </w:t>
            </w:r>
          </w:p>
        </w:tc>
        <w:tc>
          <w:tcPr>
            <w:tcW w:w="1500" w:type="dxa"/>
            <w:tcBorders>
              <w:top w:val="single" w:sz="8" w:space="0" w:color="FFFFFF"/>
              <w:left w:val="single" w:sz="8" w:space="0" w:color="FFFFFF"/>
              <w:bottom w:val="single" w:sz="24" w:space="0" w:color="FFFFFF"/>
              <w:right w:val="single" w:sz="8" w:space="0" w:color="FFFFFF"/>
            </w:tcBorders>
            <w:shd w:val="clear" w:color="auto" w:fill="B71E42"/>
            <w:tcMar>
              <w:top w:w="72" w:type="dxa"/>
              <w:left w:w="144" w:type="dxa"/>
              <w:bottom w:w="72" w:type="dxa"/>
              <w:right w:w="144" w:type="dxa"/>
            </w:tcMar>
            <w:hideMark/>
          </w:tcPr>
          <w:p w:rsidR="00000000" w:rsidRPr="008669A8" w:rsidRDefault="008669A8" w:rsidP="008669A8">
            <w:pPr>
              <w:ind w:left="360"/>
              <w:rPr>
                <w:rFonts w:cstheme="minorHAnsi"/>
                <w:b/>
              </w:rPr>
            </w:pPr>
            <w:proofErr w:type="spellStart"/>
            <w:r w:rsidRPr="008669A8">
              <w:rPr>
                <w:rFonts w:cstheme="minorHAnsi"/>
                <w:b/>
                <w:bCs/>
              </w:rPr>
              <w:t>Avastin</w:t>
            </w:r>
            <w:proofErr w:type="spellEnd"/>
            <w:r w:rsidRPr="008669A8">
              <w:rPr>
                <w:rFonts w:cstheme="minorHAnsi"/>
                <w:b/>
                <w:bCs/>
              </w:rPr>
              <w:t xml:space="preserve"> 1.25mg/0.05ml </w:t>
            </w:r>
          </w:p>
        </w:tc>
        <w:tc>
          <w:tcPr>
            <w:tcW w:w="1500" w:type="dxa"/>
            <w:tcBorders>
              <w:top w:val="single" w:sz="8" w:space="0" w:color="FFFFFF"/>
              <w:left w:val="single" w:sz="8" w:space="0" w:color="FFFFFF"/>
              <w:bottom w:val="single" w:sz="24" w:space="0" w:color="FFFFFF"/>
              <w:right w:val="single" w:sz="8" w:space="0" w:color="FFFFFF"/>
            </w:tcBorders>
            <w:shd w:val="clear" w:color="auto" w:fill="B71E42"/>
            <w:tcMar>
              <w:top w:w="72" w:type="dxa"/>
              <w:left w:w="144" w:type="dxa"/>
              <w:bottom w:w="72" w:type="dxa"/>
              <w:right w:w="144" w:type="dxa"/>
            </w:tcMar>
            <w:hideMark/>
          </w:tcPr>
          <w:p w:rsidR="00000000" w:rsidRPr="008669A8" w:rsidRDefault="008669A8" w:rsidP="008669A8">
            <w:pPr>
              <w:ind w:left="360"/>
              <w:rPr>
                <w:rFonts w:cstheme="minorHAnsi"/>
                <w:b/>
              </w:rPr>
            </w:pPr>
            <w:proofErr w:type="spellStart"/>
            <w:r w:rsidRPr="008669A8">
              <w:rPr>
                <w:rFonts w:cstheme="minorHAnsi"/>
                <w:b/>
                <w:bCs/>
              </w:rPr>
              <w:t>Avastin</w:t>
            </w:r>
            <w:proofErr w:type="spellEnd"/>
            <w:r w:rsidRPr="008669A8">
              <w:rPr>
                <w:rFonts w:cstheme="minorHAnsi"/>
                <w:b/>
                <w:bCs/>
              </w:rPr>
              <w:t xml:space="preserve"> 2.5mg/0.10 ml </w:t>
            </w:r>
          </w:p>
        </w:tc>
        <w:tc>
          <w:tcPr>
            <w:tcW w:w="1500" w:type="dxa"/>
            <w:tcBorders>
              <w:top w:val="single" w:sz="8" w:space="0" w:color="FFFFFF"/>
              <w:left w:val="single" w:sz="8" w:space="0" w:color="FFFFFF"/>
              <w:bottom w:val="single" w:sz="24" w:space="0" w:color="FFFFFF"/>
              <w:right w:val="single" w:sz="8" w:space="0" w:color="FFFFFF"/>
            </w:tcBorders>
            <w:shd w:val="clear" w:color="auto" w:fill="B71E42"/>
            <w:tcMar>
              <w:top w:w="72" w:type="dxa"/>
              <w:left w:w="144" w:type="dxa"/>
              <w:bottom w:w="72" w:type="dxa"/>
              <w:right w:w="144" w:type="dxa"/>
            </w:tcMar>
            <w:hideMark/>
          </w:tcPr>
          <w:p w:rsidR="008669A8" w:rsidRDefault="008669A8" w:rsidP="008669A8">
            <w:pPr>
              <w:rPr>
                <w:rFonts w:cstheme="minorHAnsi"/>
                <w:b/>
                <w:bCs/>
              </w:rPr>
            </w:pPr>
            <w:r>
              <w:rPr>
                <w:rFonts w:cstheme="minorHAnsi"/>
                <w:b/>
                <w:bCs/>
              </w:rPr>
              <w:t>Implants</w:t>
            </w:r>
          </w:p>
          <w:p w:rsidR="00000000" w:rsidRPr="008669A8" w:rsidRDefault="008669A8" w:rsidP="008669A8">
            <w:pPr>
              <w:rPr>
                <w:rFonts w:cstheme="minorHAnsi"/>
                <w:b/>
              </w:rPr>
            </w:pPr>
            <w:r>
              <w:rPr>
                <w:rFonts w:cstheme="minorHAnsi"/>
                <w:b/>
                <w:bCs/>
              </w:rPr>
              <w:t>(</w:t>
            </w:r>
            <w:proofErr w:type="spellStart"/>
            <w:r w:rsidRPr="008669A8">
              <w:rPr>
                <w:rFonts w:cstheme="minorHAnsi"/>
                <w:b/>
                <w:bCs/>
              </w:rPr>
              <w:t>Ozurdex</w:t>
            </w:r>
            <w:proofErr w:type="spellEnd"/>
            <w:r w:rsidRPr="008669A8">
              <w:rPr>
                <w:rFonts w:cstheme="minorHAnsi"/>
                <w:b/>
                <w:bCs/>
              </w:rPr>
              <w:t xml:space="preserve"> </w:t>
            </w:r>
            <w:r>
              <w:rPr>
                <w:rFonts w:cstheme="minorHAnsi"/>
                <w:b/>
                <w:bCs/>
              </w:rPr>
              <w:t>/</w:t>
            </w:r>
            <w:proofErr w:type="spellStart"/>
            <w:r>
              <w:rPr>
                <w:rFonts w:cstheme="minorHAnsi"/>
                <w:b/>
                <w:bCs/>
              </w:rPr>
              <w:t>Iluvein</w:t>
            </w:r>
            <w:proofErr w:type="spellEnd"/>
            <w:r>
              <w:rPr>
                <w:rFonts w:cstheme="minorHAnsi"/>
                <w:b/>
                <w:bCs/>
              </w:rPr>
              <w:t>)</w:t>
            </w:r>
          </w:p>
        </w:tc>
        <w:tc>
          <w:tcPr>
            <w:tcW w:w="1500" w:type="dxa"/>
            <w:tcBorders>
              <w:top w:val="single" w:sz="8" w:space="0" w:color="FFFFFF"/>
              <w:left w:val="single" w:sz="8" w:space="0" w:color="FFFFFF"/>
              <w:bottom w:val="single" w:sz="24" w:space="0" w:color="FFFFFF"/>
              <w:right w:val="single" w:sz="8" w:space="0" w:color="FFFFFF"/>
            </w:tcBorders>
            <w:shd w:val="clear" w:color="auto" w:fill="B71E42"/>
            <w:tcMar>
              <w:top w:w="72" w:type="dxa"/>
              <w:left w:w="144" w:type="dxa"/>
              <w:bottom w:w="72" w:type="dxa"/>
              <w:right w:w="144" w:type="dxa"/>
            </w:tcMar>
            <w:hideMark/>
          </w:tcPr>
          <w:p w:rsidR="00000000" w:rsidRPr="008669A8" w:rsidRDefault="008669A8" w:rsidP="008669A8">
            <w:pPr>
              <w:ind w:left="360"/>
              <w:rPr>
                <w:rFonts w:cstheme="minorHAnsi"/>
                <w:b/>
              </w:rPr>
            </w:pPr>
            <w:proofErr w:type="spellStart"/>
            <w:r w:rsidRPr="008669A8">
              <w:rPr>
                <w:rFonts w:cstheme="minorHAnsi"/>
                <w:b/>
                <w:bCs/>
              </w:rPr>
              <w:t>Eylea</w:t>
            </w:r>
            <w:proofErr w:type="spellEnd"/>
            <w:r w:rsidRPr="008669A8">
              <w:rPr>
                <w:rFonts w:cstheme="minorHAnsi"/>
                <w:b/>
                <w:bCs/>
              </w:rPr>
              <w:t xml:space="preserve"> 2 mg/0.05 ml </w:t>
            </w:r>
          </w:p>
        </w:tc>
        <w:tc>
          <w:tcPr>
            <w:tcW w:w="1500" w:type="dxa"/>
            <w:tcBorders>
              <w:top w:val="single" w:sz="8" w:space="0" w:color="FFFFFF"/>
              <w:left w:val="single" w:sz="8" w:space="0" w:color="FFFFFF"/>
              <w:bottom w:val="single" w:sz="24" w:space="0" w:color="FFFFFF"/>
              <w:right w:val="single" w:sz="8" w:space="0" w:color="FFFFFF"/>
            </w:tcBorders>
            <w:shd w:val="clear" w:color="auto" w:fill="B71E42"/>
            <w:tcMar>
              <w:top w:w="72" w:type="dxa"/>
              <w:left w:w="144" w:type="dxa"/>
              <w:bottom w:w="72" w:type="dxa"/>
              <w:right w:w="144" w:type="dxa"/>
            </w:tcMar>
            <w:hideMark/>
          </w:tcPr>
          <w:p w:rsidR="00000000" w:rsidRPr="008669A8" w:rsidRDefault="008669A8" w:rsidP="008669A8">
            <w:pPr>
              <w:ind w:left="360"/>
              <w:rPr>
                <w:rFonts w:cstheme="minorHAnsi"/>
                <w:b/>
              </w:rPr>
            </w:pPr>
            <w:proofErr w:type="spellStart"/>
            <w:r w:rsidRPr="008669A8">
              <w:rPr>
                <w:rFonts w:cstheme="minorHAnsi"/>
                <w:b/>
                <w:bCs/>
              </w:rPr>
              <w:t>Lucentis</w:t>
            </w:r>
            <w:proofErr w:type="spellEnd"/>
            <w:r w:rsidRPr="008669A8">
              <w:rPr>
                <w:rFonts w:cstheme="minorHAnsi"/>
                <w:b/>
                <w:bCs/>
              </w:rPr>
              <w:t xml:space="preserve"> 0.5mg </w:t>
            </w:r>
          </w:p>
        </w:tc>
      </w:tr>
      <w:tr w:rsidR="008669A8" w:rsidRPr="008669A8" w:rsidTr="008669A8">
        <w:trPr>
          <w:trHeight w:val="2050"/>
        </w:trPr>
        <w:tc>
          <w:tcPr>
            <w:tcW w:w="1500" w:type="dxa"/>
            <w:tcBorders>
              <w:top w:val="single" w:sz="24"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rPr>
              <w:t xml:space="preserve">Mean No of injections per eye </w:t>
            </w:r>
          </w:p>
        </w:tc>
        <w:tc>
          <w:tcPr>
            <w:tcW w:w="1500" w:type="dxa"/>
            <w:tcBorders>
              <w:top w:val="single" w:sz="24"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rPr>
              <w:t xml:space="preserve">3.26 </w:t>
            </w:r>
          </w:p>
        </w:tc>
        <w:tc>
          <w:tcPr>
            <w:tcW w:w="1500" w:type="dxa"/>
            <w:tcBorders>
              <w:top w:val="single" w:sz="24"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rPr>
              <w:t xml:space="preserve">1.29 </w:t>
            </w:r>
          </w:p>
        </w:tc>
        <w:tc>
          <w:tcPr>
            <w:tcW w:w="1500" w:type="dxa"/>
            <w:tcBorders>
              <w:top w:val="single" w:sz="24"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rPr>
              <w:t xml:space="preserve">1.25 </w:t>
            </w:r>
          </w:p>
        </w:tc>
        <w:tc>
          <w:tcPr>
            <w:tcW w:w="1500" w:type="dxa"/>
            <w:tcBorders>
              <w:top w:val="single" w:sz="24"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rPr>
              <w:t xml:space="preserve">7.55 </w:t>
            </w:r>
          </w:p>
        </w:tc>
        <w:tc>
          <w:tcPr>
            <w:tcW w:w="1500" w:type="dxa"/>
            <w:tcBorders>
              <w:top w:val="single" w:sz="24"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rPr>
              <w:t xml:space="preserve">8.76 </w:t>
            </w:r>
          </w:p>
        </w:tc>
      </w:tr>
    </w:tbl>
    <w:p w:rsidR="00695C96" w:rsidRDefault="00695C96"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r>
        <w:rPr>
          <w:rFonts w:cstheme="minorHAnsi"/>
          <w:b/>
        </w:rPr>
        <w:t>Table 2</w:t>
      </w:r>
      <w:proofErr w:type="gramStart"/>
      <w:r>
        <w:rPr>
          <w:rFonts w:cstheme="minorHAnsi"/>
          <w:b/>
        </w:rPr>
        <w:t>:Prevalence</w:t>
      </w:r>
      <w:proofErr w:type="gramEnd"/>
      <w:r>
        <w:rPr>
          <w:rFonts w:cstheme="minorHAnsi"/>
          <w:b/>
        </w:rPr>
        <w:t xml:space="preserve"> of Retinal Detachment/Tear after IVI</w:t>
      </w:r>
      <w:r>
        <w:rPr>
          <w:rFonts w:cstheme="minorHAnsi"/>
          <w:b/>
        </w:rPr>
        <w:tab/>
      </w:r>
    </w:p>
    <w:tbl>
      <w:tblPr>
        <w:tblW w:w="8840" w:type="dxa"/>
        <w:tblCellMar>
          <w:left w:w="0" w:type="dxa"/>
          <w:right w:w="0" w:type="dxa"/>
        </w:tblCellMar>
        <w:tblLook w:val="04A0"/>
      </w:tblPr>
      <w:tblGrid>
        <w:gridCol w:w="1092"/>
        <w:gridCol w:w="1498"/>
        <w:gridCol w:w="1220"/>
        <w:gridCol w:w="1443"/>
        <w:gridCol w:w="1443"/>
        <w:gridCol w:w="1309"/>
        <w:gridCol w:w="1309"/>
      </w:tblGrid>
      <w:tr w:rsidR="008669A8" w:rsidRPr="008669A8" w:rsidTr="008669A8">
        <w:trPr>
          <w:trHeight w:val="1769"/>
        </w:trPr>
        <w:tc>
          <w:tcPr>
            <w:tcW w:w="12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8669A8" w:rsidRPr="008669A8" w:rsidRDefault="008669A8" w:rsidP="008669A8">
            <w:pPr>
              <w:ind w:left="360"/>
              <w:rPr>
                <w:rFonts w:cstheme="minorHAnsi"/>
                <w:b/>
              </w:rPr>
            </w:pPr>
          </w:p>
        </w:tc>
        <w:tc>
          <w:tcPr>
            <w:tcW w:w="12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bCs/>
              </w:rPr>
              <w:t xml:space="preserve">No. of Patients/eyes </w:t>
            </w:r>
          </w:p>
        </w:tc>
        <w:tc>
          <w:tcPr>
            <w:tcW w:w="12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000000" w:rsidRPr="008669A8" w:rsidRDefault="008669A8" w:rsidP="008669A8">
            <w:pPr>
              <w:ind w:left="360"/>
              <w:rPr>
                <w:rFonts w:cstheme="minorHAnsi"/>
                <w:b/>
              </w:rPr>
            </w:pPr>
            <w:proofErr w:type="gramStart"/>
            <w:r w:rsidRPr="008669A8">
              <w:rPr>
                <w:rFonts w:cstheme="minorHAnsi"/>
                <w:b/>
                <w:bCs/>
              </w:rPr>
              <w:t>No .</w:t>
            </w:r>
            <w:proofErr w:type="gramEnd"/>
            <w:r w:rsidRPr="008669A8">
              <w:rPr>
                <w:rFonts w:cstheme="minorHAnsi"/>
                <w:b/>
                <w:bCs/>
              </w:rPr>
              <w:t xml:space="preserve"> of IVT injections </w:t>
            </w:r>
          </w:p>
        </w:tc>
        <w:tc>
          <w:tcPr>
            <w:tcW w:w="12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000000" w:rsidRPr="008669A8" w:rsidRDefault="008669A8" w:rsidP="008669A8">
            <w:pPr>
              <w:ind w:left="360"/>
              <w:rPr>
                <w:rFonts w:cstheme="minorHAnsi"/>
                <w:b/>
              </w:rPr>
            </w:pPr>
            <w:proofErr w:type="gramStart"/>
            <w:r w:rsidRPr="008669A8">
              <w:rPr>
                <w:rFonts w:cstheme="minorHAnsi"/>
                <w:b/>
                <w:bCs/>
              </w:rPr>
              <w:t>No .</w:t>
            </w:r>
            <w:proofErr w:type="gramEnd"/>
            <w:r w:rsidRPr="008669A8">
              <w:rPr>
                <w:rFonts w:cstheme="minorHAnsi"/>
                <w:b/>
                <w:bCs/>
              </w:rPr>
              <w:t xml:space="preserve"> of patients who had  the complication </w:t>
            </w:r>
          </w:p>
        </w:tc>
        <w:tc>
          <w:tcPr>
            <w:tcW w:w="12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8669A8" w:rsidRPr="008669A8" w:rsidRDefault="008669A8" w:rsidP="008669A8">
            <w:pPr>
              <w:ind w:left="360"/>
              <w:rPr>
                <w:rFonts w:cstheme="minorHAnsi"/>
                <w:b/>
              </w:rPr>
            </w:pPr>
            <w:r w:rsidRPr="008669A8">
              <w:rPr>
                <w:rFonts w:cstheme="minorHAnsi"/>
                <w:b/>
                <w:bCs/>
              </w:rPr>
              <w:t>Mean No Injections</w:t>
            </w:r>
          </w:p>
          <w:p w:rsidR="00000000" w:rsidRPr="008669A8" w:rsidRDefault="008669A8" w:rsidP="008669A8">
            <w:pPr>
              <w:ind w:left="360"/>
              <w:rPr>
                <w:rFonts w:cstheme="minorHAnsi"/>
                <w:b/>
              </w:rPr>
            </w:pPr>
            <w:r w:rsidRPr="008669A8">
              <w:rPr>
                <w:rFonts w:cstheme="minorHAnsi"/>
                <w:b/>
                <w:bCs/>
              </w:rPr>
              <w:t xml:space="preserve">before the complication </w:t>
            </w:r>
          </w:p>
        </w:tc>
        <w:tc>
          <w:tcPr>
            <w:tcW w:w="12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bCs/>
              </w:rPr>
              <w:t xml:space="preserve">Prevalence per  injection </w:t>
            </w:r>
          </w:p>
        </w:tc>
        <w:tc>
          <w:tcPr>
            <w:tcW w:w="12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8669A8" w:rsidRPr="008669A8" w:rsidRDefault="008669A8" w:rsidP="008669A8">
            <w:pPr>
              <w:ind w:left="360"/>
              <w:rPr>
                <w:rFonts w:cstheme="minorHAnsi"/>
                <w:b/>
              </w:rPr>
            </w:pPr>
            <w:r w:rsidRPr="008669A8">
              <w:rPr>
                <w:rFonts w:cstheme="minorHAnsi"/>
                <w:b/>
                <w:bCs/>
              </w:rPr>
              <w:t>Prevalence</w:t>
            </w:r>
          </w:p>
          <w:p w:rsidR="00000000" w:rsidRPr="008669A8" w:rsidRDefault="008669A8" w:rsidP="008669A8">
            <w:pPr>
              <w:ind w:left="360"/>
              <w:rPr>
                <w:rFonts w:cstheme="minorHAnsi"/>
                <w:b/>
              </w:rPr>
            </w:pPr>
            <w:r w:rsidRPr="008669A8">
              <w:rPr>
                <w:rFonts w:cstheme="minorHAnsi"/>
                <w:b/>
                <w:bCs/>
              </w:rPr>
              <w:t xml:space="preserve">Per  eye </w:t>
            </w:r>
          </w:p>
        </w:tc>
      </w:tr>
      <w:tr w:rsidR="008669A8" w:rsidRPr="008669A8" w:rsidTr="008669A8">
        <w:trPr>
          <w:trHeight w:val="1179"/>
        </w:trPr>
        <w:tc>
          <w:tcPr>
            <w:tcW w:w="12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rPr>
              <w:t xml:space="preserve">RRD/RT </w:t>
            </w:r>
          </w:p>
        </w:tc>
        <w:tc>
          <w:tcPr>
            <w:tcW w:w="12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rPr>
              <w:t>5453/6835</w:t>
            </w:r>
          </w:p>
        </w:tc>
        <w:tc>
          <w:tcPr>
            <w:tcW w:w="12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rPr>
              <w:t>62532</w:t>
            </w:r>
          </w:p>
        </w:tc>
        <w:tc>
          <w:tcPr>
            <w:tcW w:w="12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rPr>
              <w:t xml:space="preserve">  9 </w:t>
            </w:r>
          </w:p>
        </w:tc>
        <w:tc>
          <w:tcPr>
            <w:tcW w:w="12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rPr>
              <w:t xml:space="preserve"> 8.24+/-2.12 </w:t>
            </w:r>
          </w:p>
        </w:tc>
        <w:tc>
          <w:tcPr>
            <w:tcW w:w="12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8669A8" w:rsidRDefault="008669A8" w:rsidP="008669A8">
            <w:pPr>
              <w:ind w:left="360"/>
              <w:rPr>
                <w:rFonts w:cstheme="minorHAnsi"/>
                <w:b/>
              </w:rPr>
            </w:pPr>
          </w:p>
          <w:p w:rsidR="00000000" w:rsidRPr="008669A8" w:rsidRDefault="008669A8" w:rsidP="008669A8">
            <w:pPr>
              <w:ind w:left="360"/>
              <w:rPr>
                <w:rFonts w:cstheme="minorHAnsi"/>
                <w:b/>
              </w:rPr>
            </w:pPr>
            <w:r w:rsidRPr="008669A8">
              <w:rPr>
                <w:rFonts w:cstheme="minorHAnsi"/>
                <w:b/>
              </w:rPr>
              <w:t xml:space="preserve"> 0.02% </w:t>
            </w:r>
          </w:p>
        </w:tc>
        <w:tc>
          <w:tcPr>
            <w:tcW w:w="12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000000" w:rsidRPr="008669A8" w:rsidRDefault="008669A8" w:rsidP="008669A8">
            <w:pPr>
              <w:ind w:left="360"/>
              <w:rPr>
                <w:rFonts w:cstheme="minorHAnsi"/>
                <w:b/>
              </w:rPr>
            </w:pPr>
            <w:r w:rsidRPr="008669A8">
              <w:rPr>
                <w:rFonts w:cstheme="minorHAnsi"/>
                <w:b/>
              </w:rPr>
              <w:t xml:space="preserve">   0.15% </w:t>
            </w:r>
          </w:p>
        </w:tc>
      </w:tr>
    </w:tbl>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r>
        <w:rPr>
          <w:rFonts w:cstheme="minorHAnsi"/>
          <w:b/>
        </w:rPr>
        <w:t>Table 3 Case analysis of each Retinal Detachment /Tear following IVI</w:t>
      </w:r>
    </w:p>
    <w:p w:rsidR="008669A8" w:rsidRDefault="008669A8" w:rsidP="008D3319">
      <w:pPr>
        <w:ind w:left="360"/>
        <w:rPr>
          <w:rFonts w:cstheme="minorHAnsi"/>
          <w:b/>
        </w:rPr>
      </w:pPr>
    </w:p>
    <w:p w:rsidR="008669A8" w:rsidRDefault="008669A8" w:rsidP="008D3319">
      <w:pPr>
        <w:ind w:left="360"/>
        <w:rPr>
          <w:rFonts w:cstheme="minorHAnsi"/>
          <w:b/>
        </w:rPr>
      </w:pPr>
      <w:r w:rsidRPr="008669A8">
        <w:drawing>
          <wp:inline distT="0" distB="0" distL="0" distR="0">
            <wp:extent cx="5865223" cy="5591147"/>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60822" cy="5586952"/>
                    </a:xfrm>
                    <a:prstGeom prst="rect">
                      <a:avLst/>
                    </a:prstGeom>
                    <a:noFill/>
                    <a:ln w="9525">
                      <a:noFill/>
                      <a:miter lim="800000"/>
                      <a:headEnd/>
                      <a:tailEnd/>
                    </a:ln>
                  </pic:spPr>
                </pic:pic>
              </a:graphicData>
            </a:graphic>
          </wp:inline>
        </w:drawing>
      </w: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p>
    <w:p w:rsidR="008669A8" w:rsidRDefault="008669A8" w:rsidP="008D3319">
      <w:pPr>
        <w:ind w:left="360"/>
        <w:rPr>
          <w:rFonts w:cstheme="minorHAnsi"/>
          <w:b/>
        </w:rPr>
      </w:pPr>
      <w:r>
        <w:rPr>
          <w:rFonts w:cstheme="minorHAnsi"/>
          <w:b/>
        </w:rPr>
        <w:t>Discussion:</w:t>
      </w:r>
    </w:p>
    <w:p w:rsidR="008669A8" w:rsidRDefault="008669A8" w:rsidP="008D3319">
      <w:pPr>
        <w:ind w:left="360"/>
        <w:rPr>
          <w:rFonts w:cstheme="minorHAnsi"/>
        </w:rPr>
      </w:pPr>
      <w:r w:rsidRPr="008669A8">
        <w:rPr>
          <w:rFonts w:cstheme="minorHAnsi"/>
        </w:rPr>
        <w:t xml:space="preserve">Our study </w:t>
      </w:r>
      <w:r>
        <w:rPr>
          <w:rFonts w:cstheme="minorHAnsi"/>
        </w:rPr>
        <w:t xml:space="preserve">is one of the largest studies to study the rate of Retinal detachment and tears following </w:t>
      </w:r>
      <w:proofErr w:type="spellStart"/>
      <w:r>
        <w:rPr>
          <w:rFonts w:cstheme="minorHAnsi"/>
        </w:rPr>
        <w:t>Intravitreal</w:t>
      </w:r>
      <w:proofErr w:type="spellEnd"/>
      <w:r>
        <w:rPr>
          <w:rFonts w:cstheme="minorHAnsi"/>
        </w:rPr>
        <w:t xml:space="preserve"> Injections. There were a total of </w:t>
      </w:r>
      <w:r w:rsidRPr="00695C96">
        <w:rPr>
          <w:rFonts w:cstheme="minorHAnsi"/>
        </w:rPr>
        <w:t>62,532</w:t>
      </w:r>
      <w:r>
        <w:rPr>
          <w:rFonts w:cstheme="minorHAnsi"/>
        </w:rPr>
        <w:t xml:space="preserve"> injections given in our study. </w:t>
      </w:r>
    </w:p>
    <w:p w:rsidR="008669A8" w:rsidRDefault="008669A8" w:rsidP="008669A8">
      <w:pPr>
        <w:ind w:left="360"/>
        <w:rPr>
          <w:rFonts w:cstheme="minorHAnsi"/>
        </w:rPr>
      </w:pPr>
      <w:r>
        <w:rPr>
          <w:rFonts w:cstheme="minorHAnsi"/>
        </w:rPr>
        <w:t>The prevalence of Retinal detachment /tear following Injections was 0.15% per eye and 0.02% per injection. This rate is quite low comparing the annual  incidence of Primary Retinal detachment (RRD) in the general population .The estimated annual incidence of Primary RRD according to the Scottish retinal detachment was 12 per 100,000 which gives you a prevalence rate of  0.024% which is quite comparable to our study.</w:t>
      </w:r>
    </w:p>
    <w:p w:rsidR="008669A8" w:rsidRDefault="008669A8" w:rsidP="008669A8">
      <w:pPr>
        <w:ind w:left="360"/>
        <w:rPr>
          <w:rFonts w:cstheme="minorHAnsi"/>
        </w:rPr>
      </w:pPr>
      <w:r>
        <w:rPr>
          <w:rFonts w:cstheme="minorHAnsi"/>
        </w:rPr>
        <w:t xml:space="preserve">The mechanism of development of Retinal detachment/tear after an </w:t>
      </w:r>
      <w:proofErr w:type="spellStart"/>
      <w:r>
        <w:rPr>
          <w:rFonts w:cstheme="minorHAnsi"/>
        </w:rPr>
        <w:t>intravitreal</w:t>
      </w:r>
      <w:proofErr w:type="spellEnd"/>
      <w:r>
        <w:rPr>
          <w:rFonts w:cstheme="minorHAnsi"/>
        </w:rPr>
        <w:t xml:space="preserve"> injection or implant as indicated in literature is either due to a faulty technique or induction of PVD. The first mentioned cause is usually the cause when injecting implants .We had a curious case of a patient developing bilateral retinal detachment after receiving bilateral </w:t>
      </w:r>
      <w:proofErr w:type="spellStart"/>
      <w:r>
        <w:rPr>
          <w:rFonts w:cstheme="minorHAnsi"/>
        </w:rPr>
        <w:t>Iluvein</w:t>
      </w:r>
      <w:proofErr w:type="spellEnd"/>
      <w:r>
        <w:rPr>
          <w:rFonts w:cstheme="minorHAnsi"/>
        </w:rPr>
        <w:t xml:space="preserve"> implants done at different times. The usual cause of patient developing RRD after implants is </w:t>
      </w:r>
      <w:proofErr w:type="gramStart"/>
      <w:r>
        <w:rPr>
          <w:rFonts w:cstheme="minorHAnsi"/>
        </w:rPr>
        <w:t>usually  accidental</w:t>
      </w:r>
      <w:proofErr w:type="gramEnd"/>
      <w:r>
        <w:rPr>
          <w:rFonts w:cstheme="minorHAnsi"/>
        </w:rPr>
        <w:t xml:space="preserve"> faulty injection but in this case the procedure was done in a safe manner but the patient had developed RRDs in both eyes after an average of 209 days. The cause of RRD in this case is not particularly clear and further long studies regarding the degradation of implants and the effects it has on the retinal might give an insight into this.</w:t>
      </w:r>
    </w:p>
    <w:p w:rsidR="008669A8" w:rsidRDefault="008669A8" w:rsidP="008669A8">
      <w:pPr>
        <w:ind w:left="360"/>
        <w:rPr>
          <w:rFonts w:cstheme="minorHAnsi"/>
        </w:rPr>
      </w:pPr>
      <w:r>
        <w:rPr>
          <w:rFonts w:cstheme="minorHAnsi"/>
        </w:rPr>
        <w:t xml:space="preserve">The prevalence rates of retinal detachment/tear per injection in different major trials were 0.03 in ANCHOR, 0.05 in BRAVO and 0.17 in SCORE. A </w:t>
      </w:r>
      <w:proofErr w:type="gramStart"/>
      <w:r>
        <w:rPr>
          <w:rFonts w:cstheme="minorHAnsi"/>
        </w:rPr>
        <w:t>meta</w:t>
      </w:r>
      <w:proofErr w:type="gramEnd"/>
      <w:r>
        <w:rPr>
          <w:rFonts w:cstheme="minorHAnsi"/>
        </w:rPr>
        <w:t xml:space="preserve"> analysis of these major trails showed the prevalence rate per injection to be 0.089 per injection. The rate per injection in our study was lower than that. The rates of reporting in these studies according to the results produced in different years for example ANCHOR had published their two year results and seven year results and the rate of RRD was different in the two results. This could be due to patients dropping out in the seven year follow </w:t>
      </w:r>
      <w:proofErr w:type="gramStart"/>
      <w:r>
        <w:rPr>
          <w:rFonts w:cstheme="minorHAnsi"/>
        </w:rPr>
        <w:t>up  due</w:t>
      </w:r>
      <w:proofErr w:type="gramEnd"/>
      <w:r>
        <w:rPr>
          <w:rFonts w:cstheme="minorHAnsi"/>
        </w:rPr>
        <w:t xml:space="preserve"> to various reasons thus leading to a different result. Our study is </w:t>
      </w:r>
      <w:proofErr w:type="gramStart"/>
      <w:r>
        <w:rPr>
          <w:rFonts w:cstheme="minorHAnsi"/>
        </w:rPr>
        <w:t xml:space="preserve">a  </w:t>
      </w:r>
      <w:proofErr w:type="spellStart"/>
      <w:r>
        <w:rPr>
          <w:rFonts w:cstheme="minorHAnsi"/>
        </w:rPr>
        <w:t>one</w:t>
      </w:r>
      <w:proofErr w:type="gramEnd"/>
      <w:r>
        <w:rPr>
          <w:rFonts w:cstheme="minorHAnsi"/>
        </w:rPr>
        <w:t xml:space="preserve"> time</w:t>
      </w:r>
      <w:proofErr w:type="spellEnd"/>
      <w:r>
        <w:rPr>
          <w:rFonts w:cstheme="minorHAnsi"/>
        </w:rPr>
        <w:t xml:space="preserve"> retrospective analysis so is not affected by such changes of these major trials.</w:t>
      </w:r>
    </w:p>
    <w:p w:rsidR="008669A8" w:rsidRDefault="008669A8" w:rsidP="008669A8">
      <w:pPr>
        <w:ind w:left="360"/>
        <w:rPr>
          <w:rFonts w:cstheme="minorHAnsi"/>
        </w:rPr>
      </w:pPr>
      <w:r w:rsidRPr="008669A8">
        <w:rPr>
          <w:rFonts w:cstheme="minorHAnsi"/>
        </w:rPr>
        <w:t xml:space="preserve">The reporting of this complication is not uniform, it is either reported as </w:t>
      </w:r>
      <w:r>
        <w:rPr>
          <w:rFonts w:cstheme="minorHAnsi"/>
        </w:rPr>
        <w:t>prevalence</w:t>
      </w:r>
      <w:r w:rsidRPr="008669A8">
        <w:rPr>
          <w:rFonts w:cstheme="minorHAnsi"/>
        </w:rPr>
        <w:t xml:space="preserve"> per eye or per injection, either of which has </w:t>
      </w:r>
      <w:proofErr w:type="spellStart"/>
      <w:r w:rsidRPr="008669A8">
        <w:rPr>
          <w:rFonts w:cstheme="minorHAnsi"/>
        </w:rPr>
        <w:t>it’s</w:t>
      </w:r>
      <w:proofErr w:type="spellEnd"/>
      <w:r w:rsidRPr="008669A8">
        <w:rPr>
          <w:rFonts w:cstheme="minorHAnsi"/>
        </w:rPr>
        <w:t xml:space="preserve"> merits, however, as the treatment involves more than one injection in most cases, reporting it as risk per eye might be more representative</w:t>
      </w:r>
      <w:r>
        <w:rPr>
          <w:rFonts w:cstheme="minorHAnsi"/>
        </w:rPr>
        <w:t xml:space="preserve"> of the risk.</w:t>
      </w:r>
      <w:r w:rsidRPr="008669A8">
        <w:rPr>
          <w:rFonts w:ascii="Calibri" w:eastAsia="+mn-ea" w:hAnsi="Calibri" w:cs="+mn-cs"/>
          <w:color w:val="000000"/>
          <w:kern w:val="24"/>
          <w:sz w:val="56"/>
          <w:szCs w:val="56"/>
        </w:rPr>
        <w:t xml:space="preserve"> </w:t>
      </w:r>
      <w:r>
        <w:rPr>
          <w:rFonts w:cstheme="minorHAnsi"/>
        </w:rPr>
        <w:t>Furthermore, 6 out of 9</w:t>
      </w:r>
      <w:r w:rsidRPr="008669A8">
        <w:rPr>
          <w:rFonts w:cstheme="minorHAnsi"/>
        </w:rPr>
        <w:t xml:space="preserve"> patients who presented with retinal detachment during t</w:t>
      </w:r>
      <w:r>
        <w:rPr>
          <w:rFonts w:cstheme="minorHAnsi"/>
        </w:rPr>
        <w:t xml:space="preserve">he course of treatment with IVI </w:t>
      </w:r>
      <w:r w:rsidRPr="008669A8">
        <w:rPr>
          <w:rFonts w:cstheme="minorHAnsi"/>
        </w:rPr>
        <w:t>suffered a reduction in their vision after retinal repair surgery. Therefore, this is a serious complication despite the perceived low risk</w:t>
      </w:r>
      <w:r>
        <w:rPr>
          <w:rFonts w:cstheme="minorHAnsi"/>
        </w:rPr>
        <w:t>.</w:t>
      </w:r>
    </w:p>
    <w:p w:rsidR="008669A8" w:rsidRDefault="008669A8" w:rsidP="008669A8">
      <w:pPr>
        <w:ind w:left="360"/>
        <w:rPr>
          <w:rFonts w:cstheme="minorHAnsi"/>
        </w:rPr>
      </w:pPr>
      <w:r>
        <w:rPr>
          <w:rFonts w:cstheme="minorHAnsi"/>
        </w:rPr>
        <w:t>The different indications for which the injections were received had no bearing on the development of complications except in one case the patient was treated for MYOPIC CNVM in which case High myopia was a pre-disposing factor. Adequate precautions should be taken in such cases.</w:t>
      </w:r>
    </w:p>
    <w:p w:rsidR="008669A8" w:rsidRDefault="008669A8" w:rsidP="008669A8">
      <w:pPr>
        <w:ind w:left="360"/>
        <w:rPr>
          <w:rFonts w:cstheme="minorHAnsi"/>
        </w:rPr>
      </w:pPr>
      <w:r>
        <w:rPr>
          <w:rFonts w:cstheme="minorHAnsi"/>
        </w:rPr>
        <w:lastRenderedPageBreak/>
        <w:t xml:space="preserve">There were a few short comings of our </w:t>
      </w:r>
      <w:proofErr w:type="gramStart"/>
      <w:r>
        <w:rPr>
          <w:rFonts w:cstheme="minorHAnsi"/>
        </w:rPr>
        <w:t>study ,</w:t>
      </w:r>
      <w:proofErr w:type="gramEnd"/>
      <w:r>
        <w:rPr>
          <w:rFonts w:cstheme="minorHAnsi"/>
        </w:rPr>
        <w:t xml:space="preserve"> the first one being a retrospective study it is difficult to study exactly the reason which lead to the particular complication in each case ,and the second being missing cases </w:t>
      </w:r>
      <w:r w:rsidRPr="008669A8">
        <w:rPr>
          <w:rFonts w:cstheme="minorHAnsi"/>
        </w:rPr>
        <w:t xml:space="preserve">as we would have missed if the patients presented to other units, or if treatment of  retinal tear in eye casualty  was not recorded on </w:t>
      </w:r>
      <w:proofErr w:type="spellStart"/>
      <w:r w:rsidRPr="008669A8">
        <w:rPr>
          <w:rFonts w:cstheme="minorHAnsi"/>
        </w:rPr>
        <w:t>Medisoft</w:t>
      </w:r>
      <w:proofErr w:type="spellEnd"/>
      <w:r w:rsidRPr="008669A8">
        <w:rPr>
          <w:rFonts w:cstheme="minorHAnsi"/>
        </w:rPr>
        <w:t>.</w:t>
      </w:r>
    </w:p>
    <w:p w:rsidR="008669A8" w:rsidRDefault="008669A8" w:rsidP="008669A8">
      <w:pPr>
        <w:rPr>
          <w:rFonts w:cstheme="minorHAnsi"/>
        </w:rPr>
      </w:pPr>
    </w:p>
    <w:p w:rsidR="008669A8" w:rsidRPr="008669A8" w:rsidRDefault="008669A8" w:rsidP="008669A8">
      <w:pPr>
        <w:ind w:left="360"/>
        <w:rPr>
          <w:rFonts w:cstheme="minorHAnsi"/>
          <w:b/>
        </w:rPr>
      </w:pPr>
      <w:r w:rsidRPr="008669A8">
        <w:rPr>
          <w:rFonts w:cstheme="minorHAnsi"/>
          <w:b/>
        </w:rPr>
        <w:t>Conclusion</w:t>
      </w:r>
      <w:r>
        <w:rPr>
          <w:rFonts w:cstheme="minorHAnsi"/>
          <w:b/>
        </w:rPr>
        <w:t>:</w:t>
      </w:r>
    </w:p>
    <w:p w:rsidR="00000000" w:rsidRPr="008669A8" w:rsidRDefault="008669A8" w:rsidP="008669A8">
      <w:pPr>
        <w:ind w:left="720"/>
        <w:rPr>
          <w:rFonts w:cstheme="minorHAnsi"/>
        </w:rPr>
      </w:pPr>
      <w:r w:rsidRPr="008669A8">
        <w:rPr>
          <w:rFonts w:cstheme="minorHAnsi"/>
        </w:rPr>
        <w:t xml:space="preserve">The risk of developing </w:t>
      </w:r>
      <w:r>
        <w:rPr>
          <w:rFonts w:cstheme="minorHAnsi"/>
        </w:rPr>
        <w:t xml:space="preserve">Retinal detachment </w:t>
      </w:r>
      <w:r w:rsidRPr="008669A8">
        <w:rPr>
          <w:rFonts w:cstheme="minorHAnsi"/>
        </w:rPr>
        <w:t xml:space="preserve">and tears after </w:t>
      </w:r>
      <w:proofErr w:type="spellStart"/>
      <w:r w:rsidRPr="008669A8">
        <w:rPr>
          <w:rFonts w:cstheme="minorHAnsi"/>
        </w:rPr>
        <w:t>intravitreal</w:t>
      </w:r>
      <w:proofErr w:type="spellEnd"/>
      <w:r w:rsidRPr="008669A8">
        <w:rPr>
          <w:rFonts w:cstheme="minorHAnsi"/>
        </w:rPr>
        <w:t xml:space="preserve"> injections is</w:t>
      </w:r>
      <w:r>
        <w:rPr>
          <w:rFonts w:cstheme="minorHAnsi"/>
        </w:rPr>
        <w:t xml:space="preserve"> quite low </w:t>
      </w:r>
      <w:proofErr w:type="gramStart"/>
      <w:r w:rsidRPr="008669A8">
        <w:rPr>
          <w:rFonts w:cstheme="minorHAnsi"/>
        </w:rPr>
        <w:t>Both</w:t>
      </w:r>
      <w:proofErr w:type="gramEnd"/>
      <w:r w:rsidRPr="008669A8">
        <w:rPr>
          <w:rFonts w:cstheme="minorHAnsi"/>
        </w:rPr>
        <w:t xml:space="preserve"> t</w:t>
      </w:r>
      <w:r w:rsidRPr="008669A8">
        <w:rPr>
          <w:rFonts w:cstheme="minorHAnsi"/>
        </w:rPr>
        <w:t>he risk per injection and per eye per course of injection should be reported in research and when consentin</w:t>
      </w:r>
      <w:r>
        <w:rPr>
          <w:rFonts w:cstheme="minorHAnsi"/>
        </w:rPr>
        <w:t xml:space="preserve">g a patient to these </w:t>
      </w:r>
      <w:proofErr w:type="spellStart"/>
      <w:r>
        <w:rPr>
          <w:rFonts w:cstheme="minorHAnsi"/>
        </w:rPr>
        <w:t>treatments.</w:t>
      </w:r>
      <w:r w:rsidRPr="008669A8">
        <w:rPr>
          <w:rFonts w:cstheme="minorHAnsi"/>
        </w:rPr>
        <w:t>Prevalence</w:t>
      </w:r>
      <w:proofErr w:type="spellEnd"/>
      <w:r w:rsidRPr="008669A8">
        <w:rPr>
          <w:rFonts w:cstheme="minorHAnsi"/>
        </w:rPr>
        <w:t xml:space="preserve"> per eye may be more representative of risk than prevalence per injection</w:t>
      </w:r>
    </w:p>
    <w:p w:rsidR="008669A8" w:rsidRDefault="008669A8" w:rsidP="008669A8">
      <w:pPr>
        <w:ind w:left="360"/>
        <w:rPr>
          <w:rFonts w:cstheme="minorHAnsi"/>
        </w:rPr>
      </w:pPr>
    </w:p>
    <w:p w:rsidR="008669A8" w:rsidRDefault="008669A8" w:rsidP="008669A8">
      <w:pPr>
        <w:ind w:left="360"/>
        <w:rPr>
          <w:rFonts w:cstheme="minorHAnsi"/>
        </w:rPr>
      </w:pPr>
    </w:p>
    <w:p w:rsidR="008669A8" w:rsidRPr="008669A8" w:rsidRDefault="008669A8" w:rsidP="008669A8">
      <w:pPr>
        <w:rPr>
          <w:rFonts w:cstheme="minorHAnsi"/>
        </w:rPr>
      </w:pPr>
    </w:p>
    <w:sectPr w:rsidR="008669A8" w:rsidRPr="008669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71E67"/>
    <w:multiLevelType w:val="hybridMultilevel"/>
    <w:tmpl w:val="2B38610A"/>
    <w:lvl w:ilvl="0" w:tplc="590C7B48">
      <w:start w:val="1"/>
      <w:numFmt w:val="bullet"/>
      <w:lvlText w:val=""/>
      <w:lvlJc w:val="left"/>
      <w:pPr>
        <w:tabs>
          <w:tab w:val="num" w:pos="720"/>
        </w:tabs>
        <w:ind w:left="720" w:hanging="360"/>
      </w:pPr>
      <w:rPr>
        <w:rFonts w:ascii="Wingdings 2" w:hAnsi="Wingdings 2" w:hint="default"/>
      </w:rPr>
    </w:lvl>
    <w:lvl w:ilvl="1" w:tplc="12C80086" w:tentative="1">
      <w:start w:val="1"/>
      <w:numFmt w:val="bullet"/>
      <w:lvlText w:val=""/>
      <w:lvlJc w:val="left"/>
      <w:pPr>
        <w:tabs>
          <w:tab w:val="num" w:pos="1440"/>
        </w:tabs>
        <w:ind w:left="1440" w:hanging="360"/>
      </w:pPr>
      <w:rPr>
        <w:rFonts w:ascii="Wingdings 2" w:hAnsi="Wingdings 2" w:hint="default"/>
      </w:rPr>
    </w:lvl>
    <w:lvl w:ilvl="2" w:tplc="6AEEA758" w:tentative="1">
      <w:start w:val="1"/>
      <w:numFmt w:val="bullet"/>
      <w:lvlText w:val=""/>
      <w:lvlJc w:val="left"/>
      <w:pPr>
        <w:tabs>
          <w:tab w:val="num" w:pos="2160"/>
        </w:tabs>
        <w:ind w:left="2160" w:hanging="360"/>
      </w:pPr>
      <w:rPr>
        <w:rFonts w:ascii="Wingdings 2" w:hAnsi="Wingdings 2" w:hint="default"/>
      </w:rPr>
    </w:lvl>
    <w:lvl w:ilvl="3" w:tplc="6EA63E5C" w:tentative="1">
      <w:start w:val="1"/>
      <w:numFmt w:val="bullet"/>
      <w:lvlText w:val=""/>
      <w:lvlJc w:val="left"/>
      <w:pPr>
        <w:tabs>
          <w:tab w:val="num" w:pos="2880"/>
        </w:tabs>
        <w:ind w:left="2880" w:hanging="360"/>
      </w:pPr>
      <w:rPr>
        <w:rFonts w:ascii="Wingdings 2" w:hAnsi="Wingdings 2" w:hint="default"/>
      </w:rPr>
    </w:lvl>
    <w:lvl w:ilvl="4" w:tplc="C9F69014" w:tentative="1">
      <w:start w:val="1"/>
      <w:numFmt w:val="bullet"/>
      <w:lvlText w:val=""/>
      <w:lvlJc w:val="left"/>
      <w:pPr>
        <w:tabs>
          <w:tab w:val="num" w:pos="3600"/>
        </w:tabs>
        <w:ind w:left="3600" w:hanging="360"/>
      </w:pPr>
      <w:rPr>
        <w:rFonts w:ascii="Wingdings 2" w:hAnsi="Wingdings 2" w:hint="default"/>
      </w:rPr>
    </w:lvl>
    <w:lvl w:ilvl="5" w:tplc="EB40A5C2" w:tentative="1">
      <w:start w:val="1"/>
      <w:numFmt w:val="bullet"/>
      <w:lvlText w:val=""/>
      <w:lvlJc w:val="left"/>
      <w:pPr>
        <w:tabs>
          <w:tab w:val="num" w:pos="4320"/>
        </w:tabs>
        <w:ind w:left="4320" w:hanging="360"/>
      </w:pPr>
      <w:rPr>
        <w:rFonts w:ascii="Wingdings 2" w:hAnsi="Wingdings 2" w:hint="default"/>
      </w:rPr>
    </w:lvl>
    <w:lvl w:ilvl="6" w:tplc="8A44C888" w:tentative="1">
      <w:start w:val="1"/>
      <w:numFmt w:val="bullet"/>
      <w:lvlText w:val=""/>
      <w:lvlJc w:val="left"/>
      <w:pPr>
        <w:tabs>
          <w:tab w:val="num" w:pos="5040"/>
        </w:tabs>
        <w:ind w:left="5040" w:hanging="360"/>
      </w:pPr>
      <w:rPr>
        <w:rFonts w:ascii="Wingdings 2" w:hAnsi="Wingdings 2" w:hint="default"/>
      </w:rPr>
    </w:lvl>
    <w:lvl w:ilvl="7" w:tplc="BA387BBC" w:tentative="1">
      <w:start w:val="1"/>
      <w:numFmt w:val="bullet"/>
      <w:lvlText w:val=""/>
      <w:lvlJc w:val="left"/>
      <w:pPr>
        <w:tabs>
          <w:tab w:val="num" w:pos="5760"/>
        </w:tabs>
        <w:ind w:left="5760" w:hanging="360"/>
      </w:pPr>
      <w:rPr>
        <w:rFonts w:ascii="Wingdings 2" w:hAnsi="Wingdings 2" w:hint="default"/>
      </w:rPr>
    </w:lvl>
    <w:lvl w:ilvl="8" w:tplc="54327A24" w:tentative="1">
      <w:start w:val="1"/>
      <w:numFmt w:val="bullet"/>
      <w:lvlText w:val=""/>
      <w:lvlJc w:val="left"/>
      <w:pPr>
        <w:tabs>
          <w:tab w:val="num" w:pos="6480"/>
        </w:tabs>
        <w:ind w:left="6480" w:hanging="360"/>
      </w:pPr>
      <w:rPr>
        <w:rFonts w:ascii="Wingdings 2" w:hAnsi="Wingdings 2" w:hint="default"/>
      </w:rPr>
    </w:lvl>
  </w:abstractNum>
  <w:abstractNum w:abstractNumId="1">
    <w:nsid w:val="33F15868"/>
    <w:multiLevelType w:val="hybridMultilevel"/>
    <w:tmpl w:val="BED47F16"/>
    <w:lvl w:ilvl="0" w:tplc="1108CE7C">
      <w:start w:val="1"/>
      <w:numFmt w:val="bullet"/>
      <w:lvlText w:val=""/>
      <w:lvlJc w:val="left"/>
      <w:pPr>
        <w:tabs>
          <w:tab w:val="num" w:pos="720"/>
        </w:tabs>
        <w:ind w:left="720" w:hanging="360"/>
      </w:pPr>
      <w:rPr>
        <w:rFonts w:ascii="Wingdings 2" w:hAnsi="Wingdings 2" w:hint="default"/>
      </w:rPr>
    </w:lvl>
    <w:lvl w:ilvl="1" w:tplc="F6C22A48" w:tentative="1">
      <w:start w:val="1"/>
      <w:numFmt w:val="bullet"/>
      <w:lvlText w:val=""/>
      <w:lvlJc w:val="left"/>
      <w:pPr>
        <w:tabs>
          <w:tab w:val="num" w:pos="1440"/>
        </w:tabs>
        <w:ind w:left="1440" w:hanging="360"/>
      </w:pPr>
      <w:rPr>
        <w:rFonts w:ascii="Wingdings 2" w:hAnsi="Wingdings 2" w:hint="default"/>
      </w:rPr>
    </w:lvl>
    <w:lvl w:ilvl="2" w:tplc="9438A694" w:tentative="1">
      <w:start w:val="1"/>
      <w:numFmt w:val="bullet"/>
      <w:lvlText w:val=""/>
      <w:lvlJc w:val="left"/>
      <w:pPr>
        <w:tabs>
          <w:tab w:val="num" w:pos="2160"/>
        </w:tabs>
        <w:ind w:left="2160" w:hanging="360"/>
      </w:pPr>
      <w:rPr>
        <w:rFonts w:ascii="Wingdings 2" w:hAnsi="Wingdings 2" w:hint="default"/>
      </w:rPr>
    </w:lvl>
    <w:lvl w:ilvl="3" w:tplc="0434B020" w:tentative="1">
      <w:start w:val="1"/>
      <w:numFmt w:val="bullet"/>
      <w:lvlText w:val=""/>
      <w:lvlJc w:val="left"/>
      <w:pPr>
        <w:tabs>
          <w:tab w:val="num" w:pos="2880"/>
        </w:tabs>
        <w:ind w:left="2880" w:hanging="360"/>
      </w:pPr>
      <w:rPr>
        <w:rFonts w:ascii="Wingdings 2" w:hAnsi="Wingdings 2" w:hint="default"/>
      </w:rPr>
    </w:lvl>
    <w:lvl w:ilvl="4" w:tplc="52FE6F98" w:tentative="1">
      <w:start w:val="1"/>
      <w:numFmt w:val="bullet"/>
      <w:lvlText w:val=""/>
      <w:lvlJc w:val="left"/>
      <w:pPr>
        <w:tabs>
          <w:tab w:val="num" w:pos="3600"/>
        </w:tabs>
        <w:ind w:left="3600" w:hanging="360"/>
      </w:pPr>
      <w:rPr>
        <w:rFonts w:ascii="Wingdings 2" w:hAnsi="Wingdings 2" w:hint="default"/>
      </w:rPr>
    </w:lvl>
    <w:lvl w:ilvl="5" w:tplc="96D26D4A" w:tentative="1">
      <w:start w:val="1"/>
      <w:numFmt w:val="bullet"/>
      <w:lvlText w:val=""/>
      <w:lvlJc w:val="left"/>
      <w:pPr>
        <w:tabs>
          <w:tab w:val="num" w:pos="4320"/>
        </w:tabs>
        <w:ind w:left="4320" w:hanging="360"/>
      </w:pPr>
      <w:rPr>
        <w:rFonts w:ascii="Wingdings 2" w:hAnsi="Wingdings 2" w:hint="default"/>
      </w:rPr>
    </w:lvl>
    <w:lvl w:ilvl="6" w:tplc="178E0AE8" w:tentative="1">
      <w:start w:val="1"/>
      <w:numFmt w:val="bullet"/>
      <w:lvlText w:val=""/>
      <w:lvlJc w:val="left"/>
      <w:pPr>
        <w:tabs>
          <w:tab w:val="num" w:pos="5040"/>
        </w:tabs>
        <w:ind w:left="5040" w:hanging="360"/>
      </w:pPr>
      <w:rPr>
        <w:rFonts w:ascii="Wingdings 2" w:hAnsi="Wingdings 2" w:hint="default"/>
      </w:rPr>
    </w:lvl>
    <w:lvl w:ilvl="7" w:tplc="CF9C3DCE" w:tentative="1">
      <w:start w:val="1"/>
      <w:numFmt w:val="bullet"/>
      <w:lvlText w:val=""/>
      <w:lvlJc w:val="left"/>
      <w:pPr>
        <w:tabs>
          <w:tab w:val="num" w:pos="5760"/>
        </w:tabs>
        <w:ind w:left="5760" w:hanging="360"/>
      </w:pPr>
      <w:rPr>
        <w:rFonts w:ascii="Wingdings 2" w:hAnsi="Wingdings 2" w:hint="default"/>
      </w:rPr>
    </w:lvl>
    <w:lvl w:ilvl="8" w:tplc="8CAC1A80" w:tentative="1">
      <w:start w:val="1"/>
      <w:numFmt w:val="bullet"/>
      <w:lvlText w:val=""/>
      <w:lvlJc w:val="left"/>
      <w:pPr>
        <w:tabs>
          <w:tab w:val="num" w:pos="6480"/>
        </w:tabs>
        <w:ind w:left="6480" w:hanging="360"/>
      </w:pPr>
      <w:rPr>
        <w:rFonts w:ascii="Wingdings 2" w:hAnsi="Wingdings 2" w:hint="default"/>
      </w:rPr>
    </w:lvl>
  </w:abstractNum>
  <w:abstractNum w:abstractNumId="2">
    <w:nsid w:val="38FA0DC1"/>
    <w:multiLevelType w:val="hybridMultilevel"/>
    <w:tmpl w:val="BC36DE96"/>
    <w:lvl w:ilvl="0" w:tplc="A7DE99A6">
      <w:start w:val="1"/>
      <w:numFmt w:val="bullet"/>
      <w:lvlText w:val=""/>
      <w:lvlJc w:val="left"/>
      <w:pPr>
        <w:tabs>
          <w:tab w:val="num" w:pos="720"/>
        </w:tabs>
        <w:ind w:left="720" w:hanging="360"/>
      </w:pPr>
      <w:rPr>
        <w:rFonts w:ascii="Wingdings 2" w:hAnsi="Wingdings 2" w:hint="default"/>
      </w:rPr>
    </w:lvl>
    <w:lvl w:ilvl="1" w:tplc="F65266FC" w:tentative="1">
      <w:start w:val="1"/>
      <w:numFmt w:val="bullet"/>
      <w:lvlText w:val=""/>
      <w:lvlJc w:val="left"/>
      <w:pPr>
        <w:tabs>
          <w:tab w:val="num" w:pos="1440"/>
        </w:tabs>
        <w:ind w:left="1440" w:hanging="360"/>
      </w:pPr>
      <w:rPr>
        <w:rFonts w:ascii="Wingdings 2" w:hAnsi="Wingdings 2" w:hint="default"/>
      </w:rPr>
    </w:lvl>
    <w:lvl w:ilvl="2" w:tplc="3482C272" w:tentative="1">
      <w:start w:val="1"/>
      <w:numFmt w:val="bullet"/>
      <w:lvlText w:val=""/>
      <w:lvlJc w:val="left"/>
      <w:pPr>
        <w:tabs>
          <w:tab w:val="num" w:pos="2160"/>
        </w:tabs>
        <w:ind w:left="2160" w:hanging="360"/>
      </w:pPr>
      <w:rPr>
        <w:rFonts w:ascii="Wingdings 2" w:hAnsi="Wingdings 2" w:hint="default"/>
      </w:rPr>
    </w:lvl>
    <w:lvl w:ilvl="3" w:tplc="2040AC8A" w:tentative="1">
      <w:start w:val="1"/>
      <w:numFmt w:val="bullet"/>
      <w:lvlText w:val=""/>
      <w:lvlJc w:val="left"/>
      <w:pPr>
        <w:tabs>
          <w:tab w:val="num" w:pos="2880"/>
        </w:tabs>
        <w:ind w:left="2880" w:hanging="360"/>
      </w:pPr>
      <w:rPr>
        <w:rFonts w:ascii="Wingdings 2" w:hAnsi="Wingdings 2" w:hint="default"/>
      </w:rPr>
    </w:lvl>
    <w:lvl w:ilvl="4" w:tplc="D1E8271A" w:tentative="1">
      <w:start w:val="1"/>
      <w:numFmt w:val="bullet"/>
      <w:lvlText w:val=""/>
      <w:lvlJc w:val="left"/>
      <w:pPr>
        <w:tabs>
          <w:tab w:val="num" w:pos="3600"/>
        </w:tabs>
        <w:ind w:left="3600" w:hanging="360"/>
      </w:pPr>
      <w:rPr>
        <w:rFonts w:ascii="Wingdings 2" w:hAnsi="Wingdings 2" w:hint="default"/>
      </w:rPr>
    </w:lvl>
    <w:lvl w:ilvl="5" w:tplc="7C10D358" w:tentative="1">
      <w:start w:val="1"/>
      <w:numFmt w:val="bullet"/>
      <w:lvlText w:val=""/>
      <w:lvlJc w:val="left"/>
      <w:pPr>
        <w:tabs>
          <w:tab w:val="num" w:pos="4320"/>
        </w:tabs>
        <w:ind w:left="4320" w:hanging="360"/>
      </w:pPr>
      <w:rPr>
        <w:rFonts w:ascii="Wingdings 2" w:hAnsi="Wingdings 2" w:hint="default"/>
      </w:rPr>
    </w:lvl>
    <w:lvl w:ilvl="6" w:tplc="5EFEBFC2" w:tentative="1">
      <w:start w:val="1"/>
      <w:numFmt w:val="bullet"/>
      <w:lvlText w:val=""/>
      <w:lvlJc w:val="left"/>
      <w:pPr>
        <w:tabs>
          <w:tab w:val="num" w:pos="5040"/>
        </w:tabs>
        <w:ind w:left="5040" w:hanging="360"/>
      </w:pPr>
      <w:rPr>
        <w:rFonts w:ascii="Wingdings 2" w:hAnsi="Wingdings 2" w:hint="default"/>
      </w:rPr>
    </w:lvl>
    <w:lvl w:ilvl="7" w:tplc="07A6E40A" w:tentative="1">
      <w:start w:val="1"/>
      <w:numFmt w:val="bullet"/>
      <w:lvlText w:val=""/>
      <w:lvlJc w:val="left"/>
      <w:pPr>
        <w:tabs>
          <w:tab w:val="num" w:pos="5760"/>
        </w:tabs>
        <w:ind w:left="5760" w:hanging="360"/>
      </w:pPr>
      <w:rPr>
        <w:rFonts w:ascii="Wingdings 2" w:hAnsi="Wingdings 2" w:hint="default"/>
      </w:rPr>
    </w:lvl>
    <w:lvl w:ilvl="8" w:tplc="EA52D284" w:tentative="1">
      <w:start w:val="1"/>
      <w:numFmt w:val="bullet"/>
      <w:lvlText w:val=""/>
      <w:lvlJc w:val="left"/>
      <w:pPr>
        <w:tabs>
          <w:tab w:val="num" w:pos="6480"/>
        </w:tabs>
        <w:ind w:left="6480" w:hanging="360"/>
      </w:pPr>
      <w:rPr>
        <w:rFonts w:ascii="Wingdings 2" w:hAnsi="Wingdings 2" w:hint="default"/>
      </w:rPr>
    </w:lvl>
  </w:abstractNum>
  <w:abstractNum w:abstractNumId="3">
    <w:nsid w:val="4ACA7A67"/>
    <w:multiLevelType w:val="hybridMultilevel"/>
    <w:tmpl w:val="1DC42A7C"/>
    <w:lvl w:ilvl="0" w:tplc="3E84DE3C">
      <w:start w:val="1"/>
      <w:numFmt w:val="bullet"/>
      <w:lvlText w:val=""/>
      <w:lvlJc w:val="left"/>
      <w:pPr>
        <w:tabs>
          <w:tab w:val="num" w:pos="720"/>
        </w:tabs>
        <w:ind w:left="720" w:hanging="360"/>
      </w:pPr>
      <w:rPr>
        <w:rFonts w:ascii="Wingdings 2" w:hAnsi="Wingdings 2" w:hint="default"/>
      </w:rPr>
    </w:lvl>
    <w:lvl w:ilvl="1" w:tplc="31B8CD6E" w:tentative="1">
      <w:start w:val="1"/>
      <w:numFmt w:val="bullet"/>
      <w:lvlText w:val=""/>
      <w:lvlJc w:val="left"/>
      <w:pPr>
        <w:tabs>
          <w:tab w:val="num" w:pos="1440"/>
        </w:tabs>
        <w:ind w:left="1440" w:hanging="360"/>
      </w:pPr>
      <w:rPr>
        <w:rFonts w:ascii="Wingdings 2" w:hAnsi="Wingdings 2" w:hint="default"/>
      </w:rPr>
    </w:lvl>
    <w:lvl w:ilvl="2" w:tplc="90CEC912" w:tentative="1">
      <w:start w:val="1"/>
      <w:numFmt w:val="bullet"/>
      <w:lvlText w:val=""/>
      <w:lvlJc w:val="left"/>
      <w:pPr>
        <w:tabs>
          <w:tab w:val="num" w:pos="2160"/>
        </w:tabs>
        <w:ind w:left="2160" w:hanging="360"/>
      </w:pPr>
      <w:rPr>
        <w:rFonts w:ascii="Wingdings 2" w:hAnsi="Wingdings 2" w:hint="default"/>
      </w:rPr>
    </w:lvl>
    <w:lvl w:ilvl="3" w:tplc="551212D6" w:tentative="1">
      <w:start w:val="1"/>
      <w:numFmt w:val="bullet"/>
      <w:lvlText w:val=""/>
      <w:lvlJc w:val="left"/>
      <w:pPr>
        <w:tabs>
          <w:tab w:val="num" w:pos="2880"/>
        </w:tabs>
        <w:ind w:left="2880" w:hanging="360"/>
      </w:pPr>
      <w:rPr>
        <w:rFonts w:ascii="Wingdings 2" w:hAnsi="Wingdings 2" w:hint="default"/>
      </w:rPr>
    </w:lvl>
    <w:lvl w:ilvl="4" w:tplc="1610D1C4" w:tentative="1">
      <w:start w:val="1"/>
      <w:numFmt w:val="bullet"/>
      <w:lvlText w:val=""/>
      <w:lvlJc w:val="left"/>
      <w:pPr>
        <w:tabs>
          <w:tab w:val="num" w:pos="3600"/>
        </w:tabs>
        <w:ind w:left="3600" w:hanging="360"/>
      </w:pPr>
      <w:rPr>
        <w:rFonts w:ascii="Wingdings 2" w:hAnsi="Wingdings 2" w:hint="default"/>
      </w:rPr>
    </w:lvl>
    <w:lvl w:ilvl="5" w:tplc="D5F21B84" w:tentative="1">
      <w:start w:val="1"/>
      <w:numFmt w:val="bullet"/>
      <w:lvlText w:val=""/>
      <w:lvlJc w:val="left"/>
      <w:pPr>
        <w:tabs>
          <w:tab w:val="num" w:pos="4320"/>
        </w:tabs>
        <w:ind w:left="4320" w:hanging="360"/>
      </w:pPr>
      <w:rPr>
        <w:rFonts w:ascii="Wingdings 2" w:hAnsi="Wingdings 2" w:hint="default"/>
      </w:rPr>
    </w:lvl>
    <w:lvl w:ilvl="6" w:tplc="F5C8BFF2" w:tentative="1">
      <w:start w:val="1"/>
      <w:numFmt w:val="bullet"/>
      <w:lvlText w:val=""/>
      <w:lvlJc w:val="left"/>
      <w:pPr>
        <w:tabs>
          <w:tab w:val="num" w:pos="5040"/>
        </w:tabs>
        <w:ind w:left="5040" w:hanging="360"/>
      </w:pPr>
      <w:rPr>
        <w:rFonts w:ascii="Wingdings 2" w:hAnsi="Wingdings 2" w:hint="default"/>
      </w:rPr>
    </w:lvl>
    <w:lvl w:ilvl="7" w:tplc="3D58BD3E" w:tentative="1">
      <w:start w:val="1"/>
      <w:numFmt w:val="bullet"/>
      <w:lvlText w:val=""/>
      <w:lvlJc w:val="left"/>
      <w:pPr>
        <w:tabs>
          <w:tab w:val="num" w:pos="5760"/>
        </w:tabs>
        <w:ind w:left="5760" w:hanging="360"/>
      </w:pPr>
      <w:rPr>
        <w:rFonts w:ascii="Wingdings 2" w:hAnsi="Wingdings 2" w:hint="default"/>
      </w:rPr>
    </w:lvl>
    <w:lvl w:ilvl="8" w:tplc="7A520E84" w:tentative="1">
      <w:start w:val="1"/>
      <w:numFmt w:val="bullet"/>
      <w:lvlText w:val=""/>
      <w:lvlJc w:val="left"/>
      <w:pPr>
        <w:tabs>
          <w:tab w:val="num" w:pos="6480"/>
        </w:tabs>
        <w:ind w:left="6480" w:hanging="360"/>
      </w:pPr>
      <w:rPr>
        <w:rFonts w:ascii="Wingdings 2" w:hAnsi="Wingdings 2" w:hint="default"/>
      </w:rPr>
    </w:lvl>
  </w:abstractNum>
  <w:abstractNum w:abstractNumId="4">
    <w:nsid w:val="56485483"/>
    <w:multiLevelType w:val="hybridMultilevel"/>
    <w:tmpl w:val="F5BCCB5C"/>
    <w:lvl w:ilvl="0" w:tplc="3858F21A">
      <w:start w:val="1"/>
      <w:numFmt w:val="bullet"/>
      <w:lvlText w:val=""/>
      <w:lvlJc w:val="left"/>
      <w:pPr>
        <w:tabs>
          <w:tab w:val="num" w:pos="720"/>
        </w:tabs>
        <w:ind w:left="720" w:hanging="360"/>
      </w:pPr>
      <w:rPr>
        <w:rFonts w:ascii="Wingdings 2" w:hAnsi="Wingdings 2" w:hint="default"/>
      </w:rPr>
    </w:lvl>
    <w:lvl w:ilvl="1" w:tplc="786AFF3C" w:tentative="1">
      <w:start w:val="1"/>
      <w:numFmt w:val="bullet"/>
      <w:lvlText w:val=""/>
      <w:lvlJc w:val="left"/>
      <w:pPr>
        <w:tabs>
          <w:tab w:val="num" w:pos="1440"/>
        </w:tabs>
        <w:ind w:left="1440" w:hanging="360"/>
      </w:pPr>
      <w:rPr>
        <w:rFonts w:ascii="Wingdings 2" w:hAnsi="Wingdings 2" w:hint="default"/>
      </w:rPr>
    </w:lvl>
    <w:lvl w:ilvl="2" w:tplc="5FDAA6AA" w:tentative="1">
      <w:start w:val="1"/>
      <w:numFmt w:val="bullet"/>
      <w:lvlText w:val=""/>
      <w:lvlJc w:val="left"/>
      <w:pPr>
        <w:tabs>
          <w:tab w:val="num" w:pos="2160"/>
        </w:tabs>
        <w:ind w:left="2160" w:hanging="360"/>
      </w:pPr>
      <w:rPr>
        <w:rFonts w:ascii="Wingdings 2" w:hAnsi="Wingdings 2" w:hint="default"/>
      </w:rPr>
    </w:lvl>
    <w:lvl w:ilvl="3" w:tplc="3B00C456" w:tentative="1">
      <w:start w:val="1"/>
      <w:numFmt w:val="bullet"/>
      <w:lvlText w:val=""/>
      <w:lvlJc w:val="left"/>
      <w:pPr>
        <w:tabs>
          <w:tab w:val="num" w:pos="2880"/>
        </w:tabs>
        <w:ind w:left="2880" w:hanging="360"/>
      </w:pPr>
      <w:rPr>
        <w:rFonts w:ascii="Wingdings 2" w:hAnsi="Wingdings 2" w:hint="default"/>
      </w:rPr>
    </w:lvl>
    <w:lvl w:ilvl="4" w:tplc="B86C8446" w:tentative="1">
      <w:start w:val="1"/>
      <w:numFmt w:val="bullet"/>
      <w:lvlText w:val=""/>
      <w:lvlJc w:val="left"/>
      <w:pPr>
        <w:tabs>
          <w:tab w:val="num" w:pos="3600"/>
        </w:tabs>
        <w:ind w:left="3600" w:hanging="360"/>
      </w:pPr>
      <w:rPr>
        <w:rFonts w:ascii="Wingdings 2" w:hAnsi="Wingdings 2" w:hint="default"/>
      </w:rPr>
    </w:lvl>
    <w:lvl w:ilvl="5" w:tplc="12F45CEE" w:tentative="1">
      <w:start w:val="1"/>
      <w:numFmt w:val="bullet"/>
      <w:lvlText w:val=""/>
      <w:lvlJc w:val="left"/>
      <w:pPr>
        <w:tabs>
          <w:tab w:val="num" w:pos="4320"/>
        </w:tabs>
        <w:ind w:left="4320" w:hanging="360"/>
      </w:pPr>
      <w:rPr>
        <w:rFonts w:ascii="Wingdings 2" w:hAnsi="Wingdings 2" w:hint="default"/>
      </w:rPr>
    </w:lvl>
    <w:lvl w:ilvl="6" w:tplc="7512AE98" w:tentative="1">
      <w:start w:val="1"/>
      <w:numFmt w:val="bullet"/>
      <w:lvlText w:val=""/>
      <w:lvlJc w:val="left"/>
      <w:pPr>
        <w:tabs>
          <w:tab w:val="num" w:pos="5040"/>
        </w:tabs>
        <w:ind w:left="5040" w:hanging="360"/>
      </w:pPr>
      <w:rPr>
        <w:rFonts w:ascii="Wingdings 2" w:hAnsi="Wingdings 2" w:hint="default"/>
      </w:rPr>
    </w:lvl>
    <w:lvl w:ilvl="7" w:tplc="8B9C883C" w:tentative="1">
      <w:start w:val="1"/>
      <w:numFmt w:val="bullet"/>
      <w:lvlText w:val=""/>
      <w:lvlJc w:val="left"/>
      <w:pPr>
        <w:tabs>
          <w:tab w:val="num" w:pos="5760"/>
        </w:tabs>
        <w:ind w:left="5760" w:hanging="360"/>
      </w:pPr>
      <w:rPr>
        <w:rFonts w:ascii="Wingdings 2" w:hAnsi="Wingdings 2" w:hint="default"/>
      </w:rPr>
    </w:lvl>
    <w:lvl w:ilvl="8" w:tplc="D0D293EC" w:tentative="1">
      <w:start w:val="1"/>
      <w:numFmt w:val="bullet"/>
      <w:lvlText w:val=""/>
      <w:lvlJc w:val="left"/>
      <w:pPr>
        <w:tabs>
          <w:tab w:val="num" w:pos="6480"/>
        </w:tabs>
        <w:ind w:left="6480" w:hanging="360"/>
      </w:pPr>
      <w:rPr>
        <w:rFonts w:ascii="Wingdings 2" w:hAnsi="Wingdings 2" w:hint="default"/>
      </w:rPr>
    </w:lvl>
  </w:abstractNum>
  <w:abstractNum w:abstractNumId="5">
    <w:nsid w:val="5ED270EE"/>
    <w:multiLevelType w:val="hybridMultilevel"/>
    <w:tmpl w:val="5DCCD59A"/>
    <w:lvl w:ilvl="0" w:tplc="2600293A">
      <w:start w:val="1"/>
      <w:numFmt w:val="bullet"/>
      <w:lvlText w:val=""/>
      <w:lvlJc w:val="left"/>
      <w:pPr>
        <w:tabs>
          <w:tab w:val="num" w:pos="720"/>
        </w:tabs>
        <w:ind w:left="720" w:hanging="360"/>
      </w:pPr>
      <w:rPr>
        <w:rFonts w:ascii="Wingdings 2" w:hAnsi="Wingdings 2" w:hint="default"/>
      </w:rPr>
    </w:lvl>
    <w:lvl w:ilvl="1" w:tplc="0106C58A" w:tentative="1">
      <w:start w:val="1"/>
      <w:numFmt w:val="bullet"/>
      <w:lvlText w:val=""/>
      <w:lvlJc w:val="left"/>
      <w:pPr>
        <w:tabs>
          <w:tab w:val="num" w:pos="1440"/>
        </w:tabs>
        <w:ind w:left="1440" w:hanging="360"/>
      </w:pPr>
      <w:rPr>
        <w:rFonts w:ascii="Wingdings 2" w:hAnsi="Wingdings 2" w:hint="default"/>
      </w:rPr>
    </w:lvl>
    <w:lvl w:ilvl="2" w:tplc="F4E22F30" w:tentative="1">
      <w:start w:val="1"/>
      <w:numFmt w:val="bullet"/>
      <w:lvlText w:val=""/>
      <w:lvlJc w:val="left"/>
      <w:pPr>
        <w:tabs>
          <w:tab w:val="num" w:pos="2160"/>
        </w:tabs>
        <w:ind w:left="2160" w:hanging="360"/>
      </w:pPr>
      <w:rPr>
        <w:rFonts w:ascii="Wingdings 2" w:hAnsi="Wingdings 2" w:hint="default"/>
      </w:rPr>
    </w:lvl>
    <w:lvl w:ilvl="3" w:tplc="B9545B1E" w:tentative="1">
      <w:start w:val="1"/>
      <w:numFmt w:val="bullet"/>
      <w:lvlText w:val=""/>
      <w:lvlJc w:val="left"/>
      <w:pPr>
        <w:tabs>
          <w:tab w:val="num" w:pos="2880"/>
        </w:tabs>
        <w:ind w:left="2880" w:hanging="360"/>
      </w:pPr>
      <w:rPr>
        <w:rFonts w:ascii="Wingdings 2" w:hAnsi="Wingdings 2" w:hint="default"/>
      </w:rPr>
    </w:lvl>
    <w:lvl w:ilvl="4" w:tplc="FF74CCD8" w:tentative="1">
      <w:start w:val="1"/>
      <w:numFmt w:val="bullet"/>
      <w:lvlText w:val=""/>
      <w:lvlJc w:val="left"/>
      <w:pPr>
        <w:tabs>
          <w:tab w:val="num" w:pos="3600"/>
        </w:tabs>
        <w:ind w:left="3600" w:hanging="360"/>
      </w:pPr>
      <w:rPr>
        <w:rFonts w:ascii="Wingdings 2" w:hAnsi="Wingdings 2" w:hint="default"/>
      </w:rPr>
    </w:lvl>
    <w:lvl w:ilvl="5" w:tplc="11787FF0" w:tentative="1">
      <w:start w:val="1"/>
      <w:numFmt w:val="bullet"/>
      <w:lvlText w:val=""/>
      <w:lvlJc w:val="left"/>
      <w:pPr>
        <w:tabs>
          <w:tab w:val="num" w:pos="4320"/>
        </w:tabs>
        <w:ind w:left="4320" w:hanging="360"/>
      </w:pPr>
      <w:rPr>
        <w:rFonts w:ascii="Wingdings 2" w:hAnsi="Wingdings 2" w:hint="default"/>
      </w:rPr>
    </w:lvl>
    <w:lvl w:ilvl="6" w:tplc="911EBBB4" w:tentative="1">
      <w:start w:val="1"/>
      <w:numFmt w:val="bullet"/>
      <w:lvlText w:val=""/>
      <w:lvlJc w:val="left"/>
      <w:pPr>
        <w:tabs>
          <w:tab w:val="num" w:pos="5040"/>
        </w:tabs>
        <w:ind w:left="5040" w:hanging="360"/>
      </w:pPr>
      <w:rPr>
        <w:rFonts w:ascii="Wingdings 2" w:hAnsi="Wingdings 2" w:hint="default"/>
      </w:rPr>
    </w:lvl>
    <w:lvl w:ilvl="7" w:tplc="944EF406" w:tentative="1">
      <w:start w:val="1"/>
      <w:numFmt w:val="bullet"/>
      <w:lvlText w:val=""/>
      <w:lvlJc w:val="left"/>
      <w:pPr>
        <w:tabs>
          <w:tab w:val="num" w:pos="5760"/>
        </w:tabs>
        <w:ind w:left="5760" w:hanging="360"/>
      </w:pPr>
      <w:rPr>
        <w:rFonts w:ascii="Wingdings 2" w:hAnsi="Wingdings 2" w:hint="default"/>
      </w:rPr>
    </w:lvl>
    <w:lvl w:ilvl="8" w:tplc="55BA2E60" w:tentative="1">
      <w:start w:val="1"/>
      <w:numFmt w:val="bullet"/>
      <w:lvlText w:val=""/>
      <w:lvlJc w:val="left"/>
      <w:pPr>
        <w:tabs>
          <w:tab w:val="num" w:pos="6480"/>
        </w:tabs>
        <w:ind w:left="6480" w:hanging="360"/>
      </w:pPr>
      <w:rPr>
        <w:rFonts w:ascii="Wingdings 2" w:hAnsi="Wingdings 2" w:hint="default"/>
      </w:rPr>
    </w:lvl>
  </w:abstractNum>
  <w:abstractNum w:abstractNumId="6">
    <w:nsid w:val="67101D09"/>
    <w:multiLevelType w:val="hybridMultilevel"/>
    <w:tmpl w:val="1DE89F6A"/>
    <w:lvl w:ilvl="0" w:tplc="425C241E">
      <w:start w:val="1"/>
      <w:numFmt w:val="bullet"/>
      <w:lvlText w:val="o"/>
      <w:lvlJc w:val="left"/>
      <w:pPr>
        <w:tabs>
          <w:tab w:val="num" w:pos="720"/>
        </w:tabs>
        <w:ind w:left="720" w:hanging="360"/>
      </w:pPr>
      <w:rPr>
        <w:rFonts w:ascii="Courier New" w:hAnsi="Courier New" w:hint="default"/>
      </w:rPr>
    </w:lvl>
    <w:lvl w:ilvl="1" w:tplc="F81E30D6" w:tentative="1">
      <w:start w:val="1"/>
      <w:numFmt w:val="bullet"/>
      <w:lvlText w:val="o"/>
      <w:lvlJc w:val="left"/>
      <w:pPr>
        <w:tabs>
          <w:tab w:val="num" w:pos="1440"/>
        </w:tabs>
        <w:ind w:left="1440" w:hanging="360"/>
      </w:pPr>
      <w:rPr>
        <w:rFonts w:ascii="Courier New" w:hAnsi="Courier New" w:hint="default"/>
      </w:rPr>
    </w:lvl>
    <w:lvl w:ilvl="2" w:tplc="FC0E3800" w:tentative="1">
      <w:start w:val="1"/>
      <w:numFmt w:val="bullet"/>
      <w:lvlText w:val="o"/>
      <w:lvlJc w:val="left"/>
      <w:pPr>
        <w:tabs>
          <w:tab w:val="num" w:pos="2160"/>
        </w:tabs>
        <w:ind w:left="2160" w:hanging="360"/>
      </w:pPr>
      <w:rPr>
        <w:rFonts w:ascii="Courier New" w:hAnsi="Courier New" w:hint="default"/>
      </w:rPr>
    </w:lvl>
    <w:lvl w:ilvl="3" w:tplc="A9B4F7B0" w:tentative="1">
      <w:start w:val="1"/>
      <w:numFmt w:val="bullet"/>
      <w:lvlText w:val="o"/>
      <w:lvlJc w:val="left"/>
      <w:pPr>
        <w:tabs>
          <w:tab w:val="num" w:pos="2880"/>
        </w:tabs>
        <w:ind w:left="2880" w:hanging="360"/>
      </w:pPr>
      <w:rPr>
        <w:rFonts w:ascii="Courier New" w:hAnsi="Courier New" w:hint="default"/>
      </w:rPr>
    </w:lvl>
    <w:lvl w:ilvl="4" w:tplc="BF80043E" w:tentative="1">
      <w:start w:val="1"/>
      <w:numFmt w:val="bullet"/>
      <w:lvlText w:val="o"/>
      <w:lvlJc w:val="left"/>
      <w:pPr>
        <w:tabs>
          <w:tab w:val="num" w:pos="3600"/>
        </w:tabs>
        <w:ind w:left="3600" w:hanging="360"/>
      </w:pPr>
      <w:rPr>
        <w:rFonts w:ascii="Courier New" w:hAnsi="Courier New" w:hint="default"/>
      </w:rPr>
    </w:lvl>
    <w:lvl w:ilvl="5" w:tplc="003A07DE" w:tentative="1">
      <w:start w:val="1"/>
      <w:numFmt w:val="bullet"/>
      <w:lvlText w:val="o"/>
      <w:lvlJc w:val="left"/>
      <w:pPr>
        <w:tabs>
          <w:tab w:val="num" w:pos="4320"/>
        </w:tabs>
        <w:ind w:left="4320" w:hanging="360"/>
      </w:pPr>
      <w:rPr>
        <w:rFonts w:ascii="Courier New" w:hAnsi="Courier New" w:hint="default"/>
      </w:rPr>
    </w:lvl>
    <w:lvl w:ilvl="6" w:tplc="3790DBCA" w:tentative="1">
      <w:start w:val="1"/>
      <w:numFmt w:val="bullet"/>
      <w:lvlText w:val="o"/>
      <w:lvlJc w:val="left"/>
      <w:pPr>
        <w:tabs>
          <w:tab w:val="num" w:pos="5040"/>
        </w:tabs>
        <w:ind w:left="5040" w:hanging="360"/>
      </w:pPr>
      <w:rPr>
        <w:rFonts w:ascii="Courier New" w:hAnsi="Courier New" w:hint="default"/>
      </w:rPr>
    </w:lvl>
    <w:lvl w:ilvl="7" w:tplc="668A2428" w:tentative="1">
      <w:start w:val="1"/>
      <w:numFmt w:val="bullet"/>
      <w:lvlText w:val="o"/>
      <w:lvlJc w:val="left"/>
      <w:pPr>
        <w:tabs>
          <w:tab w:val="num" w:pos="5760"/>
        </w:tabs>
        <w:ind w:left="5760" w:hanging="360"/>
      </w:pPr>
      <w:rPr>
        <w:rFonts w:ascii="Courier New" w:hAnsi="Courier New" w:hint="default"/>
      </w:rPr>
    </w:lvl>
    <w:lvl w:ilvl="8" w:tplc="840E9CA2" w:tentative="1">
      <w:start w:val="1"/>
      <w:numFmt w:val="bullet"/>
      <w:lvlText w:val="o"/>
      <w:lvlJc w:val="left"/>
      <w:pPr>
        <w:tabs>
          <w:tab w:val="num" w:pos="6480"/>
        </w:tabs>
        <w:ind w:left="6480" w:hanging="360"/>
      </w:pPr>
      <w:rPr>
        <w:rFonts w:ascii="Courier New" w:hAnsi="Courier New" w:hint="default"/>
      </w:rPr>
    </w:lvl>
  </w:abstractNum>
  <w:abstractNum w:abstractNumId="7">
    <w:nsid w:val="67D34837"/>
    <w:multiLevelType w:val="hybridMultilevel"/>
    <w:tmpl w:val="61F2F4F4"/>
    <w:lvl w:ilvl="0" w:tplc="E3DE572E">
      <w:start w:val="1"/>
      <w:numFmt w:val="bullet"/>
      <w:lvlText w:val=""/>
      <w:lvlJc w:val="left"/>
      <w:pPr>
        <w:tabs>
          <w:tab w:val="num" w:pos="720"/>
        </w:tabs>
        <w:ind w:left="720" w:hanging="360"/>
      </w:pPr>
      <w:rPr>
        <w:rFonts w:ascii="Wingdings 2" w:hAnsi="Wingdings 2" w:hint="default"/>
      </w:rPr>
    </w:lvl>
    <w:lvl w:ilvl="1" w:tplc="EF58A9F8" w:tentative="1">
      <w:start w:val="1"/>
      <w:numFmt w:val="bullet"/>
      <w:lvlText w:val=""/>
      <w:lvlJc w:val="left"/>
      <w:pPr>
        <w:tabs>
          <w:tab w:val="num" w:pos="1440"/>
        </w:tabs>
        <w:ind w:left="1440" w:hanging="360"/>
      </w:pPr>
      <w:rPr>
        <w:rFonts w:ascii="Wingdings 2" w:hAnsi="Wingdings 2" w:hint="default"/>
      </w:rPr>
    </w:lvl>
    <w:lvl w:ilvl="2" w:tplc="1918F664" w:tentative="1">
      <w:start w:val="1"/>
      <w:numFmt w:val="bullet"/>
      <w:lvlText w:val=""/>
      <w:lvlJc w:val="left"/>
      <w:pPr>
        <w:tabs>
          <w:tab w:val="num" w:pos="2160"/>
        </w:tabs>
        <w:ind w:left="2160" w:hanging="360"/>
      </w:pPr>
      <w:rPr>
        <w:rFonts w:ascii="Wingdings 2" w:hAnsi="Wingdings 2" w:hint="default"/>
      </w:rPr>
    </w:lvl>
    <w:lvl w:ilvl="3" w:tplc="1540993E" w:tentative="1">
      <w:start w:val="1"/>
      <w:numFmt w:val="bullet"/>
      <w:lvlText w:val=""/>
      <w:lvlJc w:val="left"/>
      <w:pPr>
        <w:tabs>
          <w:tab w:val="num" w:pos="2880"/>
        </w:tabs>
        <w:ind w:left="2880" w:hanging="360"/>
      </w:pPr>
      <w:rPr>
        <w:rFonts w:ascii="Wingdings 2" w:hAnsi="Wingdings 2" w:hint="default"/>
      </w:rPr>
    </w:lvl>
    <w:lvl w:ilvl="4" w:tplc="4F4EDAB8" w:tentative="1">
      <w:start w:val="1"/>
      <w:numFmt w:val="bullet"/>
      <w:lvlText w:val=""/>
      <w:lvlJc w:val="left"/>
      <w:pPr>
        <w:tabs>
          <w:tab w:val="num" w:pos="3600"/>
        </w:tabs>
        <w:ind w:left="3600" w:hanging="360"/>
      </w:pPr>
      <w:rPr>
        <w:rFonts w:ascii="Wingdings 2" w:hAnsi="Wingdings 2" w:hint="default"/>
      </w:rPr>
    </w:lvl>
    <w:lvl w:ilvl="5" w:tplc="475855B0" w:tentative="1">
      <w:start w:val="1"/>
      <w:numFmt w:val="bullet"/>
      <w:lvlText w:val=""/>
      <w:lvlJc w:val="left"/>
      <w:pPr>
        <w:tabs>
          <w:tab w:val="num" w:pos="4320"/>
        </w:tabs>
        <w:ind w:left="4320" w:hanging="360"/>
      </w:pPr>
      <w:rPr>
        <w:rFonts w:ascii="Wingdings 2" w:hAnsi="Wingdings 2" w:hint="default"/>
      </w:rPr>
    </w:lvl>
    <w:lvl w:ilvl="6" w:tplc="BC94EDE2" w:tentative="1">
      <w:start w:val="1"/>
      <w:numFmt w:val="bullet"/>
      <w:lvlText w:val=""/>
      <w:lvlJc w:val="left"/>
      <w:pPr>
        <w:tabs>
          <w:tab w:val="num" w:pos="5040"/>
        </w:tabs>
        <w:ind w:left="5040" w:hanging="360"/>
      </w:pPr>
      <w:rPr>
        <w:rFonts w:ascii="Wingdings 2" w:hAnsi="Wingdings 2" w:hint="default"/>
      </w:rPr>
    </w:lvl>
    <w:lvl w:ilvl="7" w:tplc="8DBE20EA" w:tentative="1">
      <w:start w:val="1"/>
      <w:numFmt w:val="bullet"/>
      <w:lvlText w:val=""/>
      <w:lvlJc w:val="left"/>
      <w:pPr>
        <w:tabs>
          <w:tab w:val="num" w:pos="5760"/>
        </w:tabs>
        <w:ind w:left="5760" w:hanging="360"/>
      </w:pPr>
      <w:rPr>
        <w:rFonts w:ascii="Wingdings 2" w:hAnsi="Wingdings 2" w:hint="default"/>
      </w:rPr>
    </w:lvl>
    <w:lvl w:ilvl="8" w:tplc="3A70357C" w:tentative="1">
      <w:start w:val="1"/>
      <w:numFmt w:val="bullet"/>
      <w:lvlText w:val=""/>
      <w:lvlJc w:val="left"/>
      <w:pPr>
        <w:tabs>
          <w:tab w:val="num" w:pos="6480"/>
        </w:tabs>
        <w:ind w:left="6480" w:hanging="360"/>
      </w:pPr>
      <w:rPr>
        <w:rFonts w:ascii="Wingdings 2" w:hAnsi="Wingdings 2" w:hint="default"/>
      </w:rPr>
    </w:lvl>
  </w:abstractNum>
  <w:abstractNum w:abstractNumId="8">
    <w:nsid w:val="7084500C"/>
    <w:multiLevelType w:val="hybridMultilevel"/>
    <w:tmpl w:val="68945EE4"/>
    <w:lvl w:ilvl="0" w:tplc="B344E206">
      <w:start w:val="1"/>
      <w:numFmt w:val="bullet"/>
      <w:lvlText w:val=""/>
      <w:lvlJc w:val="left"/>
      <w:pPr>
        <w:tabs>
          <w:tab w:val="num" w:pos="720"/>
        </w:tabs>
        <w:ind w:left="720" w:hanging="360"/>
      </w:pPr>
      <w:rPr>
        <w:rFonts w:ascii="Wingdings 2" w:hAnsi="Wingdings 2" w:hint="default"/>
      </w:rPr>
    </w:lvl>
    <w:lvl w:ilvl="1" w:tplc="A76EBFBA" w:tentative="1">
      <w:start w:val="1"/>
      <w:numFmt w:val="bullet"/>
      <w:lvlText w:val=""/>
      <w:lvlJc w:val="left"/>
      <w:pPr>
        <w:tabs>
          <w:tab w:val="num" w:pos="1440"/>
        </w:tabs>
        <w:ind w:left="1440" w:hanging="360"/>
      </w:pPr>
      <w:rPr>
        <w:rFonts w:ascii="Wingdings 2" w:hAnsi="Wingdings 2" w:hint="default"/>
      </w:rPr>
    </w:lvl>
    <w:lvl w:ilvl="2" w:tplc="C97C1908" w:tentative="1">
      <w:start w:val="1"/>
      <w:numFmt w:val="bullet"/>
      <w:lvlText w:val=""/>
      <w:lvlJc w:val="left"/>
      <w:pPr>
        <w:tabs>
          <w:tab w:val="num" w:pos="2160"/>
        </w:tabs>
        <w:ind w:left="2160" w:hanging="360"/>
      </w:pPr>
      <w:rPr>
        <w:rFonts w:ascii="Wingdings 2" w:hAnsi="Wingdings 2" w:hint="default"/>
      </w:rPr>
    </w:lvl>
    <w:lvl w:ilvl="3" w:tplc="B0147F98" w:tentative="1">
      <w:start w:val="1"/>
      <w:numFmt w:val="bullet"/>
      <w:lvlText w:val=""/>
      <w:lvlJc w:val="left"/>
      <w:pPr>
        <w:tabs>
          <w:tab w:val="num" w:pos="2880"/>
        </w:tabs>
        <w:ind w:left="2880" w:hanging="360"/>
      </w:pPr>
      <w:rPr>
        <w:rFonts w:ascii="Wingdings 2" w:hAnsi="Wingdings 2" w:hint="default"/>
      </w:rPr>
    </w:lvl>
    <w:lvl w:ilvl="4" w:tplc="5E02F21A" w:tentative="1">
      <w:start w:val="1"/>
      <w:numFmt w:val="bullet"/>
      <w:lvlText w:val=""/>
      <w:lvlJc w:val="left"/>
      <w:pPr>
        <w:tabs>
          <w:tab w:val="num" w:pos="3600"/>
        </w:tabs>
        <w:ind w:left="3600" w:hanging="360"/>
      </w:pPr>
      <w:rPr>
        <w:rFonts w:ascii="Wingdings 2" w:hAnsi="Wingdings 2" w:hint="default"/>
      </w:rPr>
    </w:lvl>
    <w:lvl w:ilvl="5" w:tplc="6F72F478" w:tentative="1">
      <w:start w:val="1"/>
      <w:numFmt w:val="bullet"/>
      <w:lvlText w:val=""/>
      <w:lvlJc w:val="left"/>
      <w:pPr>
        <w:tabs>
          <w:tab w:val="num" w:pos="4320"/>
        </w:tabs>
        <w:ind w:left="4320" w:hanging="360"/>
      </w:pPr>
      <w:rPr>
        <w:rFonts w:ascii="Wingdings 2" w:hAnsi="Wingdings 2" w:hint="default"/>
      </w:rPr>
    </w:lvl>
    <w:lvl w:ilvl="6" w:tplc="44087B62" w:tentative="1">
      <w:start w:val="1"/>
      <w:numFmt w:val="bullet"/>
      <w:lvlText w:val=""/>
      <w:lvlJc w:val="left"/>
      <w:pPr>
        <w:tabs>
          <w:tab w:val="num" w:pos="5040"/>
        </w:tabs>
        <w:ind w:left="5040" w:hanging="360"/>
      </w:pPr>
      <w:rPr>
        <w:rFonts w:ascii="Wingdings 2" w:hAnsi="Wingdings 2" w:hint="default"/>
      </w:rPr>
    </w:lvl>
    <w:lvl w:ilvl="7" w:tplc="FED6EA0A" w:tentative="1">
      <w:start w:val="1"/>
      <w:numFmt w:val="bullet"/>
      <w:lvlText w:val=""/>
      <w:lvlJc w:val="left"/>
      <w:pPr>
        <w:tabs>
          <w:tab w:val="num" w:pos="5760"/>
        </w:tabs>
        <w:ind w:left="5760" w:hanging="360"/>
      </w:pPr>
      <w:rPr>
        <w:rFonts w:ascii="Wingdings 2" w:hAnsi="Wingdings 2" w:hint="default"/>
      </w:rPr>
    </w:lvl>
    <w:lvl w:ilvl="8" w:tplc="2C26F8E4"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3"/>
  </w:num>
  <w:num w:numId="3">
    <w:abstractNumId w:val="8"/>
  </w:num>
  <w:num w:numId="4">
    <w:abstractNumId w:val="4"/>
  </w:num>
  <w:num w:numId="5">
    <w:abstractNumId w:val="7"/>
  </w:num>
  <w:num w:numId="6">
    <w:abstractNumId w:val="5"/>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25460B"/>
    <w:rsid w:val="0025460B"/>
    <w:rsid w:val="003B7A4D"/>
    <w:rsid w:val="005E041E"/>
    <w:rsid w:val="00695C96"/>
    <w:rsid w:val="008669A8"/>
    <w:rsid w:val="008D3319"/>
    <w:rsid w:val="00D6098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60B"/>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D33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
    <w:name w:val="p"/>
    <w:basedOn w:val="Normal"/>
    <w:rsid w:val="008D33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95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C96"/>
    <w:rPr>
      <w:rFonts w:ascii="Tahoma" w:hAnsi="Tahoma" w:cs="Tahoma"/>
      <w:sz w:val="16"/>
      <w:szCs w:val="16"/>
    </w:rPr>
  </w:style>
  <w:style w:type="character" w:styleId="Emphasis">
    <w:name w:val="Emphasis"/>
    <w:basedOn w:val="DefaultParagraphFont"/>
    <w:uiPriority w:val="20"/>
    <w:qFormat/>
    <w:rsid w:val="008669A8"/>
    <w:rPr>
      <w:i/>
      <w:iCs/>
    </w:rPr>
  </w:style>
</w:styles>
</file>

<file path=word/webSettings.xml><?xml version="1.0" encoding="utf-8"?>
<w:webSettings xmlns:r="http://schemas.openxmlformats.org/officeDocument/2006/relationships" xmlns:w="http://schemas.openxmlformats.org/wordprocessingml/2006/main">
  <w:divs>
    <w:div w:id="33235386">
      <w:bodyDiv w:val="1"/>
      <w:marLeft w:val="0"/>
      <w:marRight w:val="0"/>
      <w:marTop w:val="0"/>
      <w:marBottom w:val="0"/>
      <w:divBdr>
        <w:top w:val="none" w:sz="0" w:space="0" w:color="auto"/>
        <w:left w:val="none" w:sz="0" w:space="0" w:color="auto"/>
        <w:bottom w:val="none" w:sz="0" w:space="0" w:color="auto"/>
        <w:right w:val="none" w:sz="0" w:space="0" w:color="auto"/>
      </w:divBdr>
      <w:divsChild>
        <w:div w:id="402610305">
          <w:marLeft w:val="432"/>
          <w:marRight w:val="0"/>
          <w:marTop w:val="86"/>
          <w:marBottom w:val="0"/>
          <w:divBdr>
            <w:top w:val="none" w:sz="0" w:space="0" w:color="auto"/>
            <w:left w:val="none" w:sz="0" w:space="0" w:color="auto"/>
            <w:bottom w:val="none" w:sz="0" w:space="0" w:color="auto"/>
            <w:right w:val="none" w:sz="0" w:space="0" w:color="auto"/>
          </w:divBdr>
        </w:div>
      </w:divsChild>
    </w:div>
    <w:div w:id="39014462">
      <w:bodyDiv w:val="1"/>
      <w:marLeft w:val="0"/>
      <w:marRight w:val="0"/>
      <w:marTop w:val="0"/>
      <w:marBottom w:val="0"/>
      <w:divBdr>
        <w:top w:val="none" w:sz="0" w:space="0" w:color="auto"/>
        <w:left w:val="none" w:sz="0" w:space="0" w:color="auto"/>
        <w:bottom w:val="none" w:sz="0" w:space="0" w:color="auto"/>
        <w:right w:val="none" w:sz="0" w:space="0" w:color="auto"/>
      </w:divBdr>
    </w:div>
    <w:div w:id="53899285">
      <w:bodyDiv w:val="1"/>
      <w:marLeft w:val="0"/>
      <w:marRight w:val="0"/>
      <w:marTop w:val="0"/>
      <w:marBottom w:val="0"/>
      <w:divBdr>
        <w:top w:val="none" w:sz="0" w:space="0" w:color="auto"/>
        <w:left w:val="none" w:sz="0" w:space="0" w:color="auto"/>
        <w:bottom w:val="none" w:sz="0" w:space="0" w:color="auto"/>
        <w:right w:val="none" w:sz="0" w:space="0" w:color="auto"/>
      </w:divBdr>
    </w:div>
    <w:div w:id="114299747">
      <w:bodyDiv w:val="1"/>
      <w:marLeft w:val="0"/>
      <w:marRight w:val="0"/>
      <w:marTop w:val="0"/>
      <w:marBottom w:val="0"/>
      <w:divBdr>
        <w:top w:val="none" w:sz="0" w:space="0" w:color="auto"/>
        <w:left w:val="none" w:sz="0" w:space="0" w:color="auto"/>
        <w:bottom w:val="none" w:sz="0" w:space="0" w:color="auto"/>
        <w:right w:val="none" w:sz="0" w:space="0" w:color="auto"/>
      </w:divBdr>
    </w:div>
    <w:div w:id="159741751">
      <w:bodyDiv w:val="1"/>
      <w:marLeft w:val="0"/>
      <w:marRight w:val="0"/>
      <w:marTop w:val="0"/>
      <w:marBottom w:val="0"/>
      <w:divBdr>
        <w:top w:val="none" w:sz="0" w:space="0" w:color="auto"/>
        <w:left w:val="none" w:sz="0" w:space="0" w:color="auto"/>
        <w:bottom w:val="none" w:sz="0" w:space="0" w:color="auto"/>
        <w:right w:val="none" w:sz="0" w:space="0" w:color="auto"/>
      </w:divBdr>
    </w:div>
    <w:div w:id="342975530">
      <w:bodyDiv w:val="1"/>
      <w:marLeft w:val="0"/>
      <w:marRight w:val="0"/>
      <w:marTop w:val="0"/>
      <w:marBottom w:val="0"/>
      <w:divBdr>
        <w:top w:val="none" w:sz="0" w:space="0" w:color="auto"/>
        <w:left w:val="none" w:sz="0" w:space="0" w:color="auto"/>
        <w:bottom w:val="none" w:sz="0" w:space="0" w:color="auto"/>
        <w:right w:val="none" w:sz="0" w:space="0" w:color="auto"/>
      </w:divBdr>
    </w:div>
    <w:div w:id="353264188">
      <w:bodyDiv w:val="1"/>
      <w:marLeft w:val="0"/>
      <w:marRight w:val="0"/>
      <w:marTop w:val="0"/>
      <w:marBottom w:val="0"/>
      <w:divBdr>
        <w:top w:val="none" w:sz="0" w:space="0" w:color="auto"/>
        <w:left w:val="none" w:sz="0" w:space="0" w:color="auto"/>
        <w:bottom w:val="none" w:sz="0" w:space="0" w:color="auto"/>
        <w:right w:val="none" w:sz="0" w:space="0" w:color="auto"/>
      </w:divBdr>
    </w:div>
    <w:div w:id="356319738">
      <w:bodyDiv w:val="1"/>
      <w:marLeft w:val="0"/>
      <w:marRight w:val="0"/>
      <w:marTop w:val="0"/>
      <w:marBottom w:val="0"/>
      <w:divBdr>
        <w:top w:val="none" w:sz="0" w:space="0" w:color="auto"/>
        <w:left w:val="none" w:sz="0" w:space="0" w:color="auto"/>
        <w:bottom w:val="none" w:sz="0" w:space="0" w:color="auto"/>
        <w:right w:val="none" w:sz="0" w:space="0" w:color="auto"/>
      </w:divBdr>
    </w:div>
    <w:div w:id="649292297">
      <w:bodyDiv w:val="1"/>
      <w:marLeft w:val="0"/>
      <w:marRight w:val="0"/>
      <w:marTop w:val="0"/>
      <w:marBottom w:val="0"/>
      <w:divBdr>
        <w:top w:val="none" w:sz="0" w:space="0" w:color="auto"/>
        <w:left w:val="none" w:sz="0" w:space="0" w:color="auto"/>
        <w:bottom w:val="none" w:sz="0" w:space="0" w:color="auto"/>
        <w:right w:val="none" w:sz="0" w:space="0" w:color="auto"/>
      </w:divBdr>
    </w:div>
    <w:div w:id="667635990">
      <w:bodyDiv w:val="1"/>
      <w:marLeft w:val="0"/>
      <w:marRight w:val="0"/>
      <w:marTop w:val="0"/>
      <w:marBottom w:val="0"/>
      <w:divBdr>
        <w:top w:val="none" w:sz="0" w:space="0" w:color="auto"/>
        <w:left w:val="none" w:sz="0" w:space="0" w:color="auto"/>
        <w:bottom w:val="none" w:sz="0" w:space="0" w:color="auto"/>
        <w:right w:val="none" w:sz="0" w:space="0" w:color="auto"/>
      </w:divBdr>
    </w:div>
    <w:div w:id="756906774">
      <w:bodyDiv w:val="1"/>
      <w:marLeft w:val="0"/>
      <w:marRight w:val="0"/>
      <w:marTop w:val="0"/>
      <w:marBottom w:val="0"/>
      <w:divBdr>
        <w:top w:val="none" w:sz="0" w:space="0" w:color="auto"/>
        <w:left w:val="none" w:sz="0" w:space="0" w:color="auto"/>
        <w:bottom w:val="none" w:sz="0" w:space="0" w:color="auto"/>
        <w:right w:val="none" w:sz="0" w:space="0" w:color="auto"/>
      </w:divBdr>
    </w:div>
    <w:div w:id="840773030">
      <w:bodyDiv w:val="1"/>
      <w:marLeft w:val="0"/>
      <w:marRight w:val="0"/>
      <w:marTop w:val="0"/>
      <w:marBottom w:val="0"/>
      <w:divBdr>
        <w:top w:val="none" w:sz="0" w:space="0" w:color="auto"/>
        <w:left w:val="none" w:sz="0" w:space="0" w:color="auto"/>
        <w:bottom w:val="none" w:sz="0" w:space="0" w:color="auto"/>
        <w:right w:val="none" w:sz="0" w:space="0" w:color="auto"/>
      </w:divBdr>
      <w:divsChild>
        <w:div w:id="710882703">
          <w:marLeft w:val="432"/>
          <w:marRight w:val="0"/>
          <w:marTop w:val="115"/>
          <w:marBottom w:val="0"/>
          <w:divBdr>
            <w:top w:val="none" w:sz="0" w:space="0" w:color="auto"/>
            <w:left w:val="none" w:sz="0" w:space="0" w:color="auto"/>
            <w:bottom w:val="none" w:sz="0" w:space="0" w:color="auto"/>
            <w:right w:val="none" w:sz="0" w:space="0" w:color="auto"/>
          </w:divBdr>
        </w:div>
        <w:div w:id="1099762316">
          <w:marLeft w:val="432"/>
          <w:marRight w:val="0"/>
          <w:marTop w:val="115"/>
          <w:marBottom w:val="0"/>
          <w:divBdr>
            <w:top w:val="none" w:sz="0" w:space="0" w:color="auto"/>
            <w:left w:val="none" w:sz="0" w:space="0" w:color="auto"/>
            <w:bottom w:val="none" w:sz="0" w:space="0" w:color="auto"/>
            <w:right w:val="none" w:sz="0" w:space="0" w:color="auto"/>
          </w:divBdr>
        </w:div>
      </w:divsChild>
    </w:div>
    <w:div w:id="900213224">
      <w:bodyDiv w:val="1"/>
      <w:marLeft w:val="0"/>
      <w:marRight w:val="0"/>
      <w:marTop w:val="0"/>
      <w:marBottom w:val="0"/>
      <w:divBdr>
        <w:top w:val="none" w:sz="0" w:space="0" w:color="auto"/>
        <w:left w:val="none" w:sz="0" w:space="0" w:color="auto"/>
        <w:bottom w:val="none" w:sz="0" w:space="0" w:color="auto"/>
        <w:right w:val="none" w:sz="0" w:space="0" w:color="auto"/>
      </w:divBdr>
      <w:divsChild>
        <w:div w:id="1292588715">
          <w:marLeft w:val="432"/>
          <w:marRight w:val="0"/>
          <w:marTop w:val="115"/>
          <w:marBottom w:val="0"/>
          <w:divBdr>
            <w:top w:val="none" w:sz="0" w:space="0" w:color="auto"/>
            <w:left w:val="none" w:sz="0" w:space="0" w:color="auto"/>
            <w:bottom w:val="none" w:sz="0" w:space="0" w:color="auto"/>
            <w:right w:val="none" w:sz="0" w:space="0" w:color="auto"/>
          </w:divBdr>
        </w:div>
        <w:div w:id="2112893225">
          <w:marLeft w:val="432"/>
          <w:marRight w:val="0"/>
          <w:marTop w:val="115"/>
          <w:marBottom w:val="0"/>
          <w:divBdr>
            <w:top w:val="none" w:sz="0" w:space="0" w:color="auto"/>
            <w:left w:val="none" w:sz="0" w:space="0" w:color="auto"/>
            <w:bottom w:val="none" w:sz="0" w:space="0" w:color="auto"/>
            <w:right w:val="none" w:sz="0" w:space="0" w:color="auto"/>
          </w:divBdr>
        </w:div>
        <w:div w:id="199586011">
          <w:marLeft w:val="432"/>
          <w:marRight w:val="0"/>
          <w:marTop w:val="115"/>
          <w:marBottom w:val="0"/>
          <w:divBdr>
            <w:top w:val="none" w:sz="0" w:space="0" w:color="auto"/>
            <w:left w:val="none" w:sz="0" w:space="0" w:color="auto"/>
            <w:bottom w:val="none" w:sz="0" w:space="0" w:color="auto"/>
            <w:right w:val="none" w:sz="0" w:space="0" w:color="auto"/>
          </w:divBdr>
        </w:div>
      </w:divsChild>
    </w:div>
    <w:div w:id="949821116">
      <w:bodyDiv w:val="1"/>
      <w:marLeft w:val="0"/>
      <w:marRight w:val="0"/>
      <w:marTop w:val="0"/>
      <w:marBottom w:val="0"/>
      <w:divBdr>
        <w:top w:val="none" w:sz="0" w:space="0" w:color="auto"/>
        <w:left w:val="none" w:sz="0" w:space="0" w:color="auto"/>
        <w:bottom w:val="none" w:sz="0" w:space="0" w:color="auto"/>
        <w:right w:val="none" w:sz="0" w:space="0" w:color="auto"/>
      </w:divBdr>
      <w:divsChild>
        <w:div w:id="1183517489">
          <w:marLeft w:val="720"/>
          <w:marRight w:val="0"/>
          <w:marTop w:val="0"/>
          <w:marBottom w:val="0"/>
          <w:divBdr>
            <w:top w:val="none" w:sz="0" w:space="0" w:color="auto"/>
            <w:left w:val="none" w:sz="0" w:space="0" w:color="auto"/>
            <w:bottom w:val="none" w:sz="0" w:space="0" w:color="auto"/>
            <w:right w:val="none" w:sz="0" w:space="0" w:color="auto"/>
          </w:divBdr>
        </w:div>
        <w:div w:id="1815022798">
          <w:marLeft w:val="720"/>
          <w:marRight w:val="0"/>
          <w:marTop w:val="0"/>
          <w:marBottom w:val="0"/>
          <w:divBdr>
            <w:top w:val="none" w:sz="0" w:space="0" w:color="auto"/>
            <w:left w:val="none" w:sz="0" w:space="0" w:color="auto"/>
            <w:bottom w:val="none" w:sz="0" w:space="0" w:color="auto"/>
            <w:right w:val="none" w:sz="0" w:space="0" w:color="auto"/>
          </w:divBdr>
        </w:div>
      </w:divsChild>
    </w:div>
    <w:div w:id="1501970258">
      <w:bodyDiv w:val="1"/>
      <w:marLeft w:val="0"/>
      <w:marRight w:val="0"/>
      <w:marTop w:val="0"/>
      <w:marBottom w:val="0"/>
      <w:divBdr>
        <w:top w:val="none" w:sz="0" w:space="0" w:color="auto"/>
        <w:left w:val="none" w:sz="0" w:space="0" w:color="auto"/>
        <w:bottom w:val="none" w:sz="0" w:space="0" w:color="auto"/>
        <w:right w:val="none" w:sz="0" w:space="0" w:color="auto"/>
      </w:divBdr>
    </w:div>
    <w:div w:id="1543246830">
      <w:bodyDiv w:val="1"/>
      <w:marLeft w:val="0"/>
      <w:marRight w:val="0"/>
      <w:marTop w:val="0"/>
      <w:marBottom w:val="0"/>
      <w:divBdr>
        <w:top w:val="none" w:sz="0" w:space="0" w:color="auto"/>
        <w:left w:val="none" w:sz="0" w:space="0" w:color="auto"/>
        <w:bottom w:val="none" w:sz="0" w:space="0" w:color="auto"/>
        <w:right w:val="none" w:sz="0" w:space="0" w:color="auto"/>
      </w:divBdr>
    </w:div>
    <w:div w:id="1607151139">
      <w:bodyDiv w:val="1"/>
      <w:marLeft w:val="0"/>
      <w:marRight w:val="0"/>
      <w:marTop w:val="0"/>
      <w:marBottom w:val="0"/>
      <w:divBdr>
        <w:top w:val="none" w:sz="0" w:space="0" w:color="auto"/>
        <w:left w:val="none" w:sz="0" w:space="0" w:color="auto"/>
        <w:bottom w:val="none" w:sz="0" w:space="0" w:color="auto"/>
        <w:right w:val="none" w:sz="0" w:space="0" w:color="auto"/>
      </w:divBdr>
      <w:divsChild>
        <w:div w:id="292684072">
          <w:marLeft w:val="432"/>
          <w:marRight w:val="0"/>
          <w:marTop w:val="96"/>
          <w:marBottom w:val="0"/>
          <w:divBdr>
            <w:top w:val="none" w:sz="0" w:space="0" w:color="auto"/>
            <w:left w:val="none" w:sz="0" w:space="0" w:color="auto"/>
            <w:bottom w:val="none" w:sz="0" w:space="0" w:color="auto"/>
            <w:right w:val="none" w:sz="0" w:space="0" w:color="auto"/>
          </w:divBdr>
        </w:div>
        <w:div w:id="1873416076">
          <w:marLeft w:val="432"/>
          <w:marRight w:val="0"/>
          <w:marTop w:val="96"/>
          <w:marBottom w:val="0"/>
          <w:divBdr>
            <w:top w:val="none" w:sz="0" w:space="0" w:color="auto"/>
            <w:left w:val="none" w:sz="0" w:space="0" w:color="auto"/>
            <w:bottom w:val="none" w:sz="0" w:space="0" w:color="auto"/>
            <w:right w:val="none" w:sz="0" w:space="0" w:color="auto"/>
          </w:divBdr>
        </w:div>
        <w:div w:id="2026246251">
          <w:marLeft w:val="432"/>
          <w:marRight w:val="0"/>
          <w:marTop w:val="96"/>
          <w:marBottom w:val="0"/>
          <w:divBdr>
            <w:top w:val="none" w:sz="0" w:space="0" w:color="auto"/>
            <w:left w:val="none" w:sz="0" w:space="0" w:color="auto"/>
            <w:bottom w:val="none" w:sz="0" w:space="0" w:color="auto"/>
            <w:right w:val="none" w:sz="0" w:space="0" w:color="auto"/>
          </w:divBdr>
        </w:div>
      </w:divsChild>
    </w:div>
    <w:div w:id="1626427831">
      <w:bodyDiv w:val="1"/>
      <w:marLeft w:val="0"/>
      <w:marRight w:val="0"/>
      <w:marTop w:val="0"/>
      <w:marBottom w:val="0"/>
      <w:divBdr>
        <w:top w:val="none" w:sz="0" w:space="0" w:color="auto"/>
        <w:left w:val="none" w:sz="0" w:space="0" w:color="auto"/>
        <w:bottom w:val="none" w:sz="0" w:space="0" w:color="auto"/>
        <w:right w:val="none" w:sz="0" w:space="0" w:color="auto"/>
      </w:divBdr>
      <w:divsChild>
        <w:div w:id="1013646839">
          <w:marLeft w:val="432"/>
          <w:marRight w:val="0"/>
          <w:marTop w:val="115"/>
          <w:marBottom w:val="0"/>
          <w:divBdr>
            <w:top w:val="none" w:sz="0" w:space="0" w:color="auto"/>
            <w:left w:val="none" w:sz="0" w:space="0" w:color="auto"/>
            <w:bottom w:val="none" w:sz="0" w:space="0" w:color="auto"/>
            <w:right w:val="none" w:sz="0" w:space="0" w:color="auto"/>
          </w:divBdr>
        </w:div>
      </w:divsChild>
    </w:div>
    <w:div w:id="1675066527">
      <w:bodyDiv w:val="1"/>
      <w:marLeft w:val="0"/>
      <w:marRight w:val="0"/>
      <w:marTop w:val="0"/>
      <w:marBottom w:val="0"/>
      <w:divBdr>
        <w:top w:val="none" w:sz="0" w:space="0" w:color="auto"/>
        <w:left w:val="none" w:sz="0" w:space="0" w:color="auto"/>
        <w:bottom w:val="none" w:sz="0" w:space="0" w:color="auto"/>
        <w:right w:val="none" w:sz="0" w:space="0" w:color="auto"/>
      </w:divBdr>
    </w:div>
    <w:div w:id="1746299179">
      <w:bodyDiv w:val="1"/>
      <w:marLeft w:val="0"/>
      <w:marRight w:val="0"/>
      <w:marTop w:val="0"/>
      <w:marBottom w:val="0"/>
      <w:divBdr>
        <w:top w:val="none" w:sz="0" w:space="0" w:color="auto"/>
        <w:left w:val="none" w:sz="0" w:space="0" w:color="auto"/>
        <w:bottom w:val="none" w:sz="0" w:space="0" w:color="auto"/>
        <w:right w:val="none" w:sz="0" w:space="0" w:color="auto"/>
      </w:divBdr>
    </w:div>
    <w:div w:id="2071731775">
      <w:bodyDiv w:val="1"/>
      <w:marLeft w:val="0"/>
      <w:marRight w:val="0"/>
      <w:marTop w:val="0"/>
      <w:marBottom w:val="0"/>
      <w:divBdr>
        <w:top w:val="none" w:sz="0" w:space="0" w:color="auto"/>
        <w:left w:val="none" w:sz="0" w:space="0" w:color="auto"/>
        <w:bottom w:val="none" w:sz="0" w:space="0" w:color="auto"/>
        <w:right w:val="none" w:sz="0" w:space="0" w:color="auto"/>
      </w:divBdr>
      <w:divsChild>
        <w:div w:id="388841029">
          <w:marLeft w:val="432"/>
          <w:marRight w:val="0"/>
          <w:marTop w:val="115"/>
          <w:marBottom w:val="0"/>
          <w:divBdr>
            <w:top w:val="none" w:sz="0" w:space="0" w:color="auto"/>
            <w:left w:val="none" w:sz="0" w:space="0" w:color="auto"/>
            <w:bottom w:val="none" w:sz="0" w:space="0" w:color="auto"/>
            <w:right w:val="none" w:sz="0" w:space="0" w:color="auto"/>
          </w:divBdr>
        </w:div>
        <w:div w:id="699863254">
          <w:marLeft w:val="432"/>
          <w:marRight w:val="0"/>
          <w:marTop w:val="115"/>
          <w:marBottom w:val="0"/>
          <w:divBdr>
            <w:top w:val="none" w:sz="0" w:space="0" w:color="auto"/>
            <w:left w:val="none" w:sz="0" w:space="0" w:color="auto"/>
            <w:bottom w:val="none" w:sz="0" w:space="0" w:color="auto"/>
            <w:right w:val="none" w:sz="0" w:space="0" w:color="auto"/>
          </w:divBdr>
        </w:div>
        <w:div w:id="1745299712">
          <w:marLeft w:val="432"/>
          <w:marRight w:val="0"/>
          <w:marTop w:val="115"/>
          <w:marBottom w:val="0"/>
          <w:divBdr>
            <w:top w:val="none" w:sz="0" w:space="0" w:color="auto"/>
            <w:left w:val="none" w:sz="0" w:space="0" w:color="auto"/>
            <w:bottom w:val="none" w:sz="0" w:space="0" w:color="auto"/>
            <w:right w:val="none" w:sz="0" w:space="0" w:color="auto"/>
          </w:divBdr>
        </w:div>
        <w:div w:id="2006588045">
          <w:marLeft w:val="432"/>
          <w:marRight w:val="0"/>
          <w:marTop w:val="115"/>
          <w:marBottom w:val="0"/>
          <w:divBdr>
            <w:top w:val="none" w:sz="0" w:space="0" w:color="auto"/>
            <w:left w:val="none" w:sz="0" w:space="0" w:color="auto"/>
            <w:bottom w:val="none" w:sz="0" w:space="0" w:color="auto"/>
            <w:right w:val="none" w:sz="0" w:space="0" w:color="auto"/>
          </w:divBdr>
        </w:div>
      </w:divsChild>
    </w:div>
    <w:div w:id="2088376733">
      <w:bodyDiv w:val="1"/>
      <w:marLeft w:val="0"/>
      <w:marRight w:val="0"/>
      <w:marTop w:val="0"/>
      <w:marBottom w:val="0"/>
      <w:divBdr>
        <w:top w:val="none" w:sz="0" w:space="0" w:color="auto"/>
        <w:left w:val="none" w:sz="0" w:space="0" w:color="auto"/>
        <w:bottom w:val="none" w:sz="0" w:space="0" w:color="auto"/>
        <w:right w:val="none" w:sz="0" w:space="0" w:color="auto"/>
      </w:divBdr>
      <w:divsChild>
        <w:div w:id="86657433">
          <w:marLeft w:val="432"/>
          <w:marRight w:val="0"/>
          <w:marTop w:val="96"/>
          <w:marBottom w:val="0"/>
          <w:divBdr>
            <w:top w:val="none" w:sz="0" w:space="0" w:color="auto"/>
            <w:left w:val="none" w:sz="0" w:space="0" w:color="auto"/>
            <w:bottom w:val="none" w:sz="0" w:space="0" w:color="auto"/>
            <w:right w:val="none" w:sz="0" w:space="0" w:color="auto"/>
          </w:divBdr>
        </w:div>
        <w:div w:id="132217601">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7</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2019-12-08T15:59:00Z</dcterms:created>
  <dcterms:modified xsi:type="dcterms:W3CDTF">2019-12-08T23:29:00Z</dcterms:modified>
</cp:coreProperties>
</file>