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8A6" w:rsidRDefault="00E46AAE">
      <w:pPr>
        <w:pStyle w:val="Heading1"/>
        <w:spacing w:line="240" w:lineRule="auto"/>
      </w:pPr>
      <w:r>
        <w:t>Impact of Auditory and Visual discrimination deficits on cognitive profile among children</w:t>
      </w:r>
    </w:p>
    <w:p w:rsidR="002C78A6" w:rsidRDefault="00E46AAE">
      <w:pPr>
        <w:spacing w:line="276" w:lineRule="auto"/>
        <w:jc w:val="center"/>
        <w:rPr>
          <w:b/>
        </w:rPr>
      </w:pPr>
      <w:r>
        <w:rPr>
          <w:b/>
        </w:rPr>
        <w:t>Shiwani Nirwal*</w:t>
      </w:r>
    </w:p>
    <w:p w:rsidR="002C78A6" w:rsidRDefault="00E46AAE">
      <w:pPr>
        <w:spacing w:line="276" w:lineRule="auto"/>
        <w:jc w:val="center"/>
        <w:rPr>
          <w:b/>
        </w:rPr>
      </w:pPr>
      <w:r>
        <w:rPr>
          <w:b/>
        </w:rPr>
        <w:t>Dr. Rishi Pal**</w:t>
      </w:r>
    </w:p>
    <w:p w:rsidR="002C78A6" w:rsidRDefault="002C78A6">
      <w:pPr>
        <w:pStyle w:val="Heading1"/>
        <w:spacing w:line="276" w:lineRule="auto"/>
        <w:jc w:val="center"/>
        <w:rPr>
          <w:sz w:val="24"/>
        </w:rPr>
      </w:pPr>
    </w:p>
    <w:p w:rsidR="002C78A6" w:rsidRDefault="00E46AAE">
      <w:pPr>
        <w:pStyle w:val="Heading1"/>
        <w:spacing w:line="276" w:lineRule="auto"/>
        <w:jc w:val="center"/>
        <w:rPr>
          <w:sz w:val="24"/>
        </w:rPr>
      </w:pPr>
      <w:r>
        <w:rPr>
          <w:sz w:val="24"/>
        </w:rPr>
        <w:t>Abstract</w:t>
      </w:r>
    </w:p>
    <w:p w:rsidR="002C78A6" w:rsidRDefault="00E46AAE">
      <w:pPr>
        <w:shd w:val="clear" w:color="auto" w:fill="FFFFFF"/>
        <w:ind w:right="-46"/>
        <w:jc w:val="both"/>
      </w:pPr>
      <w:r>
        <w:rPr>
          <w:b/>
        </w:rPr>
        <w:t>Background</w:t>
      </w:r>
      <w:r>
        <w:t>: Auditory discrimination is the ability to identify similarities and differences in between auditory stimuli. Visual discrimination is the ability to identify, differentiate the sameness and differences in visual stimuli. Auditory discrimination and Visual discrimination help in perceiving the information appropriately to process.</w:t>
      </w:r>
    </w:p>
    <w:p w:rsidR="002C78A6" w:rsidRDefault="00E46AAE">
      <w:pPr>
        <w:shd w:val="clear" w:color="auto" w:fill="FFFFFF"/>
        <w:ind w:right="-46"/>
        <w:jc w:val="both"/>
      </w:pPr>
      <w:r>
        <w:rPr>
          <w:b/>
        </w:rPr>
        <w:t>Aim:</w:t>
      </w:r>
      <w:r>
        <w:t xml:space="preserve"> To examine the effect of auditory discrimination and visual discrimination  among children on the cognitive profile.</w:t>
      </w:r>
      <w:r w:rsidR="00ED26FE">
        <w:t xml:space="preserve"> </w:t>
      </w:r>
    </w:p>
    <w:p w:rsidR="002C78A6" w:rsidRDefault="00E46AAE">
      <w:pPr>
        <w:ind w:right="-46"/>
        <w:jc w:val="both"/>
      </w:pPr>
      <w:r>
        <w:rPr>
          <w:b/>
        </w:rPr>
        <w:t>Method:</w:t>
      </w:r>
      <w:r>
        <w:t xml:space="preserve"> A correlation of IQ scores, IQ sub scores with visual discrimination and auditory discrimination was established to unders</w:t>
      </w:r>
      <w:r w:rsidR="00ED26FE">
        <w:t>tand the level of significance.</w:t>
      </w:r>
      <w:r w:rsidR="003F1A78">
        <w:t xml:space="preserve"> Sample (N=92</w:t>
      </w:r>
      <w:r>
        <w:t>) was collected from various regular schools. Children in the age range of 6-10 years were assessed on Malin's Intelligence Scale For Indian Children (MISIC</w:t>
      </w:r>
      <w:r w:rsidRPr="003F1A78">
        <w:t xml:space="preserve">). </w:t>
      </w:r>
      <w:r w:rsidR="003F1A78" w:rsidRPr="003F1A78">
        <w:t>On Learning Inventory test, 23</w:t>
      </w:r>
      <w:r w:rsidRPr="003F1A78">
        <w:t xml:space="preserve"> children w</w:t>
      </w:r>
      <w:r w:rsidR="003F1A78" w:rsidRPr="003F1A78">
        <w:t>ith visual discrimination and 48</w:t>
      </w:r>
      <w:r w:rsidRPr="003F1A78">
        <w:t xml:space="preserve"> children  wit</w:t>
      </w:r>
      <w:r w:rsidR="003F1A78" w:rsidRPr="003F1A78">
        <w:t>h auditory discrimination and 21</w:t>
      </w:r>
      <w:r w:rsidRPr="003F1A78">
        <w:t xml:space="preserve"> children with global deficits</w:t>
      </w:r>
      <w:r>
        <w:t xml:space="preserve">. All participants had Verbal and Performance IQ scores of 70 or higher. The  groups </w:t>
      </w:r>
      <w:r w:rsidR="00ED26FE">
        <w:t>were divided into 3</w:t>
      </w:r>
      <w:r>
        <w:t xml:space="preserve"> based on their deficit type. </w:t>
      </w:r>
    </w:p>
    <w:p w:rsidR="002C78A6" w:rsidRDefault="00E46AAE">
      <w:pPr>
        <w:ind w:right="-46"/>
        <w:jc w:val="both"/>
      </w:pPr>
      <w:r>
        <w:rPr>
          <w:b/>
        </w:rPr>
        <w:t>Results:</w:t>
      </w:r>
      <w:r>
        <w:t xml:space="preserve"> The group with  visual discrimination deficit had a profile characterized by a high score on information and blocks  with a low score of mazes and vocabulary. The auditory deficits group had a profile characterized by a high score on information and blocks  with a low object and vocabulary  score. The global deficits group had a profile characterized by a high score on information and blocks  with a low mazes. </w:t>
      </w:r>
    </w:p>
    <w:p w:rsidR="002C78A6" w:rsidRDefault="00E46AAE">
      <w:pPr>
        <w:jc w:val="both"/>
      </w:pPr>
      <w:r>
        <w:t>Results have shown significant correlation (0.01) of visual discrimination with arithmetic, vocabulary, blocks, object assembly, verbal quotient, performance quotient and full scale IQ  and 0.05 with similarity and comprehension. Even though, correlation between auditory discrimination and subtests of intelligence like similarity, Vocabulary, verbal quotient and full scale IQ were significant at 0.01 and 0.05 with Information, picture completion, blocks and performance quotient  were significant.</w:t>
      </w:r>
    </w:p>
    <w:p w:rsidR="002C78A6" w:rsidRDefault="00E46AAE">
      <w:pPr>
        <w:ind w:right="-46"/>
        <w:jc w:val="both"/>
      </w:pPr>
      <w:r>
        <w:t>Results are discussed in terms of the substantial correlation in cognitive structure between these 3 groups and are considered in the context of the learning deficits reported for cognitive outcome.</w:t>
      </w:r>
    </w:p>
    <w:p w:rsidR="002C78A6" w:rsidRDefault="002C78A6">
      <w:pPr>
        <w:ind w:right="-46"/>
        <w:jc w:val="both"/>
      </w:pPr>
    </w:p>
    <w:p w:rsidR="002C78A6" w:rsidRDefault="00E46AAE">
      <w:pPr>
        <w:ind w:right="-46"/>
        <w:jc w:val="both"/>
      </w:pPr>
      <w:r>
        <w:rPr>
          <w:b/>
          <w:sz w:val="24"/>
          <w:szCs w:val="24"/>
        </w:rPr>
        <w:t>Key words: auditory discrimination, visual discrimination, global deficits, MISIC</w:t>
      </w:r>
    </w:p>
    <w:p w:rsidR="002C78A6" w:rsidRDefault="002C78A6">
      <w:pPr>
        <w:spacing w:line="276" w:lineRule="auto"/>
        <w:jc w:val="both"/>
      </w:pPr>
    </w:p>
    <w:p w:rsidR="002C78A6" w:rsidRDefault="00E46AAE">
      <w:pPr>
        <w:pStyle w:val="Heading1"/>
        <w:spacing w:line="276" w:lineRule="auto"/>
        <w:ind w:left="3600"/>
      </w:pPr>
      <w:bookmarkStart w:id="0" w:name="_gjdgxs" w:colFirst="0" w:colLast="0"/>
      <w:bookmarkEnd w:id="0"/>
      <w:r>
        <w:t>Introduction</w:t>
      </w:r>
      <w:r>
        <w:tab/>
      </w:r>
    </w:p>
    <w:p w:rsidR="002C78A6" w:rsidRDefault="00E46AAE">
      <w:pPr>
        <w:spacing w:line="276" w:lineRule="auto"/>
        <w:jc w:val="both"/>
        <w:rPr>
          <w:sz w:val="24"/>
          <w:szCs w:val="24"/>
        </w:rPr>
      </w:pPr>
      <w:r>
        <w:rPr>
          <w:sz w:val="24"/>
          <w:szCs w:val="24"/>
        </w:rPr>
        <w:t xml:space="preserve">Visual discrimination and auditory discrimination are important components and pre determinants of visual and auditory perception respectively. These skills help in differentiating and identifying figures, objects and shapes. </w:t>
      </w:r>
    </w:p>
    <w:p w:rsidR="002C78A6" w:rsidRDefault="00E46AAE">
      <w:pPr>
        <w:spacing w:line="276" w:lineRule="auto"/>
        <w:jc w:val="both"/>
        <w:rPr>
          <w:sz w:val="24"/>
          <w:szCs w:val="24"/>
        </w:rPr>
      </w:pPr>
      <w:r>
        <w:rPr>
          <w:sz w:val="24"/>
          <w:szCs w:val="24"/>
        </w:rPr>
        <w:t>Eleanor Gibson (1969) and Gibson and Levin (1975) extended principles to the development of visual perception in children and theorized that children over the course of development learn to attend to this invariant information in the environment. Although it appears that nondisabled children acquire this information about the real world environment quite early in development, this knowledge about invariant information in the visual environment may not always be helpful to children when they are trying to discriminate among graphic symbols such as letters.</w:t>
      </w:r>
    </w:p>
    <w:p w:rsidR="002C78A6" w:rsidRDefault="00E46AAE">
      <w:pPr>
        <w:spacing w:line="276" w:lineRule="auto"/>
        <w:jc w:val="both"/>
        <w:rPr>
          <w:sz w:val="24"/>
          <w:szCs w:val="24"/>
        </w:rPr>
      </w:pPr>
      <w:r>
        <w:rPr>
          <w:sz w:val="24"/>
          <w:szCs w:val="24"/>
          <w:highlight w:val="white"/>
        </w:rPr>
        <w:t xml:space="preserve">There are many researchers have proved that auditory discrimination and visual discrimination abilities have an impact on reading to a large extent.  King, E. M. (1964) found in his study that there is a significant change in reading pattern after visual discrimination training. </w:t>
      </w:r>
      <w:r>
        <w:rPr>
          <w:sz w:val="24"/>
          <w:szCs w:val="24"/>
        </w:rPr>
        <w:t xml:space="preserve">Felipe Pegado (2011) stated that "when one learns to read, letters should be recognized in a fixed orientation, forcing the visual system to discriminate their orientations in an effortful manner." According to Bellis, T. J., &amp; Ferre, J. M. (1999); Chermak, G. D., &amp; Musiek, F. E. (1997), Katz, J. (1992) school aged children with central </w:t>
      </w:r>
      <w:r>
        <w:rPr>
          <w:sz w:val="24"/>
          <w:szCs w:val="24"/>
        </w:rPr>
        <w:lastRenderedPageBreak/>
        <w:t xml:space="preserve">auditory processing disorder faces difficulties in learning, speech, language including written expression, reading, spelling, social and other related functions. </w:t>
      </w:r>
      <w:r>
        <w:rPr>
          <w:sz w:val="24"/>
          <w:szCs w:val="24"/>
          <w:highlight w:val="white"/>
        </w:rPr>
        <w:t xml:space="preserve">Difficulty in auditory discrimination which involved differentiating between word pairs like discriminating vowel sounds (phonetics) in a word like pet/pat/pit, discriminating beginning sounds like rhyming words e.g house/mouse, book/look, discriminating ending sounds like car /jar, beat/street demonstrated higher relationships with all aspects of failure in reading achievement (Reynolds (1953)), Dykstra, R. (1966). Thus, auditory and </w:t>
      </w:r>
      <w:r>
        <w:rPr>
          <w:sz w:val="24"/>
          <w:szCs w:val="24"/>
        </w:rPr>
        <w:t xml:space="preserve">visual discrimination deficits are affecting children's performance in academics. </w:t>
      </w:r>
    </w:p>
    <w:p w:rsidR="002C78A6" w:rsidRDefault="00E46AAE">
      <w:pPr>
        <w:spacing w:line="276" w:lineRule="auto"/>
        <w:jc w:val="both"/>
        <w:rPr>
          <w:sz w:val="24"/>
          <w:szCs w:val="24"/>
          <w:highlight w:val="white"/>
        </w:rPr>
      </w:pPr>
      <w:r>
        <w:rPr>
          <w:sz w:val="24"/>
          <w:szCs w:val="24"/>
        </w:rPr>
        <w:t xml:space="preserve">This study explains the correlation between </w:t>
      </w:r>
      <w:r>
        <w:rPr>
          <w:sz w:val="24"/>
          <w:szCs w:val="24"/>
          <w:highlight w:val="white"/>
        </w:rPr>
        <w:t>auditory and visual discrimination deficits and cognitive abilities. This correlation is of interest as these deficits have a great impact on learning abilities of children. Most of the diagnosticians ask for IQ testing along with various tests of learning disabilities in order to diagnose the children with specific learning disabilities to meet criteria given in DSM-V and ICD-10. In this study, results have shown that deficits in visual and auditory discrimination abilities are affecting specific subtests of MISIC profile.</w:t>
      </w:r>
    </w:p>
    <w:p w:rsidR="002C78A6" w:rsidRDefault="00E46AAE">
      <w:pPr>
        <w:pStyle w:val="Heading1"/>
        <w:spacing w:line="276" w:lineRule="auto"/>
      </w:pPr>
      <w:bookmarkStart w:id="1" w:name="_30j0zll" w:colFirst="0" w:colLast="0"/>
      <w:bookmarkEnd w:id="1"/>
      <w:r>
        <w:t xml:space="preserve">                                          </w:t>
      </w:r>
    </w:p>
    <w:p w:rsidR="002C78A6" w:rsidRDefault="00E46AAE">
      <w:pPr>
        <w:pStyle w:val="Heading1"/>
        <w:spacing w:line="276" w:lineRule="auto"/>
      </w:pPr>
      <w:r>
        <w:t xml:space="preserve">                                               Methods</w:t>
      </w:r>
    </w:p>
    <w:p w:rsidR="002C78A6" w:rsidRDefault="00E46AAE">
      <w:pPr>
        <w:spacing w:line="276" w:lineRule="auto"/>
        <w:jc w:val="both"/>
        <w:rPr>
          <w:b/>
          <w:sz w:val="24"/>
          <w:szCs w:val="24"/>
        </w:rPr>
      </w:pPr>
      <w:r>
        <w:rPr>
          <w:b/>
          <w:sz w:val="28"/>
          <w:szCs w:val="28"/>
        </w:rPr>
        <w:t>Participants</w:t>
      </w:r>
      <w:r>
        <w:rPr>
          <w:b/>
          <w:sz w:val="24"/>
          <w:szCs w:val="24"/>
        </w:rPr>
        <w:t xml:space="preserve"> </w:t>
      </w:r>
    </w:p>
    <w:p w:rsidR="002C78A6" w:rsidRDefault="00E46AAE">
      <w:pPr>
        <w:spacing w:line="276" w:lineRule="auto"/>
        <w:jc w:val="both"/>
        <w:rPr>
          <w:sz w:val="24"/>
          <w:szCs w:val="24"/>
        </w:rPr>
      </w:pPr>
      <w:r>
        <w:rPr>
          <w:sz w:val="24"/>
          <w:szCs w:val="24"/>
        </w:rPr>
        <w:t xml:space="preserve">To fulfil the assessment criteria for auditory discrimination deficits and visual discrimination deficits, and to exclude children with intellectual disability, all students had Verbal and Performance and full scale IQ of 70 and above. Identification of ADD and VDD were established on Ann Arbor Learning Inventory. </w:t>
      </w:r>
    </w:p>
    <w:p w:rsidR="002C78A6" w:rsidRDefault="00E46AAE">
      <w:pPr>
        <w:spacing w:line="276" w:lineRule="auto"/>
        <w:jc w:val="both"/>
        <w:rPr>
          <w:sz w:val="24"/>
          <w:szCs w:val="24"/>
        </w:rPr>
      </w:pPr>
      <w:r>
        <w:rPr>
          <w:sz w:val="24"/>
          <w:szCs w:val="24"/>
        </w:rPr>
        <w:t xml:space="preserve">All </w:t>
      </w:r>
      <w:r w:rsidR="003F1A78">
        <w:rPr>
          <w:sz w:val="24"/>
          <w:szCs w:val="24"/>
        </w:rPr>
        <w:t xml:space="preserve">92 </w:t>
      </w:r>
      <w:r>
        <w:rPr>
          <w:sz w:val="24"/>
          <w:szCs w:val="24"/>
        </w:rPr>
        <w:t>children of age group 6 to 10 years of both genders (male and female) had undergone MISIC (Malin's Intellectual Scale for Indian Children) and Ann Arbor Learning Inventory. Then, three groups were made on the basis of findings. The group with Audito</w:t>
      </w:r>
      <w:r w:rsidR="003F1A78">
        <w:rPr>
          <w:sz w:val="24"/>
          <w:szCs w:val="24"/>
        </w:rPr>
        <w:t>ry discrimination deficit had 48</w:t>
      </w:r>
      <w:r>
        <w:rPr>
          <w:sz w:val="24"/>
          <w:szCs w:val="24"/>
        </w:rPr>
        <w:t>, with visual discrimination had 23 children and with global deficits had 21 children. In the group of children with ADD, there were 4,10,16 and 18 students from 1st, 2nd, 3rd and 4th grade respectively. In the group of children with VDD, there were 12,3,3 and 5 students from 1st, 2nd, 3rd and 4th grade respectively. In the group of children with Global deficits, there were 12,3,3 and 3 students from 1st, 2nd, 3rd and 4th grade respectively.</w:t>
      </w:r>
    </w:p>
    <w:p w:rsidR="002C78A6" w:rsidRDefault="00E46AAE">
      <w:pPr>
        <w:spacing w:line="276" w:lineRule="auto"/>
        <w:jc w:val="both"/>
        <w:rPr>
          <w:sz w:val="24"/>
          <w:szCs w:val="24"/>
        </w:rPr>
      </w:pPr>
      <w:r>
        <w:rPr>
          <w:sz w:val="24"/>
          <w:szCs w:val="24"/>
        </w:rPr>
        <w:t>Demographic, deficits and cognitive data are presented in Table 1.</w:t>
      </w:r>
    </w:p>
    <w:tbl>
      <w:tblPr>
        <w:tblStyle w:val="a3"/>
        <w:tblW w:w="924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tblPr>
      <w:tblGrid>
        <w:gridCol w:w="2310"/>
        <w:gridCol w:w="1186"/>
        <w:gridCol w:w="1124"/>
        <w:gridCol w:w="1220"/>
        <w:gridCol w:w="1091"/>
        <w:gridCol w:w="1169"/>
        <w:gridCol w:w="1142"/>
      </w:tblGrid>
      <w:tr w:rsidR="002C78A6">
        <w:tc>
          <w:tcPr>
            <w:tcW w:w="2310" w:type="dxa"/>
          </w:tcPr>
          <w:p w:rsidR="002C78A6" w:rsidRDefault="00E46AAE">
            <w:pPr>
              <w:spacing w:line="276" w:lineRule="auto"/>
              <w:jc w:val="both"/>
              <w:rPr>
                <w:sz w:val="24"/>
                <w:szCs w:val="24"/>
              </w:rPr>
            </w:pPr>
            <w:r>
              <w:rPr>
                <w:sz w:val="24"/>
                <w:szCs w:val="24"/>
              </w:rPr>
              <w:t>Variable</w:t>
            </w:r>
          </w:p>
        </w:tc>
        <w:tc>
          <w:tcPr>
            <w:tcW w:w="2310" w:type="dxa"/>
            <w:gridSpan w:val="2"/>
          </w:tcPr>
          <w:p w:rsidR="002C78A6" w:rsidRDefault="00E46AAE">
            <w:pPr>
              <w:spacing w:line="276" w:lineRule="auto"/>
              <w:jc w:val="both"/>
              <w:rPr>
                <w:sz w:val="24"/>
                <w:szCs w:val="24"/>
              </w:rPr>
            </w:pPr>
            <w:r>
              <w:rPr>
                <w:sz w:val="24"/>
                <w:szCs w:val="24"/>
              </w:rPr>
              <w:t>ADD</w:t>
            </w:r>
          </w:p>
        </w:tc>
        <w:tc>
          <w:tcPr>
            <w:tcW w:w="2311" w:type="dxa"/>
            <w:gridSpan w:val="2"/>
          </w:tcPr>
          <w:p w:rsidR="002C78A6" w:rsidRDefault="00E46AAE">
            <w:pPr>
              <w:spacing w:line="276" w:lineRule="auto"/>
              <w:jc w:val="both"/>
              <w:rPr>
                <w:sz w:val="24"/>
                <w:szCs w:val="24"/>
              </w:rPr>
            </w:pPr>
            <w:r>
              <w:rPr>
                <w:sz w:val="24"/>
                <w:szCs w:val="24"/>
              </w:rPr>
              <w:t>VDD</w:t>
            </w:r>
          </w:p>
        </w:tc>
        <w:tc>
          <w:tcPr>
            <w:tcW w:w="2311" w:type="dxa"/>
            <w:gridSpan w:val="2"/>
          </w:tcPr>
          <w:p w:rsidR="002C78A6" w:rsidRDefault="00E46AAE">
            <w:pPr>
              <w:spacing w:line="276" w:lineRule="auto"/>
              <w:jc w:val="both"/>
              <w:rPr>
                <w:sz w:val="24"/>
                <w:szCs w:val="24"/>
              </w:rPr>
            </w:pPr>
            <w:r>
              <w:rPr>
                <w:sz w:val="24"/>
                <w:szCs w:val="24"/>
              </w:rPr>
              <w:t>Global deficits</w:t>
            </w:r>
          </w:p>
        </w:tc>
      </w:tr>
      <w:tr w:rsidR="002C78A6">
        <w:tc>
          <w:tcPr>
            <w:tcW w:w="2310" w:type="dxa"/>
          </w:tcPr>
          <w:p w:rsidR="002C78A6" w:rsidRDefault="00E46AAE">
            <w:pPr>
              <w:spacing w:line="276" w:lineRule="auto"/>
              <w:jc w:val="both"/>
              <w:rPr>
                <w:sz w:val="24"/>
                <w:szCs w:val="24"/>
              </w:rPr>
            </w:pPr>
            <w:r>
              <w:rPr>
                <w:sz w:val="24"/>
                <w:szCs w:val="24"/>
              </w:rPr>
              <w:t>Age</w:t>
            </w:r>
          </w:p>
        </w:tc>
        <w:tc>
          <w:tcPr>
            <w:tcW w:w="1186" w:type="dxa"/>
          </w:tcPr>
          <w:p w:rsidR="002C78A6" w:rsidRDefault="00E46AAE">
            <w:pPr>
              <w:spacing w:line="276" w:lineRule="auto"/>
              <w:jc w:val="both"/>
              <w:rPr>
                <w:sz w:val="24"/>
                <w:szCs w:val="24"/>
              </w:rPr>
            </w:pPr>
            <w:r>
              <w:rPr>
                <w:sz w:val="24"/>
                <w:szCs w:val="24"/>
              </w:rPr>
              <w:t>8.04</w:t>
            </w:r>
          </w:p>
        </w:tc>
        <w:tc>
          <w:tcPr>
            <w:tcW w:w="1124" w:type="dxa"/>
          </w:tcPr>
          <w:p w:rsidR="002C78A6" w:rsidRDefault="00E46AAE">
            <w:pPr>
              <w:spacing w:line="276" w:lineRule="auto"/>
              <w:jc w:val="both"/>
              <w:rPr>
                <w:sz w:val="24"/>
                <w:szCs w:val="24"/>
              </w:rPr>
            </w:pPr>
            <w:r>
              <w:rPr>
                <w:sz w:val="24"/>
                <w:szCs w:val="24"/>
              </w:rPr>
              <w:t>1.07</w:t>
            </w:r>
          </w:p>
        </w:tc>
        <w:tc>
          <w:tcPr>
            <w:tcW w:w="1220" w:type="dxa"/>
          </w:tcPr>
          <w:p w:rsidR="002C78A6" w:rsidRDefault="00E46AAE">
            <w:pPr>
              <w:spacing w:line="276" w:lineRule="auto"/>
              <w:jc w:val="both"/>
              <w:rPr>
                <w:sz w:val="24"/>
                <w:szCs w:val="24"/>
              </w:rPr>
            </w:pPr>
            <w:r>
              <w:rPr>
                <w:sz w:val="24"/>
                <w:szCs w:val="24"/>
              </w:rPr>
              <w:t>7.08</w:t>
            </w:r>
          </w:p>
        </w:tc>
        <w:tc>
          <w:tcPr>
            <w:tcW w:w="1091" w:type="dxa"/>
          </w:tcPr>
          <w:p w:rsidR="002C78A6" w:rsidRDefault="00E46AAE">
            <w:pPr>
              <w:spacing w:line="276" w:lineRule="auto"/>
              <w:jc w:val="both"/>
              <w:rPr>
                <w:sz w:val="24"/>
                <w:szCs w:val="24"/>
              </w:rPr>
            </w:pPr>
            <w:r>
              <w:rPr>
                <w:sz w:val="24"/>
                <w:szCs w:val="24"/>
              </w:rPr>
              <w:t>0.94</w:t>
            </w:r>
          </w:p>
        </w:tc>
        <w:tc>
          <w:tcPr>
            <w:tcW w:w="1169" w:type="dxa"/>
          </w:tcPr>
          <w:p w:rsidR="002C78A6" w:rsidRDefault="00E46AAE">
            <w:pPr>
              <w:spacing w:line="276" w:lineRule="auto"/>
              <w:jc w:val="both"/>
              <w:rPr>
                <w:sz w:val="24"/>
                <w:szCs w:val="24"/>
              </w:rPr>
            </w:pPr>
            <w:r>
              <w:rPr>
                <w:sz w:val="24"/>
                <w:szCs w:val="24"/>
              </w:rPr>
              <w:t>6.95</w:t>
            </w:r>
          </w:p>
        </w:tc>
        <w:tc>
          <w:tcPr>
            <w:tcW w:w="1142" w:type="dxa"/>
          </w:tcPr>
          <w:p w:rsidR="002C78A6" w:rsidRDefault="00E46AAE">
            <w:pPr>
              <w:spacing w:line="276" w:lineRule="auto"/>
              <w:jc w:val="both"/>
              <w:rPr>
                <w:sz w:val="24"/>
                <w:szCs w:val="24"/>
              </w:rPr>
            </w:pPr>
            <w:r>
              <w:rPr>
                <w:sz w:val="24"/>
                <w:szCs w:val="24"/>
              </w:rPr>
              <w:t>0.86</w:t>
            </w:r>
          </w:p>
        </w:tc>
      </w:tr>
      <w:tr w:rsidR="002C78A6">
        <w:tc>
          <w:tcPr>
            <w:tcW w:w="2310" w:type="dxa"/>
          </w:tcPr>
          <w:p w:rsidR="002C78A6" w:rsidRDefault="00E46AAE">
            <w:pPr>
              <w:spacing w:line="276" w:lineRule="auto"/>
              <w:jc w:val="both"/>
              <w:rPr>
                <w:sz w:val="24"/>
                <w:szCs w:val="24"/>
              </w:rPr>
            </w:pPr>
            <w:r>
              <w:rPr>
                <w:sz w:val="24"/>
                <w:szCs w:val="24"/>
              </w:rPr>
              <w:t>Std</w:t>
            </w:r>
          </w:p>
        </w:tc>
        <w:tc>
          <w:tcPr>
            <w:tcW w:w="1186" w:type="dxa"/>
          </w:tcPr>
          <w:p w:rsidR="002C78A6" w:rsidRDefault="00E46AAE">
            <w:pPr>
              <w:spacing w:line="276" w:lineRule="auto"/>
              <w:jc w:val="both"/>
              <w:rPr>
                <w:sz w:val="24"/>
                <w:szCs w:val="24"/>
              </w:rPr>
            </w:pPr>
            <w:r>
              <w:rPr>
                <w:sz w:val="24"/>
                <w:szCs w:val="24"/>
              </w:rPr>
              <w:t>3.04</w:t>
            </w:r>
          </w:p>
        </w:tc>
        <w:tc>
          <w:tcPr>
            <w:tcW w:w="1124" w:type="dxa"/>
          </w:tcPr>
          <w:p w:rsidR="002C78A6" w:rsidRDefault="00E46AAE">
            <w:pPr>
              <w:spacing w:line="276" w:lineRule="auto"/>
              <w:jc w:val="both"/>
              <w:rPr>
                <w:sz w:val="24"/>
                <w:szCs w:val="24"/>
              </w:rPr>
            </w:pPr>
            <w:r>
              <w:rPr>
                <w:sz w:val="24"/>
                <w:szCs w:val="24"/>
              </w:rPr>
              <w:t>0.99</w:t>
            </w:r>
          </w:p>
        </w:tc>
        <w:tc>
          <w:tcPr>
            <w:tcW w:w="1220" w:type="dxa"/>
          </w:tcPr>
          <w:p w:rsidR="002C78A6" w:rsidRDefault="00E46AAE">
            <w:pPr>
              <w:spacing w:line="276" w:lineRule="auto"/>
              <w:jc w:val="both"/>
              <w:rPr>
                <w:sz w:val="24"/>
                <w:szCs w:val="24"/>
              </w:rPr>
            </w:pPr>
            <w:r>
              <w:rPr>
                <w:sz w:val="24"/>
                <w:szCs w:val="24"/>
              </w:rPr>
              <w:t>2.04</w:t>
            </w:r>
          </w:p>
        </w:tc>
        <w:tc>
          <w:tcPr>
            <w:tcW w:w="1091" w:type="dxa"/>
          </w:tcPr>
          <w:p w:rsidR="002C78A6" w:rsidRDefault="00E46AAE">
            <w:pPr>
              <w:spacing w:line="276" w:lineRule="auto"/>
              <w:jc w:val="both"/>
              <w:rPr>
                <w:sz w:val="24"/>
                <w:szCs w:val="24"/>
              </w:rPr>
            </w:pPr>
            <w:r>
              <w:rPr>
                <w:sz w:val="24"/>
                <w:szCs w:val="24"/>
              </w:rPr>
              <w:t>1.26</w:t>
            </w:r>
          </w:p>
        </w:tc>
        <w:tc>
          <w:tcPr>
            <w:tcW w:w="1169" w:type="dxa"/>
          </w:tcPr>
          <w:p w:rsidR="002C78A6" w:rsidRDefault="00E46AAE">
            <w:pPr>
              <w:spacing w:line="276" w:lineRule="auto"/>
              <w:jc w:val="both"/>
              <w:rPr>
                <w:sz w:val="24"/>
                <w:szCs w:val="24"/>
              </w:rPr>
            </w:pPr>
            <w:r>
              <w:rPr>
                <w:sz w:val="24"/>
                <w:szCs w:val="24"/>
              </w:rPr>
              <w:t>1.85</w:t>
            </w:r>
          </w:p>
        </w:tc>
        <w:tc>
          <w:tcPr>
            <w:tcW w:w="1142" w:type="dxa"/>
          </w:tcPr>
          <w:p w:rsidR="002C78A6" w:rsidRDefault="00E46AAE">
            <w:pPr>
              <w:spacing w:line="276" w:lineRule="auto"/>
              <w:jc w:val="both"/>
              <w:rPr>
                <w:sz w:val="24"/>
                <w:szCs w:val="24"/>
              </w:rPr>
            </w:pPr>
            <w:r>
              <w:rPr>
                <w:sz w:val="24"/>
                <w:szCs w:val="24"/>
              </w:rPr>
              <w:t>1.15</w:t>
            </w:r>
          </w:p>
        </w:tc>
      </w:tr>
      <w:tr w:rsidR="002C78A6">
        <w:tc>
          <w:tcPr>
            <w:tcW w:w="2310" w:type="dxa"/>
          </w:tcPr>
          <w:p w:rsidR="002C78A6" w:rsidRDefault="00E46AAE">
            <w:pPr>
              <w:spacing w:line="276" w:lineRule="auto"/>
              <w:jc w:val="both"/>
              <w:rPr>
                <w:sz w:val="24"/>
                <w:szCs w:val="24"/>
              </w:rPr>
            </w:pPr>
            <w:r>
              <w:rPr>
                <w:sz w:val="24"/>
                <w:szCs w:val="24"/>
              </w:rPr>
              <w:t>MISIC- VQ</w:t>
            </w:r>
          </w:p>
        </w:tc>
        <w:tc>
          <w:tcPr>
            <w:tcW w:w="1186" w:type="dxa"/>
          </w:tcPr>
          <w:p w:rsidR="002C78A6" w:rsidRDefault="00E46AAE">
            <w:pPr>
              <w:spacing w:line="276" w:lineRule="auto"/>
              <w:jc w:val="both"/>
              <w:rPr>
                <w:sz w:val="24"/>
                <w:szCs w:val="24"/>
              </w:rPr>
            </w:pPr>
            <w:r>
              <w:rPr>
                <w:sz w:val="24"/>
                <w:szCs w:val="24"/>
              </w:rPr>
              <w:t>100.29</w:t>
            </w:r>
          </w:p>
        </w:tc>
        <w:tc>
          <w:tcPr>
            <w:tcW w:w="1124" w:type="dxa"/>
          </w:tcPr>
          <w:p w:rsidR="002C78A6" w:rsidRDefault="00E46AAE">
            <w:pPr>
              <w:spacing w:line="276" w:lineRule="auto"/>
              <w:jc w:val="both"/>
              <w:rPr>
                <w:sz w:val="24"/>
                <w:szCs w:val="24"/>
              </w:rPr>
            </w:pPr>
            <w:r>
              <w:rPr>
                <w:sz w:val="24"/>
                <w:szCs w:val="24"/>
              </w:rPr>
              <w:t>10.65</w:t>
            </w:r>
          </w:p>
        </w:tc>
        <w:tc>
          <w:tcPr>
            <w:tcW w:w="1220" w:type="dxa"/>
          </w:tcPr>
          <w:p w:rsidR="002C78A6" w:rsidRDefault="00E46AAE">
            <w:pPr>
              <w:spacing w:line="276" w:lineRule="auto"/>
              <w:jc w:val="both"/>
              <w:rPr>
                <w:sz w:val="24"/>
                <w:szCs w:val="24"/>
              </w:rPr>
            </w:pPr>
            <w:r>
              <w:rPr>
                <w:sz w:val="24"/>
                <w:szCs w:val="24"/>
              </w:rPr>
              <w:t>97.48</w:t>
            </w:r>
          </w:p>
        </w:tc>
        <w:tc>
          <w:tcPr>
            <w:tcW w:w="1091" w:type="dxa"/>
          </w:tcPr>
          <w:p w:rsidR="002C78A6" w:rsidRDefault="00E46AAE">
            <w:pPr>
              <w:spacing w:line="276" w:lineRule="auto"/>
              <w:jc w:val="both"/>
              <w:rPr>
                <w:sz w:val="24"/>
                <w:szCs w:val="24"/>
              </w:rPr>
            </w:pPr>
            <w:r>
              <w:rPr>
                <w:sz w:val="24"/>
                <w:szCs w:val="24"/>
              </w:rPr>
              <w:t>12.90</w:t>
            </w:r>
          </w:p>
        </w:tc>
        <w:tc>
          <w:tcPr>
            <w:tcW w:w="1169" w:type="dxa"/>
          </w:tcPr>
          <w:p w:rsidR="002C78A6" w:rsidRDefault="00E46AAE">
            <w:pPr>
              <w:spacing w:line="276" w:lineRule="auto"/>
              <w:jc w:val="both"/>
              <w:rPr>
                <w:sz w:val="24"/>
                <w:szCs w:val="24"/>
              </w:rPr>
            </w:pPr>
            <w:r>
              <w:rPr>
                <w:sz w:val="24"/>
                <w:szCs w:val="24"/>
              </w:rPr>
              <w:t>96.98</w:t>
            </w:r>
          </w:p>
        </w:tc>
        <w:tc>
          <w:tcPr>
            <w:tcW w:w="1142" w:type="dxa"/>
          </w:tcPr>
          <w:p w:rsidR="002C78A6" w:rsidRDefault="00E46AAE">
            <w:pPr>
              <w:spacing w:line="276" w:lineRule="auto"/>
              <w:jc w:val="both"/>
              <w:rPr>
                <w:sz w:val="24"/>
                <w:szCs w:val="24"/>
              </w:rPr>
            </w:pPr>
            <w:r>
              <w:rPr>
                <w:sz w:val="24"/>
                <w:szCs w:val="24"/>
              </w:rPr>
              <w:t>11.92</w:t>
            </w:r>
          </w:p>
        </w:tc>
      </w:tr>
      <w:tr w:rsidR="002C78A6">
        <w:tc>
          <w:tcPr>
            <w:tcW w:w="2310" w:type="dxa"/>
          </w:tcPr>
          <w:p w:rsidR="002C78A6" w:rsidRDefault="00E46AAE">
            <w:pPr>
              <w:spacing w:line="276" w:lineRule="auto"/>
              <w:jc w:val="both"/>
              <w:rPr>
                <w:sz w:val="24"/>
                <w:szCs w:val="24"/>
              </w:rPr>
            </w:pPr>
            <w:r>
              <w:rPr>
                <w:sz w:val="24"/>
                <w:szCs w:val="24"/>
              </w:rPr>
              <w:t>MISIC- PQ</w:t>
            </w:r>
          </w:p>
        </w:tc>
        <w:tc>
          <w:tcPr>
            <w:tcW w:w="1186" w:type="dxa"/>
          </w:tcPr>
          <w:p w:rsidR="002C78A6" w:rsidRDefault="00E46AAE">
            <w:pPr>
              <w:spacing w:line="276" w:lineRule="auto"/>
              <w:jc w:val="both"/>
              <w:rPr>
                <w:sz w:val="24"/>
                <w:szCs w:val="24"/>
              </w:rPr>
            </w:pPr>
            <w:r>
              <w:rPr>
                <w:sz w:val="24"/>
                <w:szCs w:val="24"/>
              </w:rPr>
              <w:t>100.54</w:t>
            </w:r>
          </w:p>
        </w:tc>
        <w:tc>
          <w:tcPr>
            <w:tcW w:w="1124" w:type="dxa"/>
          </w:tcPr>
          <w:p w:rsidR="002C78A6" w:rsidRDefault="00E46AAE">
            <w:pPr>
              <w:spacing w:line="276" w:lineRule="auto"/>
              <w:jc w:val="both"/>
              <w:rPr>
                <w:sz w:val="24"/>
                <w:szCs w:val="24"/>
              </w:rPr>
            </w:pPr>
            <w:r>
              <w:rPr>
                <w:sz w:val="24"/>
                <w:szCs w:val="24"/>
              </w:rPr>
              <w:t>11.55</w:t>
            </w:r>
          </w:p>
        </w:tc>
        <w:tc>
          <w:tcPr>
            <w:tcW w:w="1220" w:type="dxa"/>
          </w:tcPr>
          <w:p w:rsidR="002C78A6" w:rsidRDefault="00E46AAE">
            <w:pPr>
              <w:spacing w:line="276" w:lineRule="auto"/>
              <w:jc w:val="both"/>
              <w:rPr>
                <w:sz w:val="24"/>
                <w:szCs w:val="24"/>
              </w:rPr>
            </w:pPr>
            <w:r>
              <w:rPr>
                <w:sz w:val="24"/>
                <w:szCs w:val="24"/>
              </w:rPr>
              <w:t>95.26</w:t>
            </w:r>
          </w:p>
        </w:tc>
        <w:tc>
          <w:tcPr>
            <w:tcW w:w="1091" w:type="dxa"/>
          </w:tcPr>
          <w:p w:rsidR="002C78A6" w:rsidRDefault="00E46AAE">
            <w:pPr>
              <w:spacing w:line="276" w:lineRule="auto"/>
              <w:jc w:val="both"/>
              <w:rPr>
                <w:sz w:val="24"/>
                <w:szCs w:val="24"/>
              </w:rPr>
            </w:pPr>
            <w:r>
              <w:rPr>
                <w:sz w:val="24"/>
                <w:szCs w:val="24"/>
              </w:rPr>
              <w:t>13.74</w:t>
            </w:r>
          </w:p>
        </w:tc>
        <w:tc>
          <w:tcPr>
            <w:tcW w:w="1169" w:type="dxa"/>
          </w:tcPr>
          <w:p w:rsidR="002C78A6" w:rsidRDefault="00E46AAE">
            <w:pPr>
              <w:spacing w:line="276" w:lineRule="auto"/>
              <w:jc w:val="both"/>
              <w:rPr>
                <w:sz w:val="24"/>
                <w:szCs w:val="24"/>
              </w:rPr>
            </w:pPr>
            <w:r>
              <w:rPr>
                <w:sz w:val="24"/>
                <w:szCs w:val="24"/>
              </w:rPr>
              <w:t>94.66</w:t>
            </w:r>
          </w:p>
        </w:tc>
        <w:tc>
          <w:tcPr>
            <w:tcW w:w="1142" w:type="dxa"/>
          </w:tcPr>
          <w:p w:rsidR="002C78A6" w:rsidRDefault="00E46AAE">
            <w:pPr>
              <w:spacing w:line="276" w:lineRule="auto"/>
              <w:jc w:val="both"/>
              <w:rPr>
                <w:sz w:val="24"/>
                <w:szCs w:val="24"/>
              </w:rPr>
            </w:pPr>
            <w:r>
              <w:rPr>
                <w:sz w:val="24"/>
                <w:szCs w:val="24"/>
              </w:rPr>
              <w:t>13.87</w:t>
            </w:r>
          </w:p>
        </w:tc>
      </w:tr>
      <w:tr w:rsidR="002C78A6">
        <w:tc>
          <w:tcPr>
            <w:tcW w:w="2310" w:type="dxa"/>
          </w:tcPr>
          <w:p w:rsidR="002C78A6" w:rsidRDefault="00E46AAE">
            <w:pPr>
              <w:spacing w:line="276" w:lineRule="auto"/>
              <w:jc w:val="both"/>
              <w:rPr>
                <w:sz w:val="24"/>
                <w:szCs w:val="24"/>
              </w:rPr>
            </w:pPr>
            <w:r>
              <w:rPr>
                <w:sz w:val="24"/>
                <w:szCs w:val="24"/>
              </w:rPr>
              <w:t>MISIC- IQ</w:t>
            </w:r>
          </w:p>
        </w:tc>
        <w:tc>
          <w:tcPr>
            <w:tcW w:w="1186" w:type="dxa"/>
          </w:tcPr>
          <w:p w:rsidR="002C78A6" w:rsidRDefault="00E46AAE">
            <w:pPr>
              <w:spacing w:line="276" w:lineRule="auto"/>
              <w:jc w:val="both"/>
              <w:rPr>
                <w:sz w:val="24"/>
                <w:szCs w:val="24"/>
              </w:rPr>
            </w:pPr>
            <w:r>
              <w:rPr>
                <w:sz w:val="24"/>
                <w:szCs w:val="24"/>
              </w:rPr>
              <w:t>100.48</w:t>
            </w:r>
          </w:p>
        </w:tc>
        <w:tc>
          <w:tcPr>
            <w:tcW w:w="1124" w:type="dxa"/>
          </w:tcPr>
          <w:p w:rsidR="002C78A6" w:rsidRDefault="00E46AAE">
            <w:pPr>
              <w:spacing w:line="276" w:lineRule="auto"/>
              <w:jc w:val="both"/>
              <w:rPr>
                <w:sz w:val="24"/>
                <w:szCs w:val="24"/>
              </w:rPr>
            </w:pPr>
            <w:r>
              <w:rPr>
                <w:sz w:val="24"/>
                <w:szCs w:val="24"/>
              </w:rPr>
              <w:t>9.73</w:t>
            </w:r>
          </w:p>
        </w:tc>
        <w:tc>
          <w:tcPr>
            <w:tcW w:w="1220" w:type="dxa"/>
          </w:tcPr>
          <w:p w:rsidR="002C78A6" w:rsidRDefault="00E46AAE">
            <w:pPr>
              <w:spacing w:line="276" w:lineRule="auto"/>
              <w:jc w:val="both"/>
              <w:rPr>
                <w:sz w:val="24"/>
                <w:szCs w:val="24"/>
              </w:rPr>
            </w:pPr>
            <w:r>
              <w:rPr>
                <w:sz w:val="24"/>
                <w:szCs w:val="24"/>
              </w:rPr>
              <w:t>96.36</w:t>
            </w:r>
          </w:p>
        </w:tc>
        <w:tc>
          <w:tcPr>
            <w:tcW w:w="1091" w:type="dxa"/>
          </w:tcPr>
          <w:p w:rsidR="002C78A6" w:rsidRDefault="00E46AAE">
            <w:pPr>
              <w:spacing w:line="276" w:lineRule="auto"/>
              <w:jc w:val="both"/>
              <w:rPr>
                <w:sz w:val="24"/>
                <w:szCs w:val="24"/>
              </w:rPr>
            </w:pPr>
            <w:r>
              <w:rPr>
                <w:sz w:val="24"/>
                <w:szCs w:val="24"/>
              </w:rPr>
              <w:t>12.69</w:t>
            </w:r>
          </w:p>
        </w:tc>
        <w:tc>
          <w:tcPr>
            <w:tcW w:w="1169" w:type="dxa"/>
          </w:tcPr>
          <w:p w:rsidR="002C78A6" w:rsidRDefault="00E46AAE">
            <w:pPr>
              <w:spacing w:line="276" w:lineRule="auto"/>
              <w:jc w:val="both"/>
              <w:rPr>
                <w:sz w:val="24"/>
                <w:szCs w:val="24"/>
              </w:rPr>
            </w:pPr>
            <w:r>
              <w:rPr>
                <w:sz w:val="24"/>
                <w:szCs w:val="24"/>
              </w:rPr>
              <w:t>95.82</w:t>
            </w:r>
          </w:p>
        </w:tc>
        <w:tc>
          <w:tcPr>
            <w:tcW w:w="1142" w:type="dxa"/>
          </w:tcPr>
          <w:p w:rsidR="002C78A6" w:rsidRDefault="00E46AAE">
            <w:pPr>
              <w:spacing w:line="276" w:lineRule="auto"/>
              <w:jc w:val="both"/>
              <w:rPr>
                <w:sz w:val="24"/>
                <w:szCs w:val="24"/>
              </w:rPr>
            </w:pPr>
            <w:r>
              <w:rPr>
                <w:sz w:val="24"/>
                <w:szCs w:val="24"/>
              </w:rPr>
              <w:t>12.29</w:t>
            </w:r>
          </w:p>
        </w:tc>
      </w:tr>
      <w:tr w:rsidR="002C78A6">
        <w:tc>
          <w:tcPr>
            <w:tcW w:w="2310" w:type="dxa"/>
          </w:tcPr>
          <w:p w:rsidR="002C78A6" w:rsidRDefault="00E46AAE">
            <w:pPr>
              <w:spacing w:line="276" w:lineRule="auto"/>
              <w:jc w:val="both"/>
              <w:rPr>
                <w:sz w:val="24"/>
                <w:szCs w:val="24"/>
              </w:rPr>
            </w:pPr>
            <w:r>
              <w:rPr>
                <w:sz w:val="24"/>
                <w:szCs w:val="24"/>
              </w:rPr>
              <w:t>VDD errors</w:t>
            </w:r>
          </w:p>
        </w:tc>
        <w:tc>
          <w:tcPr>
            <w:tcW w:w="1186" w:type="dxa"/>
          </w:tcPr>
          <w:p w:rsidR="002C78A6" w:rsidRDefault="00E46AAE">
            <w:pPr>
              <w:spacing w:line="276" w:lineRule="auto"/>
              <w:jc w:val="both"/>
              <w:rPr>
                <w:sz w:val="24"/>
                <w:szCs w:val="24"/>
              </w:rPr>
            </w:pPr>
            <w:r>
              <w:rPr>
                <w:sz w:val="24"/>
                <w:szCs w:val="24"/>
              </w:rPr>
              <w:t>1.04</w:t>
            </w:r>
          </w:p>
        </w:tc>
        <w:tc>
          <w:tcPr>
            <w:tcW w:w="1124" w:type="dxa"/>
          </w:tcPr>
          <w:p w:rsidR="002C78A6" w:rsidRDefault="00E46AAE">
            <w:pPr>
              <w:spacing w:line="276" w:lineRule="auto"/>
              <w:jc w:val="both"/>
              <w:rPr>
                <w:sz w:val="24"/>
                <w:szCs w:val="24"/>
              </w:rPr>
            </w:pPr>
            <w:r>
              <w:rPr>
                <w:sz w:val="24"/>
                <w:szCs w:val="24"/>
              </w:rPr>
              <w:t>1.07</w:t>
            </w:r>
          </w:p>
        </w:tc>
        <w:tc>
          <w:tcPr>
            <w:tcW w:w="1220" w:type="dxa"/>
          </w:tcPr>
          <w:p w:rsidR="002C78A6" w:rsidRDefault="00E46AAE">
            <w:pPr>
              <w:spacing w:line="276" w:lineRule="auto"/>
              <w:jc w:val="both"/>
              <w:rPr>
                <w:sz w:val="24"/>
                <w:szCs w:val="24"/>
              </w:rPr>
            </w:pPr>
            <w:r>
              <w:rPr>
                <w:sz w:val="24"/>
                <w:szCs w:val="24"/>
              </w:rPr>
              <w:t>7.00</w:t>
            </w:r>
          </w:p>
        </w:tc>
        <w:tc>
          <w:tcPr>
            <w:tcW w:w="1091" w:type="dxa"/>
          </w:tcPr>
          <w:p w:rsidR="002C78A6" w:rsidRDefault="00E46AAE">
            <w:pPr>
              <w:spacing w:line="276" w:lineRule="auto"/>
              <w:jc w:val="both"/>
              <w:rPr>
                <w:sz w:val="24"/>
                <w:szCs w:val="24"/>
              </w:rPr>
            </w:pPr>
            <w:r>
              <w:rPr>
                <w:sz w:val="24"/>
                <w:szCs w:val="24"/>
              </w:rPr>
              <w:t>2.48</w:t>
            </w:r>
          </w:p>
        </w:tc>
        <w:tc>
          <w:tcPr>
            <w:tcW w:w="1169" w:type="dxa"/>
          </w:tcPr>
          <w:p w:rsidR="002C78A6" w:rsidRDefault="00E46AAE">
            <w:pPr>
              <w:spacing w:line="276" w:lineRule="auto"/>
              <w:jc w:val="both"/>
              <w:rPr>
                <w:sz w:val="24"/>
                <w:szCs w:val="24"/>
              </w:rPr>
            </w:pPr>
            <w:r>
              <w:rPr>
                <w:sz w:val="24"/>
                <w:szCs w:val="24"/>
              </w:rPr>
              <w:t>7.04</w:t>
            </w:r>
          </w:p>
        </w:tc>
        <w:tc>
          <w:tcPr>
            <w:tcW w:w="1142" w:type="dxa"/>
          </w:tcPr>
          <w:p w:rsidR="002C78A6" w:rsidRDefault="00E46AAE">
            <w:pPr>
              <w:spacing w:line="276" w:lineRule="auto"/>
              <w:jc w:val="both"/>
              <w:rPr>
                <w:sz w:val="24"/>
                <w:szCs w:val="24"/>
              </w:rPr>
            </w:pPr>
            <w:r>
              <w:rPr>
                <w:sz w:val="24"/>
                <w:szCs w:val="24"/>
              </w:rPr>
              <w:t>2.55</w:t>
            </w:r>
          </w:p>
        </w:tc>
      </w:tr>
      <w:tr w:rsidR="002C78A6">
        <w:tc>
          <w:tcPr>
            <w:tcW w:w="2310" w:type="dxa"/>
          </w:tcPr>
          <w:p w:rsidR="002C78A6" w:rsidRDefault="00E46AAE">
            <w:pPr>
              <w:spacing w:line="276" w:lineRule="auto"/>
              <w:jc w:val="both"/>
              <w:rPr>
                <w:sz w:val="24"/>
                <w:szCs w:val="24"/>
              </w:rPr>
            </w:pPr>
            <w:r>
              <w:rPr>
                <w:sz w:val="24"/>
                <w:szCs w:val="24"/>
              </w:rPr>
              <w:t>ADD errors</w:t>
            </w:r>
          </w:p>
        </w:tc>
        <w:tc>
          <w:tcPr>
            <w:tcW w:w="1186" w:type="dxa"/>
          </w:tcPr>
          <w:p w:rsidR="002C78A6" w:rsidRDefault="00E46AAE">
            <w:pPr>
              <w:spacing w:line="276" w:lineRule="auto"/>
              <w:jc w:val="both"/>
              <w:rPr>
                <w:sz w:val="24"/>
                <w:szCs w:val="24"/>
              </w:rPr>
            </w:pPr>
            <w:r>
              <w:rPr>
                <w:sz w:val="24"/>
                <w:szCs w:val="24"/>
              </w:rPr>
              <w:t>11.53</w:t>
            </w:r>
          </w:p>
        </w:tc>
        <w:tc>
          <w:tcPr>
            <w:tcW w:w="1124" w:type="dxa"/>
          </w:tcPr>
          <w:p w:rsidR="002C78A6" w:rsidRDefault="00E46AAE">
            <w:pPr>
              <w:spacing w:line="276" w:lineRule="auto"/>
              <w:jc w:val="both"/>
              <w:rPr>
                <w:sz w:val="24"/>
                <w:szCs w:val="24"/>
              </w:rPr>
            </w:pPr>
            <w:r>
              <w:rPr>
                <w:sz w:val="24"/>
                <w:szCs w:val="24"/>
              </w:rPr>
              <w:t>6.40</w:t>
            </w:r>
          </w:p>
        </w:tc>
        <w:tc>
          <w:tcPr>
            <w:tcW w:w="1220" w:type="dxa"/>
          </w:tcPr>
          <w:p w:rsidR="002C78A6" w:rsidRDefault="00E46AAE">
            <w:pPr>
              <w:spacing w:line="276" w:lineRule="auto"/>
              <w:jc w:val="both"/>
              <w:rPr>
                <w:sz w:val="24"/>
                <w:szCs w:val="24"/>
              </w:rPr>
            </w:pPr>
            <w:r>
              <w:rPr>
                <w:sz w:val="24"/>
                <w:szCs w:val="24"/>
              </w:rPr>
              <w:t>14.04</w:t>
            </w:r>
          </w:p>
        </w:tc>
        <w:tc>
          <w:tcPr>
            <w:tcW w:w="1091" w:type="dxa"/>
          </w:tcPr>
          <w:p w:rsidR="002C78A6" w:rsidRDefault="00E46AAE">
            <w:pPr>
              <w:spacing w:line="276" w:lineRule="auto"/>
              <w:jc w:val="both"/>
              <w:rPr>
                <w:sz w:val="24"/>
                <w:szCs w:val="24"/>
              </w:rPr>
            </w:pPr>
            <w:r>
              <w:rPr>
                <w:sz w:val="24"/>
                <w:szCs w:val="24"/>
              </w:rPr>
              <w:t>8.99</w:t>
            </w:r>
          </w:p>
        </w:tc>
        <w:tc>
          <w:tcPr>
            <w:tcW w:w="1169" w:type="dxa"/>
          </w:tcPr>
          <w:p w:rsidR="002C78A6" w:rsidRDefault="00E46AAE">
            <w:pPr>
              <w:spacing w:line="276" w:lineRule="auto"/>
              <w:jc w:val="both"/>
              <w:rPr>
                <w:sz w:val="24"/>
                <w:szCs w:val="24"/>
              </w:rPr>
            </w:pPr>
            <w:r>
              <w:rPr>
                <w:sz w:val="24"/>
                <w:szCs w:val="24"/>
              </w:rPr>
              <w:t>15.09</w:t>
            </w:r>
          </w:p>
        </w:tc>
        <w:tc>
          <w:tcPr>
            <w:tcW w:w="1142" w:type="dxa"/>
          </w:tcPr>
          <w:p w:rsidR="002C78A6" w:rsidRDefault="00E46AAE">
            <w:pPr>
              <w:spacing w:line="276" w:lineRule="auto"/>
              <w:jc w:val="both"/>
              <w:rPr>
                <w:sz w:val="24"/>
                <w:szCs w:val="24"/>
              </w:rPr>
            </w:pPr>
            <w:r>
              <w:rPr>
                <w:sz w:val="24"/>
                <w:szCs w:val="24"/>
              </w:rPr>
              <w:t>8.68</w:t>
            </w:r>
          </w:p>
        </w:tc>
      </w:tr>
    </w:tbl>
    <w:p w:rsidR="002C78A6" w:rsidRDefault="002C78A6">
      <w:pPr>
        <w:spacing w:line="276" w:lineRule="auto"/>
        <w:jc w:val="both"/>
        <w:rPr>
          <w:sz w:val="24"/>
          <w:szCs w:val="24"/>
        </w:rPr>
      </w:pPr>
    </w:p>
    <w:p w:rsidR="002C78A6" w:rsidRDefault="002C78A6">
      <w:pPr>
        <w:spacing w:line="276" w:lineRule="auto"/>
        <w:jc w:val="both"/>
        <w:rPr>
          <w:b/>
          <w:sz w:val="28"/>
          <w:szCs w:val="28"/>
        </w:rPr>
      </w:pPr>
    </w:p>
    <w:p w:rsidR="002C78A6" w:rsidRDefault="00E46AAE">
      <w:pPr>
        <w:spacing w:line="276" w:lineRule="auto"/>
        <w:jc w:val="both"/>
        <w:rPr>
          <w:b/>
          <w:sz w:val="28"/>
          <w:szCs w:val="28"/>
        </w:rPr>
      </w:pPr>
      <w:r>
        <w:rPr>
          <w:b/>
          <w:sz w:val="28"/>
          <w:szCs w:val="28"/>
        </w:rPr>
        <w:lastRenderedPageBreak/>
        <w:t>Procedure</w:t>
      </w:r>
    </w:p>
    <w:p w:rsidR="002C78A6" w:rsidRDefault="00230C0E">
      <w:pPr>
        <w:spacing w:line="276" w:lineRule="auto"/>
        <w:jc w:val="both"/>
        <w:rPr>
          <w:sz w:val="24"/>
          <w:szCs w:val="24"/>
          <w:highlight w:val="white"/>
        </w:rPr>
      </w:pPr>
      <w:r>
        <w:rPr>
          <w:sz w:val="24"/>
          <w:szCs w:val="24"/>
          <w:highlight w:val="white"/>
        </w:rPr>
        <w:t xml:space="preserve">All children had undergone </w:t>
      </w:r>
      <w:r w:rsidR="00E46AAE">
        <w:rPr>
          <w:sz w:val="24"/>
          <w:szCs w:val="24"/>
          <w:highlight w:val="white"/>
        </w:rPr>
        <w:t xml:space="preserve">MISIC (Malin’s Intelligence scale for Indian Children) test for the assessment of intelligence to exclude children with intellectual disability. Their scores of verbal and performance components were recorded. </w:t>
      </w:r>
    </w:p>
    <w:p w:rsidR="002C78A6" w:rsidRDefault="00E46AAE">
      <w:pPr>
        <w:spacing w:line="276" w:lineRule="auto"/>
        <w:jc w:val="both"/>
        <w:rPr>
          <w:sz w:val="24"/>
          <w:szCs w:val="24"/>
          <w:highlight w:val="white"/>
        </w:rPr>
      </w:pPr>
      <w:r>
        <w:rPr>
          <w:sz w:val="24"/>
          <w:szCs w:val="24"/>
        </w:rPr>
        <w:t xml:space="preserve">To classify the groups, all </w:t>
      </w:r>
      <w:r w:rsidR="003F1A78">
        <w:rPr>
          <w:sz w:val="24"/>
          <w:szCs w:val="24"/>
        </w:rPr>
        <w:t xml:space="preserve">92 </w:t>
      </w:r>
      <w:r>
        <w:rPr>
          <w:sz w:val="24"/>
          <w:szCs w:val="24"/>
        </w:rPr>
        <w:t xml:space="preserve">children undergone Ann Arbor Learning Inventory (AALI). </w:t>
      </w:r>
      <w:r>
        <w:rPr>
          <w:sz w:val="24"/>
          <w:szCs w:val="24"/>
          <w:highlight w:val="white"/>
        </w:rPr>
        <w:t xml:space="preserve">The AALI offers an assessment of central processing skills important to learning: Visual Discrimination (VD), Visual Memory, Auditory Discrimination (AD), and Auditory Memory. This was done by presenting a variety of tasks that require listening, manipulating, showing, matching, visualizing, telling, and writing. </w:t>
      </w:r>
    </w:p>
    <w:p w:rsidR="002C78A6" w:rsidRDefault="00E46AAE">
      <w:pPr>
        <w:spacing w:line="276" w:lineRule="auto"/>
        <w:jc w:val="both"/>
        <w:rPr>
          <w:sz w:val="24"/>
          <w:szCs w:val="24"/>
          <w:highlight w:val="white"/>
        </w:rPr>
      </w:pPr>
      <w:r>
        <w:rPr>
          <w:sz w:val="24"/>
          <w:szCs w:val="24"/>
          <w:highlight w:val="white"/>
        </w:rPr>
        <w:t>Children were divided into three groups; children with auditory discrimination deficits (ADD), children with visual discrimination deficits (VDD) and children with global deficits on the basis of number of errors in auditory discrimination skills and visual discrimination sk</w:t>
      </w:r>
      <w:r w:rsidR="003F1A78">
        <w:rPr>
          <w:sz w:val="24"/>
          <w:szCs w:val="24"/>
          <w:highlight w:val="white"/>
        </w:rPr>
        <w:t>ills respectively. There were 48</w:t>
      </w:r>
      <w:r>
        <w:rPr>
          <w:sz w:val="24"/>
          <w:szCs w:val="24"/>
          <w:highlight w:val="white"/>
        </w:rPr>
        <w:t xml:space="preserve"> children in ADD group, 23 children in VDD group &amp; 21 children in global deficit group. A Pearson's correlation between ADD, VDD, Global deficits and Full scale IQ was analyzed followed by subtest of VQ &amp; PQ on MISIC. </w:t>
      </w:r>
    </w:p>
    <w:p w:rsidR="002C78A6" w:rsidRDefault="002C78A6">
      <w:pPr>
        <w:spacing w:line="276" w:lineRule="auto"/>
        <w:jc w:val="both"/>
        <w:rPr>
          <w:sz w:val="24"/>
          <w:szCs w:val="24"/>
          <w:highlight w:val="white"/>
        </w:rPr>
      </w:pPr>
    </w:p>
    <w:p w:rsidR="002C78A6" w:rsidRDefault="00E46AAE">
      <w:pPr>
        <w:spacing w:line="276" w:lineRule="auto"/>
        <w:ind w:left="3600"/>
        <w:jc w:val="both"/>
        <w:rPr>
          <w:b/>
          <w:sz w:val="32"/>
          <w:szCs w:val="32"/>
          <w:highlight w:val="white"/>
        </w:rPr>
      </w:pPr>
      <w:r>
        <w:rPr>
          <w:b/>
          <w:sz w:val="32"/>
          <w:szCs w:val="32"/>
          <w:highlight w:val="white"/>
        </w:rPr>
        <w:t>Results</w:t>
      </w:r>
    </w:p>
    <w:p w:rsidR="002C78A6" w:rsidRDefault="00E46AAE">
      <w:pPr>
        <w:spacing w:line="276" w:lineRule="auto"/>
        <w:jc w:val="both"/>
        <w:rPr>
          <w:sz w:val="24"/>
          <w:szCs w:val="24"/>
        </w:rPr>
      </w:pPr>
      <w:r>
        <w:rPr>
          <w:sz w:val="24"/>
          <w:szCs w:val="24"/>
        </w:rPr>
        <w:t xml:space="preserve">Demographic, deficits and cognitive data are presented in Table 1. There were children of ages 6 to 10 from standards 1 to 4. After segregating them into groups on the basis of findings, there were more students in 1st grade who had VDD and global deficits as compared to ADD.  Whereas, in the group of children with ADD, there were more children in grade 4 than in grade 1. </w:t>
      </w:r>
    </w:p>
    <w:p w:rsidR="002C78A6" w:rsidRDefault="00E46AAE">
      <w:pPr>
        <w:spacing w:line="276" w:lineRule="auto"/>
        <w:jc w:val="both"/>
        <w:rPr>
          <w:sz w:val="24"/>
          <w:szCs w:val="24"/>
        </w:rPr>
      </w:pPr>
      <w:r>
        <w:rPr>
          <w:sz w:val="24"/>
          <w:szCs w:val="24"/>
          <w:highlight w:val="white"/>
        </w:rPr>
        <w:t>There was significant correlation at 0.01 level between global deficits and VQ,PQ &amp; Full scale IQ (Table 2). Whereas, r</w:t>
      </w:r>
      <w:r>
        <w:rPr>
          <w:sz w:val="24"/>
          <w:szCs w:val="24"/>
        </w:rPr>
        <w:t xml:space="preserve">esults have shown significant correlation at 0.01 of visual discrimination with performance quotient  and 0.05 with full scale IQ </w:t>
      </w:r>
      <w:r>
        <w:rPr>
          <w:sz w:val="24"/>
          <w:szCs w:val="24"/>
          <w:highlight w:val="white"/>
        </w:rPr>
        <w:t>(Table 3).</w:t>
      </w:r>
      <w:r>
        <w:rPr>
          <w:sz w:val="24"/>
          <w:szCs w:val="24"/>
        </w:rPr>
        <w:t xml:space="preserve"> Though, correlation between auditory discrimination deficits and verbal quotient and full scale quotient were significant at 0.01 and 0.05 with PQ </w:t>
      </w:r>
      <w:r>
        <w:rPr>
          <w:sz w:val="24"/>
          <w:szCs w:val="24"/>
          <w:highlight w:val="white"/>
        </w:rPr>
        <w:t>(Table 4).</w:t>
      </w:r>
    </w:p>
    <w:p w:rsidR="002C78A6" w:rsidRDefault="00E46AAE">
      <w:pPr>
        <w:spacing w:line="276" w:lineRule="auto"/>
        <w:ind w:right="-46"/>
        <w:jc w:val="both"/>
        <w:rPr>
          <w:sz w:val="24"/>
          <w:szCs w:val="24"/>
        </w:rPr>
      </w:pPr>
      <w:r>
        <w:rPr>
          <w:sz w:val="24"/>
          <w:szCs w:val="24"/>
        </w:rPr>
        <w:t>The group with  visual discrimination deficit had a profile characterized by a high score on coding and  with a low score of mazes and vocabulary. The auditory deficits group had a profile characterized by a high score on comprehension, blocks and mazes with a low object and vocabulary  score. The global deficits group had a profile characterized by a high score on coding and with a low score in vocabulary and mazes (Graph 1).</w:t>
      </w:r>
    </w:p>
    <w:p w:rsidR="002C78A6" w:rsidRDefault="00E46AAE">
      <w:pPr>
        <w:spacing w:line="276" w:lineRule="auto"/>
        <w:jc w:val="both"/>
        <w:rPr>
          <w:sz w:val="24"/>
          <w:szCs w:val="24"/>
        </w:rPr>
      </w:pPr>
      <w:r>
        <w:rPr>
          <w:sz w:val="24"/>
          <w:szCs w:val="24"/>
        </w:rPr>
        <w:t>Results have shown significant correlation (0.01) of visual discrimination with arithmetic, vocabulary, blocks, object assembly, verbal quotient, performance quotient and full scale IQ  and 0.05 with similarity and comprehension. Even though, correlation between auditory discrimination and subtests of intelligence (like similarity, Vocabulary, verbal quotient and full scale IQ were significant at 0.01 and 0.05 with Information, picture completion, blocks and performance quotient  were significant.</w:t>
      </w:r>
    </w:p>
    <w:p w:rsidR="002C78A6" w:rsidRDefault="002C78A6">
      <w:pPr>
        <w:widowControl/>
        <w:spacing w:line="276" w:lineRule="auto"/>
        <w:jc w:val="both"/>
        <w:rPr>
          <w:i/>
          <w:sz w:val="22"/>
          <w:szCs w:val="22"/>
        </w:rPr>
      </w:pPr>
    </w:p>
    <w:p w:rsidR="002C78A6" w:rsidRDefault="00E46AAE">
      <w:pPr>
        <w:widowControl/>
        <w:spacing w:line="276" w:lineRule="auto"/>
        <w:jc w:val="both"/>
        <w:rPr>
          <w:i/>
          <w:sz w:val="22"/>
          <w:szCs w:val="22"/>
        </w:rPr>
      </w:pPr>
      <w:r>
        <w:rPr>
          <w:i/>
          <w:sz w:val="22"/>
          <w:szCs w:val="22"/>
        </w:rPr>
        <w:t>Table 2. Correlation of VQ, PQ, IQ with Global deficits in visual and auditory discrimination skills.</w:t>
      </w:r>
    </w:p>
    <w:tbl>
      <w:tblPr>
        <w:tblStyle w:val="a4"/>
        <w:tblW w:w="78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737"/>
        <w:gridCol w:w="1999"/>
        <w:gridCol w:w="1030"/>
        <w:gridCol w:w="1030"/>
        <w:gridCol w:w="1030"/>
        <w:gridCol w:w="1030"/>
        <w:gridCol w:w="1030"/>
      </w:tblGrid>
      <w:tr w:rsidR="002C78A6">
        <w:tc>
          <w:tcPr>
            <w:tcW w:w="2736" w:type="dxa"/>
            <w:gridSpan w:val="2"/>
            <w:tcBorders>
              <w:top w:val="nil"/>
              <w:left w:val="nil"/>
              <w:bottom w:val="single" w:sz="8" w:space="0" w:color="152935"/>
              <w:right w:val="nil"/>
            </w:tcBorders>
            <w:shd w:val="clear" w:color="auto" w:fill="FFFFFF"/>
            <w:vAlign w:val="bottom"/>
          </w:tcPr>
          <w:p w:rsidR="002C78A6" w:rsidRDefault="002C78A6">
            <w:pPr>
              <w:widowControl/>
              <w:spacing w:line="276" w:lineRule="auto"/>
              <w:jc w:val="both"/>
              <w:rPr>
                <w:sz w:val="24"/>
                <w:szCs w:val="24"/>
              </w:rPr>
            </w:pPr>
          </w:p>
        </w:tc>
        <w:tc>
          <w:tcPr>
            <w:tcW w:w="1030" w:type="dxa"/>
            <w:tcBorders>
              <w:top w:val="nil"/>
              <w:left w:val="nil"/>
              <w:bottom w:val="single" w:sz="8" w:space="0" w:color="152935"/>
              <w:right w:val="single" w:sz="8" w:space="0" w:color="E0E0E0"/>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VDD</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ADD</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VQ</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PQ</w:t>
            </w:r>
          </w:p>
        </w:tc>
        <w:tc>
          <w:tcPr>
            <w:tcW w:w="1030" w:type="dxa"/>
            <w:tcBorders>
              <w:top w:val="nil"/>
              <w:left w:val="single" w:sz="8" w:space="0" w:color="E0E0E0"/>
              <w:bottom w:val="single" w:sz="8" w:space="0" w:color="152935"/>
              <w:right w:val="nil"/>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IQ</w:t>
            </w:r>
          </w:p>
        </w:tc>
      </w:tr>
      <w:tr w:rsidR="002C78A6">
        <w:tc>
          <w:tcPr>
            <w:tcW w:w="737" w:type="dxa"/>
            <w:vMerge w:val="restart"/>
            <w:tcBorders>
              <w:top w:val="single" w:sz="8" w:space="0" w:color="152935"/>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VDD</w:t>
            </w:r>
          </w:p>
        </w:tc>
        <w:tc>
          <w:tcPr>
            <w:tcW w:w="1999" w:type="dxa"/>
            <w:tcBorders>
              <w:top w:val="single" w:sz="8" w:space="0" w:color="152935"/>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152935"/>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.267</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-.302</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-.552</w:t>
            </w:r>
            <w:r>
              <w:rPr>
                <w:rFonts w:ascii="Arial" w:eastAsia="Arial" w:hAnsi="Arial" w:cs="Arial"/>
                <w:sz w:val="18"/>
                <w:szCs w:val="18"/>
                <w:vertAlign w:val="superscript"/>
              </w:rPr>
              <w:t>**</w:t>
            </w:r>
          </w:p>
        </w:tc>
        <w:tc>
          <w:tcPr>
            <w:tcW w:w="1030" w:type="dxa"/>
            <w:tcBorders>
              <w:top w:val="single" w:sz="8" w:space="0" w:color="152935"/>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-.462</w:t>
            </w:r>
            <w:r>
              <w:rPr>
                <w:rFonts w:ascii="Arial" w:eastAsia="Arial" w:hAnsi="Arial" w:cs="Arial"/>
                <w:sz w:val="18"/>
                <w:szCs w:val="18"/>
                <w:vertAlign w:val="superscript"/>
              </w:rPr>
              <w:t>*</w:t>
            </w:r>
          </w:p>
        </w:tc>
      </w:tr>
      <w:tr w:rsidR="002C78A6">
        <w:tc>
          <w:tcPr>
            <w:tcW w:w="737" w:type="dxa"/>
            <w:vMerge/>
            <w:tcBorders>
              <w:top w:val="single" w:sz="8" w:space="0" w:color="152935"/>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vAlign w:val="center"/>
          </w:tcPr>
          <w:p w:rsidR="002C78A6" w:rsidRDefault="002C78A6">
            <w:pPr>
              <w:widowControl/>
              <w:spacing w:line="276" w:lineRule="auto"/>
              <w:jc w:val="both"/>
              <w:rPr>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.241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.184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.009</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.035</w:t>
            </w:r>
          </w:p>
        </w:tc>
      </w:tr>
      <w:tr w:rsidR="002C78A6">
        <w:tc>
          <w:tcPr>
            <w:tcW w:w="737" w:type="dxa"/>
            <w:vMerge/>
            <w:tcBorders>
              <w:top w:val="single" w:sz="8" w:space="0" w:color="152935"/>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r>
      <w:tr w:rsidR="002C78A6">
        <w:tc>
          <w:tcPr>
            <w:tcW w:w="737" w:type="dxa"/>
            <w:vMerge w:val="restart"/>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ADD</w:t>
            </w: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.267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-.648</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-.557</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-.638</w:t>
            </w:r>
            <w:r>
              <w:rPr>
                <w:rFonts w:ascii="Arial" w:eastAsia="Arial" w:hAnsi="Arial" w:cs="Arial"/>
                <w:sz w:val="18"/>
                <w:szCs w:val="18"/>
                <w:vertAlign w:val="superscript"/>
              </w:rPr>
              <w:t>**</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.241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C78A6" w:rsidRDefault="002C78A6">
            <w:pPr>
              <w:widowControl/>
              <w:spacing w:line="276" w:lineRule="auto"/>
              <w:jc w:val="both"/>
              <w:rPr>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.009</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.002</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r>
      <w:tr w:rsidR="002C78A6">
        <w:tc>
          <w:tcPr>
            <w:tcW w:w="737" w:type="dxa"/>
            <w:vMerge w:val="restart"/>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VQ</w:t>
            </w: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-.302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-.648</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.786</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.937</w:t>
            </w:r>
            <w:r>
              <w:rPr>
                <w:rFonts w:ascii="Arial" w:eastAsia="Arial" w:hAnsi="Arial" w:cs="Arial"/>
                <w:sz w:val="18"/>
                <w:szCs w:val="18"/>
                <w:vertAlign w:val="superscript"/>
              </w:rPr>
              <w:t>**</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.184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C78A6" w:rsidRDefault="002C78A6">
            <w:pPr>
              <w:widowControl/>
              <w:spacing w:line="276" w:lineRule="auto"/>
              <w:jc w:val="both"/>
              <w:rPr>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r>
      <w:tr w:rsidR="002C78A6">
        <w:tc>
          <w:tcPr>
            <w:tcW w:w="737" w:type="dxa"/>
            <w:vMerge w:val="restart"/>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PQ</w:t>
            </w: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-.552</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-.557</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.786</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.952</w:t>
            </w:r>
            <w:r>
              <w:rPr>
                <w:rFonts w:ascii="Arial" w:eastAsia="Arial" w:hAnsi="Arial" w:cs="Arial"/>
                <w:sz w:val="18"/>
                <w:szCs w:val="18"/>
                <w:vertAlign w:val="superscript"/>
              </w:rPr>
              <w:t>**</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C78A6" w:rsidRDefault="002C78A6">
            <w:pPr>
              <w:widowControl/>
              <w:spacing w:line="276" w:lineRule="auto"/>
              <w:jc w:val="both"/>
              <w:rPr>
                <w:sz w:val="24"/>
                <w:szCs w:val="24"/>
              </w:rPr>
            </w:pP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r>
      <w:tr w:rsidR="002C78A6">
        <w:tc>
          <w:tcPr>
            <w:tcW w:w="737" w:type="dxa"/>
            <w:vMerge w:val="restart"/>
            <w:tcBorders>
              <w:top w:val="single" w:sz="8" w:space="0" w:color="AEAEAE"/>
              <w:left w:val="nil"/>
              <w:bottom w:val="single" w:sz="8" w:space="0" w:color="152935"/>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IQ</w:t>
            </w: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-.462</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-.638</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.937</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.952</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r>
      <w:tr w:rsidR="002C78A6">
        <w:tc>
          <w:tcPr>
            <w:tcW w:w="737" w:type="dxa"/>
            <w:vMerge/>
            <w:tcBorders>
              <w:top w:val="single" w:sz="8" w:space="0" w:color="AEAEAE"/>
              <w:left w:val="nil"/>
              <w:bottom w:val="single" w:sz="8" w:space="0" w:color="152935"/>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nil"/>
            </w:tcBorders>
            <w:shd w:val="clear" w:color="auto" w:fill="FFFFFF"/>
            <w:vAlign w:val="center"/>
          </w:tcPr>
          <w:p w:rsidR="002C78A6" w:rsidRDefault="002C78A6">
            <w:pPr>
              <w:widowControl/>
              <w:spacing w:line="276" w:lineRule="auto"/>
              <w:jc w:val="both"/>
              <w:rPr>
                <w:sz w:val="24"/>
                <w:szCs w:val="24"/>
              </w:rPr>
            </w:pPr>
          </w:p>
        </w:tc>
      </w:tr>
      <w:tr w:rsidR="002C78A6">
        <w:tc>
          <w:tcPr>
            <w:tcW w:w="737" w:type="dxa"/>
            <w:vMerge/>
            <w:tcBorders>
              <w:top w:val="single" w:sz="8" w:space="0" w:color="AEAEAE"/>
              <w:left w:val="nil"/>
              <w:bottom w:val="single" w:sz="8" w:space="0" w:color="152935"/>
              <w:right w:val="nil"/>
            </w:tcBorders>
            <w:shd w:val="clear" w:color="auto" w:fill="E0E0E0"/>
          </w:tcPr>
          <w:p w:rsidR="002C78A6" w:rsidRDefault="002C78A6">
            <w:pPr>
              <w:pBdr>
                <w:top w:val="nil"/>
                <w:left w:val="nil"/>
                <w:bottom w:val="nil"/>
                <w:right w:val="nil"/>
                <w:between w:val="nil"/>
              </w:pBdr>
              <w:spacing w:line="276" w:lineRule="auto"/>
              <w:rPr>
                <w:sz w:val="24"/>
                <w:szCs w:val="24"/>
              </w:rPr>
            </w:pPr>
          </w:p>
        </w:tc>
        <w:tc>
          <w:tcPr>
            <w:tcW w:w="1999" w:type="dxa"/>
            <w:tcBorders>
              <w:top w:val="single" w:sz="8" w:space="0" w:color="AEAEAE"/>
              <w:left w:val="nil"/>
              <w:bottom w:val="single" w:sz="8" w:space="0" w:color="152935"/>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single" w:sz="8" w:space="0" w:color="152935"/>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c>
          <w:tcPr>
            <w:tcW w:w="1030" w:type="dxa"/>
            <w:tcBorders>
              <w:top w:val="single" w:sz="8" w:space="0" w:color="AEAEAE"/>
              <w:left w:val="single" w:sz="8" w:space="0" w:color="E0E0E0"/>
              <w:bottom w:val="single" w:sz="8" w:space="0" w:color="152935"/>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21</w:t>
            </w:r>
          </w:p>
        </w:tc>
      </w:tr>
      <w:tr w:rsidR="002C78A6">
        <w:tc>
          <w:tcPr>
            <w:tcW w:w="7886" w:type="dxa"/>
            <w:gridSpan w:val="7"/>
            <w:tcBorders>
              <w:top w:val="nil"/>
              <w:left w:val="nil"/>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 Correlation is significant at the 0.01 level (2-tailed).</w:t>
            </w:r>
          </w:p>
        </w:tc>
      </w:tr>
      <w:tr w:rsidR="002C78A6">
        <w:tc>
          <w:tcPr>
            <w:tcW w:w="7886" w:type="dxa"/>
            <w:gridSpan w:val="7"/>
            <w:tcBorders>
              <w:top w:val="nil"/>
              <w:left w:val="nil"/>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 Correlation is significant at the 0.05 level (2-tailed).</w:t>
            </w:r>
          </w:p>
        </w:tc>
      </w:tr>
    </w:tbl>
    <w:p w:rsidR="002C78A6" w:rsidRDefault="002C78A6">
      <w:pPr>
        <w:widowControl/>
        <w:spacing w:line="276" w:lineRule="auto"/>
        <w:jc w:val="both"/>
        <w:rPr>
          <w:i/>
          <w:sz w:val="22"/>
          <w:szCs w:val="22"/>
        </w:rPr>
      </w:pPr>
    </w:p>
    <w:p w:rsidR="002C78A6" w:rsidRDefault="00E46AAE">
      <w:pPr>
        <w:widowControl/>
        <w:spacing w:line="276" w:lineRule="auto"/>
        <w:jc w:val="both"/>
        <w:rPr>
          <w:i/>
          <w:sz w:val="22"/>
          <w:szCs w:val="22"/>
        </w:rPr>
      </w:pPr>
      <w:r>
        <w:rPr>
          <w:i/>
          <w:sz w:val="22"/>
          <w:szCs w:val="22"/>
        </w:rPr>
        <w:t>Table 3. Correlation of VQ, PQ, IQ with Visual Discrimination Deficits (VDD)</w:t>
      </w:r>
    </w:p>
    <w:tbl>
      <w:tblPr>
        <w:tblStyle w:val="a5"/>
        <w:tblW w:w="6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737"/>
        <w:gridCol w:w="1999"/>
        <w:gridCol w:w="1030"/>
        <w:gridCol w:w="1030"/>
        <w:gridCol w:w="1030"/>
        <w:gridCol w:w="1030"/>
      </w:tblGrid>
      <w:tr w:rsidR="002C78A6">
        <w:tc>
          <w:tcPr>
            <w:tcW w:w="6856" w:type="dxa"/>
            <w:gridSpan w:val="6"/>
            <w:tcBorders>
              <w:top w:val="nil"/>
              <w:left w:val="nil"/>
              <w:bottom w:val="nil"/>
              <w:right w:val="nil"/>
            </w:tcBorders>
            <w:shd w:val="clear" w:color="auto" w:fill="FFFFFF"/>
            <w:vAlign w:val="center"/>
          </w:tcPr>
          <w:p w:rsidR="002C78A6" w:rsidRDefault="002C78A6">
            <w:pPr>
              <w:widowControl/>
              <w:spacing w:line="276" w:lineRule="auto"/>
              <w:ind w:left="60" w:right="60"/>
              <w:jc w:val="both"/>
              <w:rPr>
                <w:rFonts w:ascii="Arial" w:eastAsia="Arial" w:hAnsi="Arial" w:cs="Arial"/>
                <w:sz w:val="22"/>
                <w:szCs w:val="22"/>
              </w:rPr>
            </w:pPr>
          </w:p>
        </w:tc>
      </w:tr>
      <w:tr w:rsidR="002C78A6">
        <w:tc>
          <w:tcPr>
            <w:tcW w:w="2736" w:type="dxa"/>
            <w:gridSpan w:val="2"/>
            <w:tcBorders>
              <w:top w:val="nil"/>
              <w:left w:val="nil"/>
              <w:bottom w:val="single" w:sz="8" w:space="0" w:color="152935"/>
              <w:right w:val="nil"/>
            </w:tcBorders>
            <w:shd w:val="clear" w:color="auto" w:fill="FFFFFF"/>
            <w:vAlign w:val="bottom"/>
          </w:tcPr>
          <w:p w:rsidR="002C78A6" w:rsidRDefault="002C78A6">
            <w:pPr>
              <w:widowControl/>
              <w:spacing w:line="276" w:lineRule="auto"/>
              <w:jc w:val="both"/>
              <w:rPr>
                <w:sz w:val="24"/>
                <w:szCs w:val="24"/>
              </w:rPr>
            </w:pPr>
          </w:p>
        </w:tc>
        <w:tc>
          <w:tcPr>
            <w:tcW w:w="1030" w:type="dxa"/>
            <w:tcBorders>
              <w:top w:val="nil"/>
              <w:left w:val="nil"/>
              <w:bottom w:val="single" w:sz="8" w:space="0" w:color="152935"/>
              <w:right w:val="single" w:sz="8" w:space="0" w:color="E0E0E0"/>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VDD</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VQ</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PQ</w:t>
            </w:r>
          </w:p>
        </w:tc>
        <w:tc>
          <w:tcPr>
            <w:tcW w:w="1030" w:type="dxa"/>
            <w:tcBorders>
              <w:top w:val="nil"/>
              <w:left w:val="single" w:sz="8" w:space="0" w:color="E0E0E0"/>
              <w:bottom w:val="single" w:sz="8" w:space="0" w:color="152935"/>
              <w:right w:val="nil"/>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IQ</w:t>
            </w:r>
          </w:p>
        </w:tc>
      </w:tr>
      <w:tr w:rsidR="002C78A6">
        <w:tc>
          <w:tcPr>
            <w:tcW w:w="737" w:type="dxa"/>
            <w:vMerge w:val="restart"/>
            <w:tcBorders>
              <w:top w:val="single" w:sz="8" w:space="0" w:color="152935"/>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VDD</w:t>
            </w:r>
          </w:p>
        </w:tc>
        <w:tc>
          <w:tcPr>
            <w:tcW w:w="1999" w:type="dxa"/>
            <w:tcBorders>
              <w:top w:val="single" w:sz="8" w:space="0" w:color="152935"/>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152935"/>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-.352</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-.572</w:t>
            </w:r>
            <w:r>
              <w:rPr>
                <w:rFonts w:ascii="Arial" w:eastAsia="Arial" w:hAnsi="Arial" w:cs="Arial"/>
                <w:sz w:val="18"/>
                <w:szCs w:val="18"/>
                <w:vertAlign w:val="superscript"/>
              </w:rPr>
              <w:t>**</w:t>
            </w:r>
          </w:p>
        </w:tc>
        <w:tc>
          <w:tcPr>
            <w:tcW w:w="1030" w:type="dxa"/>
            <w:tcBorders>
              <w:top w:val="single" w:sz="8" w:space="0" w:color="152935"/>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-.493</w:t>
            </w:r>
            <w:r>
              <w:rPr>
                <w:rFonts w:ascii="Arial" w:eastAsia="Arial" w:hAnsi="Arial" w:cs="Arial"/>
                <w:sz w:val="18"/>
                <w:szCs w:val="18"/>
                <w:vertAlign w:val="superscript"/>
              </w:rPr>
              <w:t>*</w:t>
            </w:r>
          </w:p>
        </w:tc>
      </w:tr>
      <w:tr w:rsidR="002C78A6">
        <w:tc>
          <w:tcPr>
            <w:tcW w:w="737" w:type="dxa"/>
            <w:vMerge/>
            <w:tcBorders>
              <w:top w:val="single" w:sz="8" w:space="0" w:color="152935"/>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vAlign w:val="center"/>
          </w:tcPr>
          <w:p w:rsidR="002C78A6" w:rsidRDefault="002C78A6">
            <w:pPr>
              <w:widowControl/>
              <w:spacing w:line="276" w:lineRule="auto"/>
              <w:jc w:val="both"/>
              <w:rPr>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.004</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.017</w:t>
            </w:r>
          </w:p>
        </w:tc>
      </w:tr>
      <w:tr w:rsidR="002C78A6">
        <w:tc>
          <w:tcPr>
            <w:tcW w:w="737" w:type="dxa"/>
            <w:vMerge/>
            <w:tcBorders>
              <w:top w:val="single" w:sz="8" w:space="0" w:color="152935"/>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r>
      <w:tr w:rsidR="002C78A6">
        <w:tc>
          <w:tcPr>
            <w:tcW w:w="737" w:type="dxa"/>
            <w:vMerge w:val="restart"/>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VQ</w:t>
            </w: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-.352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.789</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.943</w:t>
            </w:r>
            <w:r>
              <w:rPr>
                <w:rFonts w:ascii="Arial" w:eastAsia="Arial" w:hAnsi="Arial" w:cs="Arial"/>
                <w:sz w:val="18"/>
                <w:szCs w:val="18"/>
                <w:vertAlign w:val="superscript"/>
              </w:rPr>
              <w:t>**</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C78A6" w:rsidRDefault="002C78A6">
            <w:pPr>
              <w:widowControl/>
              <w:spacing w:line="276" w:lineRule="auto"/>
              <w:jc w:val="both"/>
              <w:rPr>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r>
      <w:tr w:rsidR="002C78A6">
        <w:tc>
          <w:tcPr>
            <w:tcW w:w="737" w:type="dxa"/>
            <w:vMerge w:val="restart"/>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PQ</w:t>
            </w: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-.572</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.789</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.948</w:t>
            </w:r>
            <w:r>
              <w:rPr>
                <w:rFonts w:ascii="Arial" w:eastAsia="Arial" w:hAnsi="Arial" w:cs="Arial"/>
                <w:sz w:val="18"/>
                <w:szCs w:val="18"/>
                <w:vertAlign w:val="superscript"/>
              </w:rPr>
              <w:t>**</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C78A6" w:rsidRDefault="002C78A6">
            <w:pPr>
              <w:widowControl/>
              <w:spacing w:line="276" w:lineRule="auto"/>
              <w:jc w:val="both"/>
              <w:rPr>
                <w:sz w:val="24"/>
                <w:szCs w:val="24"/>
              </w:rPr>
            </w:pP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r>
      <w:tr w:rsidR="002C78A6">
        <w:tc>
          <w:tcPr>
            <w:tcW w:w="737" w:type="dxa"/>
            <w:vMerge w:val="restart"/>
            <w:tcBorders>
              <w:top w:val="single" w:sz="8" w:space="0" w:color="AEAEAE"/>
              <w:left w:val="nil"/>
              <w:bottom w:val="single" w:sz="8" w:space="0" w:color="152935"/>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IQ</w:t>
            </w: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-.493</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.943</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.948</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r>
      <w:tr w:rsidR="002C78A6">
        <w:tc>
          <w:tcPr>
            <w:tcW w:w="737" w:type="dxa"/>
            <w:vMerge/>
            <w:tcBorders>
              <w:top w:val="single" w:sz="8" w:space="0" w:color="AEAEAE"/>
              <w:left w:val="nil"/>
              <w:bottom w:val="single" w:sz="8" w:space="0" w:color="152935"/>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.017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nil"/>
            </w:tcBorders>
            <w:shd w:val="clear" w:color="auto" w:fill="FFFFFF"/>
            <w:vAlign w:val="center"/>
          </w:tcPr>
          <w:p w:rsidR="002C78A6" w:rsidRDefault="002C78A6">
            <w:pPr>
              <w:widowControl/>
              <w:spacing w:line="276" w:lineRule="auto"/>
              <w:jc w:val="both"/>
              <w:rPr>
                <w:sz w:val="24"/>
                <w:szCs w:val="24"/>
              </w:rPr>
            </w:pPr>
          </w:p>
        </w:tc>
      </w:tr>
      <w:tr w:rsidR="002C78A6">
        <w:tc>
          <w:tcPr>
            <w:tcW w:w="737" w:type="dxa"/>
            <w:vMerge/>
            <w:tcBorders>
              <w:top w:val="single" w:sz="8" w:space="0" w:color="AEAEAE"/>
              <w:left w:val="nil"/>
              <w:bottom w:val="single" w:sz="8" w:space="0" w:color="152935"/>
              <w:right w:val="nil"/>
            </w:tcBorders>
            <w:shd w:val="clear" w:color="auto" w:fill="E0E0E0"/>
          </w:tcPr>
          <w:p w:rsidR="002C78A6" w:rsidRDefault="002C78A6">
            <w:pPr>
              <w:pBdr>
                <w:top w:val="nil"/>
                <w:left w:val="nil"/>
                <w:bottom w:val="nil"/>
                <w:right w:val="nil"/>
                <w:between w:val="nil"/>
              </w:pBdr>
              <w:spacing w:line="276" w:lineRule="auto"/>
              <w:rPr>
                <w:sz w:val="24"/>
                <w:szCs w:val="24"/>
              </w:rPr>
            </w:pPr>
          </w:p>
        </w:tc>
        <w:tc>
          <w:tcPr>
            <w:tcW w:w="1999" w:type="dxa"/>
            <w:tcBorders>
              <w:top w:val="single" w:sz="8" w:space="0" w:color="AEAEAE"/>
              <w:left w:val="nil"/>
              <w:bottom w:val="single" w:sz="8" w:space="0" w:color="152935"/>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single" w:sz="8" w:space="0" w:color="152935"/>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c>
          <w:tcPr>
            <w:tcW w:w="1030" w:type="dxa"/>
            <w:tcBorders>
              <w:top w:val="single" w:sz="8" w:space="0" w:color="AEAEAE"/>
              <w:left w:val="single" w:sz="8" w:space="0" w:color="E0E0E0"/>
              <w:bottom w:val="single" w:sz="8" w:space="0" w:color="152935"/>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23</w:t>
            </w:r>
          </w:p>
        </w:tc>
      </w:tr>
      <w:tr w:rsidR="002C78A6">
        <w:tc>
          <w:tcPr>
            <w:tcW w:w="6856" w:type="dxa"/>
            <w:gridSpan w:val="6"/>
            <w:tcBorders>
              <w:top w:val="nil"/>
              <w:left w:val="nil"/>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 Correlation is significant at the 0.01 level (2-tailed).</w:t>
            </w:r>
          </w:p>
        </w:tc>
      </w:tr>
      <w:tr w:rsidR="002C78A6">
        <w:tc>
          <w:tcPr>
            <w:tcW w:w="6856" w:type="dxa"/>
            <w:gridSpan w:val="6"/>
            <w:tcBorders>
              <w:top w:val="nil"/>
              <w:left w:val="nil"/>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 Correlation is significant at the 0.05 level (2-tailed).</w:t>
            </w:r>
          </w:p>
        </w:tc>
      </w:tr>
    </w:tbl>
    <w:p w:rsidR="002C78A6" w:rsidRDefault="002C78A6">
      <w:pPr>
        <w:spacing w:line="276" w:lineRule="auto"/>
        <w:jc w:val="both"/>
        <w:rPr>
          <w:sz w:val="24"/>
          <w:szCs w:val="24"/>
        </w:rPr>
      </w:pPr>
    </w:p>
    <w:p w:rsidR="002C78A6" w:rsidRDefault="00E46AAE">
      <w:pPr>
        <w:widowControl/>
        <w:spacing w:line="276" w:lineRule="auto"/>
        <w:jc w:val="both"/>
        <w:rPr>
          <w:i/>
          <w:sz w:val="24"/>
          <w:szCs w:val="24"/>
        </w:rPr>
      </w:pPr>
      <w:r>
        <w:rPr>
          <w:i/>
          <w:sz w:val="24"/>
          <w:szCs w:val="24"/>
        </w:rPr>
        <w:t>Table 4. Correlation of VQ, PQ, IQ with Auditory Discrimination Deficits (ADD)</w:t>
      </w:r>
    </w:p>
    <w:tbl>
      <w:tblPr>
        <w:tblStyle w:val="a6"/>
        <w:tblW w:w="6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737"/>
        <w:gridCol w:w="1999"/>
        <w:gridCol w:w="1030"/>
        <w:gridCol w:w="1030"/>
        <w:gridCol w:w="1030"/>
        <w:gridCol w:w="1030"/>
      </w:tblGrid>
      <w:tr w:rsidR="002C78A6">
        <w:tc>
          <w:tcPr>
            <w:tcW w:w="2736" w:type="dxa"/>
            <w:gridSpan w:val="2"/>
            <w:tcBorders>
              <w:top w:val="nil"/>
              <w:left w:val="nil"/>
              <w:bottom w:val="single" w:sz="8" w:space="0" w:color="152935"/>
              <w:right w:val="nil"/>
            </w:tcBorders>
            <w:shd w:val="clear" w:color="auto" w:fill="FFFFFF"/>
            <w:vAlign w:val="bottom"/>
          </w:tcPr>
          <w:p w:rsidR="002C78A6" w:rsidRDefault="002C78A6">
            <w:pPr>
              <w:widowControl/>
              <w:spacing w:line="276" w:lineRule="auto"/>
              <w:jc w:val="both"/>
              <w:rPr>
                <w:sz w:val="24"/>
                <w:szCs w:val="24"/>
              </w:rPr>
            </w:pPr>
          </w:p>
          <w:p w:rsidR="002C78A6" w:rsidRDefault="002C78A6">
            <w:pPr>
              <w:widowControl/>
              <w:spacing w:line="276" w:lineRule="auto"/>
              <w:jc w:val="both"/>
              <w:rPr>
                <w:sz w:val="24"/>
                <w:szCs w:val="24"/>
              </w:rPr>
            </w:pPr>
          </w:p>
        </w:tc>
        <w:tc>
          <w:tcPr>
            <w:tcW w:w="1030" w:type="dxa"/>
            <w:tcBorders>
              <w:top w:val="nil"/>
              <w:left w:val="nil"/>
              <w:bottom w:val="single" w:sz="8" w:space="0" w:color="152935"/>
              <w:right w:val="single" w:sz="8" w:space="0" w:color="E0E0E0"/>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ADD</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VQ</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PQ</w:t>
            </w:r>
          </w:p>
        </w:tc>
        <w:tc>
          <w:tcPr>
            <w:tcW w:w="1030" w:type="dxa"/>
            <w:tcBorders>
              <w:top w:val="nil"/>
              <w:left w:val="single" w:sz="8" w:space="0" w:color="E0E0E0"/>
              <w:bottom w:val="single" w:sz="8" w:space="0" w:color="152935"/>
              <w:right w:val="nil"/>
            </w:tcBorders>
            <w:shd w:val="clear" w:color="auto" w:fill="FFFFFF"/>
            <w:vAlign w:val="bottom"/>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IQ</w:t>
            </w:r>
          </w:p>
        </w:tc>
      </w:tr>
      <w:tr w:rsidR="002C78A6">
        <w:tc>
          <w:tcPr>
            <w:tcW w:w="737" w:type="dxa"/>
            <w:vMerge w:val="restart"/>
            <w:tcBorders>
              <w:top w:val="single" w:sz="8" w:space="0" w:color="152935"/>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ADD</w:t>
            </w:r>
          </w:p>
        </w:tc>
        <w:tc>
          <w:tcPr>
            <w:tcW w:w="1999" w:type="dxa"/>
            <w:tcBorders>
              <w:top w:val="single" w:sz="8" w:space="0" w:color="152935"/>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152935"/>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-.392</w:t>
            </w:r>
            <w:r>
              <w:rPr>
                <w:rFonts w:ascii="Arial" w:eastAsia="Arial" w:hAnsi="Arial" w:cs="Arial"/>
                <w:sz w:val="18"/>
                <w:szCs w:val="18"/>
                <w:vertAlign w:val="superscript"/>
              </w:rPr>
              <w:t>**</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-.358</w:t>
            </w:r>
            <w:r>
              <w:rPr>
                <w:rFonts w:ascii="Arial" w:eastAsia="Arial" w:hAnsi="Arial" w:cs="Arial"/>
                <w:sz w:val="18"/>
                <w:szCs w:val="18"/>
                <w:vertAlign w:val="superscript"/>
              </w:rPr>
              <w:t>*</w:t>
            </w:r>
          </w:p>
        </w:tc>
        <w:tc>
          <w:tcPr>
            <w:tcW w:w="1030" w:type="dxa"/>
            <w:tcBorders>
              <w:top w:val="single" w:sz="8" w:space="0" w:color="152935"/>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-.424</w:t>
            </w:r>
            <w:r>
              <w:rPr>
                <w:rFonts w:ascii="Arial" w:eastAsia="Arial" w:hAnsi="Arial" w:cs="Arial"/>
                <w:sz w:val="18"/>
                <w:szCs w:val="18"/>
                <w:vertAlign w:val="superscript"/>
              </w:rPr>
              <w:t>**</w:t>
            </w:r>
          </w:p>
        </w:tc>
      </w:tr>
      <w:tr w:rsidR="002C78A6">
        <w:tc>
          <w:tcPr>
            <w:tcW w:w="737" w:type="dxa"/>
            <w:vMerge/>
            <w:tcBorders>
              <w:top w:val="single" w:sz="8" w:space="0" w:color="152935"/>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vAlign w:val="center"/>
          </w:tcPr>
          <w:p w:rsidR="002C78A6" w:rsidRDefault="002C78A6">
            <w:pPr>
              <w:widowControl/>
              <w:spacing w:line="276" w:lineRule="auto"/>
              <w:jc w:val="both"/>
              <w:rPr>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.012</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.002</w:t>
            </w:r>
          </w:p>
        </w:tc>
      </w:tr>
      <w:tr w:rsidR="002C78A6">
        <w:tc>
          <w:tcPr>
            <w:tcW w:w="737" w:type="dxa"/>
            <w:vMerge/>
            <w:tcBorders>
              <w:top w:val="single" w:sz="8" w:space="0" w:color="152935"/>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r>
      <w:tr w:rsidR="002C78A6">
        <w:tc>
          <w:tcPr>
            <w:tcW w:w="737" w:type="dxa"/>
            <w:vMerge w:val="restart"/>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VQ</w:t>
            </w: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-.392</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.553</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.873</w:t>
            </w:r>
            <w:r>
              <w:rPr>
                <w:rFonts w:ascii="Arial" w:eastAsia="Arial" w:hAnsi="Arial" w:cs="Arial"/>
                <w:sz w:val="18"/>
                <w:szCs w:val="18"/>
                <w:vertAlign w:val="superscript"/>
              </w:rPr>
              <w:t>**</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C78A6" w:rsidRDefault="002C78A6">
            <w:pPr>
              <w:widowControl/>
              <w:spacing w:line="276" w:lineRule="auto"/>
              <w:jc w:val="both"/>
              <w:rPr>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r>
      <w:tr w:rsidR="002C78A6">
        <w:tc>
          <w:tcPr>
            <w:tcW w:w="737" w:type="dxa"/>
            <w:vMerge w:val="restart"/>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PQ</w:t>
            </w: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-.358</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.553</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.888</w:t>
            </w:r>
            <w:r>
              <w:rPr>
                <w:rFonts w:ascii="Arial" w:eastAsia="Arial" w:hAnsi="Arial" w:cs="Arial"/>
                <w:sz w:val="18"/>
                <w:szCs w:val="18"/>
                <w:vertAlign w:val="superscript"/>
              </w:rPr>
              <w:t>**</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.012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2C78A6" w:rsidRDefault="002C78A6">
            <w:pPr>
              <w:widowControl/>
              <w:spacing w:line="276" w:lineRule="auto"/>
              <w:jc w:val="both"/>
              <w:rPr>
                <w:sz w:val="24"/>
                <w:szCs w:val="24"/>
              </w:rPr>
            </w:pP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r>
      <w:tr w:rsidR="002C78A6">
        <w:tc>
          <w:tcPr>
            <w:tcW w:w="737" w:type="dxa"/>
            <w:vMerge/>
            <w:tcBorders>
              <w:top w:val="single" w:sz="8" w:space="0" w:color="AEAEAE"/>
              <w:left w:val="nil"/>
              <w:bottom w:val="nil"/>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nil"/>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nil"/>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r>
      <w:tr w:rsidR="002C78A6">
        <w:tc>
          <w:tcPr>
            <w:tcW w:w="737" w:type="dxa"/>
            <w:vMerge w:val="restart"/>
            <w:tcBorders>
              <w:top w:val="single" w:sz="8" w:space="0" w:color="AEAEAE"/>
              <w:left w:val="nil"/>
              <w:bottom w:val="single" w:sz="8" w:space="0" w:color="152935"/>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IQ</w:t>
            </w: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Pearson Correlation</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-.424</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.873</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.888</w:t>
            </w:r>
            <w:r>
              <w:rPr>
                <w:rFonts w:ascii="Arial" w:eastAsia="Arial" w:hAnsi="Arial" w:cs="Arial"/>
                <w:sz w:val="18"/>
                <w:szCs w:val="18"/>
                <w:vertAlign w:val="superscript"/>
              </w:rPr>
              <w:t>**</w:t>
            </w:r>
          </w:p>
        </w:tc>
        <w:tc>
          <w:tcPr>
            <w:tcW w:w="1030" w:type="dxa"/>
            <w:tcBorders>
              <w:top w:val="single" w:sz="8" w:space="0" w:color="AEAEAE"/>
              <w:left w:val="single" w:sz="8" w:space="0" w:color="E0E0E0"/>
              <w:bottom w:val="single" w:sz="8" w:space="0" w:color="AEAEAE"/>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1</w:t>
            </w:r>
          </w:p>
        </w:tc>
      </w:tr>
      <w:tr w:rsidR="002C78A6">
        <w:tc>
          <w:tcPr>
            <w:tcW w:w="737" w:type="dxa"/>
            <w:vMerge/>
            <w:tcBorders>
              <w:top w:val="single" w:sz="8" w:space="0" w:color="AEAEAE"/>
              <w:left w:val="nil"/>
              <w:bottom w:val="single" w:sz="8" w:space="0" w:color="152935"/>
              <w:right w:val="nil"/>
            </w:tcBorders>
            <w:shd w:val="clear" w:color="auto" w:fill="E0E0E0"/>
          </w:tcPr>
          <w:p w:rsidR="002C78A6" w:rsidRDefault="002C78A6">
            <w:pPr>
              <w:pBdr>
                <w:top w:val="nil"/>
                <w:left w:val="nil"/>
                <w:bottom w:val="nil"/>
                <w:right w:val="nil"/>
                <w:between w:val="nil"/>
              </w:pBdr>
              <w:spacing w:line="276" w:lineRule="auto"/>
              <w:rPr>
                <w:rFonts w:ascii="Arial" w:eastAsia="Arial" w:hAnsi="Arial" w:cs="Arial"/>
                <w:sz w:val="18"/>
                <w:szCs w:val="18"/>
              </w:rPr>
            </w:pPr>
          </w:p>
        </w:tc>
        <w:tc>
          <w:tcPr>
            <w:tcW w:w="1999" w:type="dxa"/>
            <w:tcBorders>
              <w:top w:val="single" w:sz="8" w:space="0" w:color="AEAEAE"/>
              <w:left w:val="nil"/>
              <w:bottom w:val="single" w:sz="8" w:space="0" w:color="AEAEAE"/>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Sig. (2-tailed)</w:t>
            </w:r>
          </w:p>
        </w:tc>
        <w:tc>
          <w:tcPr>
            <w:tcW w:w="1030" w:type="dxa"/>
            <w:tcBorders>
              <w:top w:val="single" w:sz="8" w:space="0" w:color="AEAEAE"/>
              <w:left w:val="nil"/>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.000</w:t>
            </w:r>
          </w:p>
        </w:tc>
        <w:tc>
          <w:tcPr>
            <w:tcW w:w="1030" w:type="dxa"/>
            <w:tcBorders>
              <w:top w:val="single" w:sz="8" w:space="0" w:color="AEAEAE"/>
              <w:left w:val="single" w:sz="8" w:space="0" w:color="E0E0E0"/>
              <w:bottom w:val="single" w:sz="8" w:space="0" w:color="AEAEAE"/>
              <w:right w:val="nil"/>
            </w:tcBorders>
            <w:shd w:val="clear" w:color="auto" w:fill="FFFFFF"/>
            <w:vAlign w:val="center"/>
          </w:tcPr>
          <w:p w:rsidR="002C78A6" w:rsidRDefault="002C78A6">
            <w:pPr>
              <w:widowControl/>
              <w:spacing w:line="276" w:lineRule="auto"/>
              <w:jc w:val="both"/>
              <w:rPr>
                <w:sz w:val="24"/>
                <w:szCs w:val="24"/>
              </w:rPr>
            </w:pPr>
          </w:p>
        </w:tc>
      </w:tr>
      <w:tr w:rsidR="002C78A6">
        <w:tc>
          <w:tcPr>
            <w:tcW w:w="737" w:type="dxa"/>
            <w:vMerge/>
            <w:tcBorders>
              <w:top w:val="single" w:sz="8" w:space="0" w:color="AEAEAE"/>
              <w:left w:val="nil"/>
              <w:bottom w:val="single" w:sz="8" w:space="0" w:color="152935"/>
              <w:right w:val="nil"/>
            </w:tcBorders>
            <w:shd w:val="clear" w:color="auto" w:fill="E0E0E0"/>
          </w:tcPr>
          <w:p w:rsidR="002C78A6" w:rsidRDefault="002C78A6">
            <w:pPr>
              <w:pBdr>
                <w:top w:val="nil"/>
                <w:left w:val="nil"/>
                <w:bottom w:val="nil"/>
                <w:right w:val="nil"/>
                <w:between w:val="nil"/>
              </w:pBdr>
              <w:spacing w:line="276" w:lineRule="auto"/>
              <w:rPr>
                <w:sz w:val="24"/>
                <w:szCs w:val="24"/>
              </w:rPr>
            </w:pPr>
          </w:p>
        </w:tc>
        <w:tc>
          <w:tcPr>
            <w:tcW w:w="1999" w:type="dxa"/>
            <w:tcBorders>
              <w:top w:val="single" w:sz="8" w:space="0" w:color="AEAEAE"/>
              <w:left w:val="nil"/>
              <w:bottom w:val="single" w:sz="8" w:space="0" w:color="152935"/>
              <w:right w:val="nil"/>
            </w:tcBorders>
            <w:shd w:val="clear" w:color="auto" w:fill="E0E0E0"/>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N</w:t>
            </w:r>
          </w:p>
        </w:tc>
        <w:tc>
          <w:tcPr>
            <w:tcW w:w="1030" w:type="dxa"/>
            <w:tcBorders>
              <w:top w:val="single" w:sz="8" w:space="0" w:color="AEAEAE"/>
              <w:left w:val="nil"/>
              <w:bottom w:val="single" w:sz="8" w:space="0" w:color="152935"/>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c>
          <w:tcPr>
            <w:tcW w:w="1030" w:type="dxa"/>
            <w:tcBorders>
              <w:top w:val="single" w:sz="8" w:space="0" w:color="AEAEAE"/>
              <w:left w:val="single" w:sz="8" w:space="0" w:color="E0E0E0"/>
              <w:bottom w:val="single" w:sz="8" w:space="0" w:color="152935"/>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49</w:t>
            </w:r>
          </w:p>
        </w:tc>
      </w:tr>
      <w:tr w:rsidR="002C78A6">
        <w:tc>
          <w:tcPr>
            <w:tcW w:w="6856" w:type="dxa"/>
            <w:gridSpan w:val="6"/>
            <w:tcBorders>
              <w:top w:val="nil"/>
              <w:left w:val="nil"/>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 Correlation is significant at the 0.01 level (2-tailed).</w:t>
            </w:r>
          </w:p>
        </w:tc>
      </w:tr>
      <w:tr w:rsidR="002C78A6">
        <w:tc>
          <w:tcPr>
            <w:tcW w:w="6856" w:type="dxa"/>
            <w:gridSpan w:val="6"/>
            <w:tcBorders>
              <w:top w:val="nil"/>
              <w:left w:val="nil"/>
              <w:bottom w:val="nil"/>
              <w:right w:val="nil"/>
            </w:tcBorders>
            <w:shd w:val="clear" w:color="auto" w:fill="FFFFFF"/>
          </w:tcPr>
          <w:p w:rsidR="002C78A6" w:rsidRDefault="00E46AAE">
            <w:pPr>
              <w:widowControl/>
              <w:spacing w:line="276" w:lineRule="auto"/>
              <w:ind w:left="60" w:right="60"/>
              <w:jc w:val="both"/>
              <w:rPr>
                <w:rFonts w:ascii="Arial" w:eastAsia="Arial" w:hAnsi="Arial" w:cs="Arial"/>
                <w:sz w:val="18"/>
                <w:szCs w:val="18"/>
              </w:rPr>
            </w:pPr>
            <w:r>
              <w:rPr>
                <w:rFonts w:ascii="Arial" w:eastAsia="Arial" w:hAnsi="Arial" w:cs="Arial"/>
                <w:sz w:val="18"/>
                <w:szCs w:val="18"/>
              </w:rPr>
              <w:t>*. Correlation is significant at the 0.05 level (2-tailed).</w:t>
            </w:r>
          </w:p>
        </w:tc>
      </w:tr>
    </w:tbl>
    <w:p w:rsidR="002C78A6" w:rsidRDefault="00E46AAE">
      <w:pPr>
        <w:widowControl/>
        <w:spacing w:line="276" w:lineRule="auto"/>
        <w:jc w:val="center"/>
        <w:rPr>
          <w:b/>
          <w:sz w:val="28"/>
          <w:szCs w:val="28"/>
        </w:rPr>
      </w:pPr>
      <w:r>
        <w:rPr>
          <w:b/>
          <w:sz w:val="32"/>
          <w:szCs w:val="32"/>
        </w:rPr>
        <w:t>Discussion</w:t>
      </w:r>
    </w:p>
    <w:p w:rsidR="002C78A6" w:rsidRDefault="00E46AAE">
      <w:pPr>
        <w:widowControl/>
        <w:spacing w:line="276" w:lineRule="auto"/>
        <w:jc w:val="both"/>
        <w:rPr>
          <w:sz w:val="24"/>
          <w:szCs w:val="24"/>
        </w:rPr>
      </w:pPr>
      <w:r>
        <w:rPr>
          <w:sz w:val="24"/>
          <w:szCs w:val="24"/>
        </w:rPr>
        <w:t xml:space="preserve">This study compared the significance of correlation in IQ and it's components with visual discrimination deficits, auditory discrimination deficits and global deficits in an effort to understand the effects of these deficits on cognitive abilities. Group of </w:t>
      </w:r>
      <w:r w:rsidR="003F1A78">
        <w:rPr>
          <w:sz w:val="24"/>
          <w:szCs w:val="24"/>
        </w:rPr>
        <w:t xml:space="preserve">92 </w:t>
      </w:r>
      <w:r>
        <w:rPr>
          <w:sz w:val="24"/>
          <w:szCs w:val="24"/>
        </w:rPr>
        <w:t>children were divided into 3 groups based on the number of errors in auditory discrimination and visual discrimination skills in Ann Arbor Learning Inventory test. In general, ADD group performed better than VDD and GD group in comprehension, blocks and mazes (Graph 1).</w:t>
      </w:r>
    </w:p>
    <w:p w:rsidR="002C78A6" w:rsidRDefault="002C78A6">
      <w:pPr>
        <w:widowControl/>
        <w:spacing w:line="276" w:lineRule="auto"/>
        <w:jc w:val="both"/>
        <w:rPr>
          <w:sz w:val="24"/>
          <w:szCs w:val="24"/>
        </w:rPr>
      </w:pPr>
    </w:p>
    <w:p w:rsidR="002C78A6" w:rsidRDefault="00E46AAE">
      <w:pPr>
        <w:widowControl/>
        <w:spacing w:line="276" w:lineRule="auto"/>
        <w:jc w:val="both"/>
        <w:rPr>
          <w:sz w:val="24"/>
          <w:szCs w:val="24"/>
        </w:rPr>
      </w:pPr>
      <w:r>
        <w:rPr>
          <w:sz w:val="24"/>
          <w:szCs w:val="24"/>
        </w:rPr>
        <w:t>Graph 1: Comparison of various subtests of MISIC with VDD &amp; ADD</w:t>
      </w:r>
    </w:p>
    <w:p w:rsidR="002C78A6" w:rsidRDefault="00E46AAE">
      <w:pPr>
        <w:widowControl/>
        <w:spacing w:line="276" w:lineRule="auto"/>
        <w:jc w:val="both"/>
        <w:rPr>
          <w:sz w:val="24"/>
          <w:szCs w:val="24"/>
        </w:rPr>
      </w:pPr>
      <w:r>
        <w:rPr>
          <w:noProof/>
          <w:sz w:val="24"/>
          <w:szCs w:val="24"/>
          <w:lang w:eastAsia="en-US"/>
        </w:rPr>
        <w:drawing>
          <wp:inline distT="0" distB="0" distL="0" distR="0">
            <wp:extent cx="5568539" cy="2334409"/>
            <wp:effectExtent l="19050" t="0" r="13111" b="8741"/>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C78A6" w:rsidRDefault="002C78A6">
      <w:pPr>
        <w:spacing w:line="276" w:lineRule="auto"/>
        <w:jc w:val="both"/>
        <w:rPr>
          <w:sz w:val="24"/>
          <w:szCs w:val="24"/>
        </w:rPr>
      </w:pPr>
    </w:p>
    <w:p w:rsidR="002C78A6" w:rsidRDefault="002C78A6">
      <w:pPr>
        <w:spacing w:line="276" w:lineRule="auto"/>
        <w:jc w:val="both"/>
        <w:rPr>
          <w:sz w:val="24"/>
          <w:szCs w:val="24"/>
        </w:rPr>
      </w:pPr>
    </w:p>
    <w:p w:rsidR="002C78A6" w:rsidRDefault="00E46AAE">
      <w:pPr>
        <w:spacing w:line="276" w:lineRule="auto"/>
        <w:jc w:val="both"/>
        <w:rPr>
          <w:sz w:val="24"/>
          <w:szCs w:val="24"/>
        </w:rPr>
      </w:pPr>
      <w:r>
        <w:rPr>
          <w:sz w:val="24"/>
          <w:szCs w:val="24"/>
        </w:rPr>
        <w:t>Pearson's correlation of the subtests MISIC profiles suggests that there is significant correlation between visual discrimination with arithmetic, vocabulary, blocks, object assembly, verbal quotient, performance quotient and full scale IQ at 0.01  and 0.05 with similarity and comprehension. However, correlation between auditory discrimination and subtests of intelligence like similarity, vocabulary, verbal quotient and full scale IQ were significant at 0.01 and 0.05 with Information, picture completion, blocks and performance quotient were significant.</w:t>
      </w:r>
    </w:p>
    <w:p w:rsidR="002C78A6" w:rsidRDefault="00E46AAE">
      <w:pPr>
        <w:spacing w:line="276" w:lineRule="auto"/>
        <w:jc w:val="both"/>
        <w:rPr>
          <w:sz w:val="24"/>
          <w:szCs w:val="24"/>
        </w:rPr>
      </w:pPr>
      <w:r>
        <w:rPr>
          <w:sz w:val="24"/>
          <w:szCs w:val="24"/>
        </w:rPr>
        <w:t xml:space="preserve">The results of the study have shown that there is significant relationship in auditory and visual discrimination with cognitive abilities. The reason why children with auditory discrimination deficits scored high on comprehension, blocks and mazes could be due to the fact that the visual component might be getting strengthened to compensate for the deficits in auditory component. </w:t>
      </w:r>
    </w:p>
    <w:p w:rsidR="002C78A6" w:rsidRDefault="002C78A6">
      <w:pPr>
        <w:spacing w:line="276" w:lineRule="auto"/>
        <w:jc w:val="both"/>
        <w:rPr>
          <w:sz w:val="24"/>
          <w:szCs w:val="24"/>
        </w:rPr>
      </w:pPr>
    </w:p>
    <w:p w:rsidR="002C78A6" w:rsidRDefault="00E46AAE">
      <w:pPr>
        <w:spacing w:line="276" w:lineRule="auto"/>
        <w:jc w:val="center"/>
        <w:rPr>
          <w:b/>
          <w:sz w:val="32"/>
          <w:szCs w:val="32"/>
        </w:rPr>
      </w:pPr>
      <w:r>
        <w:rPr>
          <w:b/>
          <w:sz w:val="32"/>
          <w:szCs w:val="32"/>
        </w:rPr>
        <w:t>Conclusion</w:t>
      </w:r>
    </w:p>
    <w:p w:rsidR="002C78A6" w:rsidRDefault="00E46AAE">
      <w:pPr>
        <w:numPr>
          <w:ilvl w:val="0"/>
          <w:numId w:val="1"/>
        </w:numPr>
        <w:pBdr>
          <w:top w:val="nil"/>
          <w:left w:val="nil"/>
          <w:bottom w:val="nil"/>
          <w:right w:val="nil"/>
          <w:between w:val="nil"/>
        </w:pBdr>
        <w:spacing w:line="276" w:lineRule="auto"/>
        <w:jc w:val="both"/>
        <w:rPr>
          <w:color w:val="000000"/>
          <w:sz w:val="24"/>
          <w:szCs w:val="24"/>
          <w:highlight w:val="white"/>
        </w:rPr>
      </w:pPr>
      <w:r>
        <w:rPr>
          <w:color w:val="000000"/>
          <w:sz w:val="24"/>
          <w:szCs w:val="24"/>
          <w:highlight w:val="white"/>
        </w:rPr>
        <w:t>Visual and auditory discrimination skills deficits have an impact on the cognitive profile.</w:t>
      </w:r>
    </w:p>
    <w:p w:rsidR="002C78A6" w:rsidRDefault="00E46AAE">
      <w:pPr>
        <w:numPr>
          <w:ilvl w:val="0"/>
          <w:numId w:val="1"/>
        </w:numPr>
        <w:pBdr>
          <w:top w:val="nil"/>
          <w:left w:val="nil"/>
          <w:bottom w:val="nil"/>
          <w:right w:val="nil"/>
          <w:between w:val="nil"/>
        </w:pBdr>
        <w:spacing w:line="276" w:lineRule="auto"/>
        <w:jc w:val="both"/>
        <w:rPr>
          <w:color w:val="000000"/>
          <w:sz w:val="24"/>
          <w:szCs w:val="24"/>
          <w:highlight w:val="white"/>
        </w:rPr>
      </w:pPr>
      <w:r>
        <w:rPr>
          <w:color w:val="000000"/>
          <w:sz w:val="24"/>
          <w:szCs w:val="24"/>
        </w:rPr>
        <w:t>There is significant correlation  between visual discrimination with arithmetic, vocabulary, blocks, object assembly, verbal quotient, performance quotient  full scale IQ, similarity and comprehension.</w:t>
      </w:r>
    </w:p>
    <w:p w:rsidR="002C78A6" w:rsidRDefault="00E46AAE">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lastRenderedPageBreak/>
        <w:t>There is also a significant correlation between auditory discrimination and subtests of intelligence like similarity, vocabulary, verbal quotient and full scale IQ, Information, picture completion, blocks and performance quotient.</w:t>
      </w:r>
    </w:p>
    <w:p w:rsidR="002C78A6" w:rsidRDefault="00E46AAE">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 xml:space="preserve">Children with auditory discrimination deficits scored high on comprehension, blocks and mazes could be due to the fact that the visual component might be getting strengthened to compensate for the deficits in auditory component. </w:t>
      </w:r>
    </w:p>
    <w:p w:rsidR="002C78A6" w:rsidRDefault="00E46AAE">
      <w:pPr>
        <w:numPr>
          <w:ilvl w:val="0"/>
          <w:numId w:val="1"/>
        </w:numPr>
        <w:pBdr>
          <w:top w:val="nil"/>
          <w:left w:val="nil"/>
          <w:bottom w:val="nil"/>
          <w:right w:val="nil"/>
          <w:between w:val="nil"/>
        </w:pBdr>
        <w:spacing w:line="276" w:lineRule="auto"/>
        <w:jc w:val="both"/>
        <w:rPr>
          <w:color w:val="000000"/>
          <w:sz w:val="24"/>
          <w:szCs w:val="24"/>
          <w:highlight w:val="white"/>
        </w:rPr>
      </w:pPr>
      <w:r>
        <w:rPr>
          <w:color w:val="000000"/>
          <w:sz w:val="24"/>
          <w:szCs w:val="24"/>
          <w:highlight w:val="white"/>
        </w:rPr>
        <w:t>A longer study with more data or higher sample size from schools of diverse socio economic groups is recommended to analyze findings.</w:t>
      </w:r>
    </w:p>
    <w:p w:rsidR="002C78A6" w:rsidRDefault="002C78A6">
      <w:pPr>
        <w:spacing w:line="276" w:lineRule="auto"/>
        <w:jc w:val="center"/>
        <w:rPr>
          <w:b/>
          <w:sz w:val="24"/>
          <w:szCs w:val="24"/>
        </w:rPr>
      </w:pPr>
    </w:p>
    <w:p w:rsidR="002C78A6" w:rsidRDefault="00E46AAE">
      <w:pPr>
        <w:spacing w:line="276" w:lineRule="auto"/>
        <w:jc w:val="center"/>
        <w:rPr>
          <w:b/>
          <w:sz w:val="24"/>
          <w:szCs w:val="24"/>
        </w:rPr>
      </w:pPr>
      <w:r>
        <w:rPr>
          <w:b/>
          <w:sz w:val="24"/>
          <w:szCs w:val="24"/>
        </w:rPr>
        <w:t>References</w:t>
      </w:r>
    </w:p>
    <w:p w:rsidR="002C78A6" w:rsidRDefault="00E46AAE">
      <w:pPr>
        <w:widowControl/>
        <w:jc w:val="both"/>
        <w:rPr>
          <w:i/>
          <w:color w:val="222222"/>
          <w:sz w:val="24"/>
          <w:szCs w:val="24"/>
          <w:highlight w:val="white"/>
        </w:rPr>
      </w:pPr>
      <w:r>
        <w:rPr>
          <w:sz w:val="32"/>
          <w:szCs w:val="32"/>
        </w:rPr>
        <w:t xml:space="preserve"> </w:t>
      </w:r>
      <w:r>
        <w:rPr>
          <w:i/>
          <w:color w:val="222222"/>
          <w:sz w:val="24"/>
          <w:szCs w:val="24"/>
          <w:highlight w:val="white"/>
        </w:rPr>
        <w:t xml:space="preserve">Amitay, S., Ahissar, M., &amp; Nelken, I. (2002). Auditory processing deficits in reading disabled    </w:t>
      </w:r>
    </w:p>
    <w:p w:rsidR="002C78A6" w:rsidRDefault="00E46AAE">
      <w:pPr>
        <w:jc w:val="both"/>
        <w:rPr>
          <w:i/>
          <w:color w:val="222222"/>
          <w:sz w:val="24"/>
          <w:szCs w:val="24"/>
          <w:highlight w:val="white"/>
        </w:rPr>
      </w:pPr>
      <w:r>
        <w:rPr>
          <w:i/>
          <w:color w:val="222222"/>
          <w:sz w:val="24"/>
          <w:szCs w:val="24"/>
          <w:highlight w:val="white"/>
        </w:rPr>
        <w:t xml:space="preserve">        adults. JARO-Journal of the Association for Research in Otolaryngology, 3(3),302-320.</w:t>
      </w:r>
    </w:p>
    <w:p w:rsidR="002C78A6" w:rsidRDefault="00E46AAE">
      <w:pPr>
        <w:jc w:val="both"/>
        <w:rPr>
          <w:i/>
          <w:sz w:val="24"/>
          <w:szCs w:val="24"/>
          <w:highlight w:val="white"/>
        </w:rPr>
      </w:pPr>
      <w:r>
        <w:rPr>
          <w:i/>
          <w:sz w:val="24"/>
          <w:szCs w:val="24"/>
          <w:highlight w:val="white"/>
        </w:rPr>
        <w:t xml:space="preserve">Cacace, A. T., &amp; McFarland, D. J. (1998). Central auditory processing disorder in school      </w:t>
      </w:r>
    </w:p>
    <w:p w:rsidR="002C78A6" w:rsidRDefault="00E46AAE">
      <w:pPr>
        <w:jc w:val="both"/>
        <w:rPr>
          <w:i/>
          <w:sz w:val="24"/>
          <w:szCs w:val="24"/>
          <w:highlight w:val="white"/>
        </w:rPr>
      </w:pPr>
      <w:r>
        <w:rPr>
          <w:i/>
          <w:sz w:val="24"/>
          <w:szCs w:val="24"/>
          <w:highlight w:val="white"/>
        </w:rPr>
        <w:t xml:space="preserve">        aged children: A critical review. Journal of Speech, Language, and Hearing</w:t>
      </w:r>
    </w:p>
    <w:p w:rsidR="002C78A6" w:rsidRDefault="00E46AAE">
      <w:pPr>
        <w:jc w:val="both"/>
        <w:rPr>
          <w:i/>
          <w:sz w:val="24"/>
          <w:szCs w:val="24"/>
          <w:highlight w:val="white"/>
        </w:rPr>
      </w:pPr>
      <w:r>
        <w:rPr>
          <w:i/>
          <w:sz w:val="24"/>
          <w:szCs w:val="24"/>
          <w:highlight w:val="white"/>
        </w:rPr>
        <w:t xml:space="preserve">       Research, 41(2), 355-373.)</w:t>
      </w:r>
    </w:p>
    <w:p w:rsidR="002C78A6" w:rsidRDefault="00E46AAE">
      <w:pPr>
        <w:jc w:val="both"/>
        <w:rPr>
          <w:i/>
          <w:sz w:val="24"/>
          <w:szCs w:val="24"/>
        </w:rPr>
      </w:pPr>
      <w:r>
        <w:rPr>
          <w:i/>
          <w:sz w:val="24"/>
          <w:szCs w:val="24"/>
        </w:rPr>
        <w:t>Chermak, G. D., &amp; Musiek, F. E. (1997). Central auditory processing disorders: New</w:t>
      </w:r>
    </w:p>
    <w:p w:rsidR="002C78A6" w:rsidRDefault="00E46AAE">
      <w:pPr>
        <w:jc w:val="both"/>
        <w:rPr>
          <w:i/>
          <w:sz w:val="24"/>
          <w:szCs w:val="24"/>
        </w:rPr>
      </w:pPr>
      <w:r>
        <w:rPr>
          <w:i/>
          <w:sz w:val="24"/>
          <w:szCs w:val="24"/>
        </w:rPr>
        <w:t xml:space="preserve">         perspectives. San Diego, CA: Singular.</w:t>
      </w:r>
    </w:p>
    <w:p w:rsidR="002C78A6" w:rsidRDefault="00E46AAE">
      <w:pPr>
        <w:widowControl/>
        <w:rPr>
          <w:i/>
          <w:sz w:val="24"/>
          <w:szCs w:val="24"/>
        </w:rPr>
      </w:pPr>
      <w:r>
        <w:rPr>
          <w:i/>
          <w:sz w:val="24"/>
          <w:szCs w:val="24"/>
        </w:rPr>
        <w:t xml:space="preserve">Gerald Goldstein , Sue R. Beers , Don J. Siegel &amp; Nancy J. Minshew (2001) A Comparison of    </w:t>
      </w:r>
    </w:p>
    <w:p w:rsidR="002C78A6" w:rsidRDefault="00E46AAE">
      <w:pPr>
        <w:widowControl/>
        <w:rPr>
          <w:i/>
          <w:sz w:val="24"/>
          <w:szCs w:val="24"/>
        </w:rPr>
      </w:pPr>
      <w:r>
        <w:rPr>
          <w:i/>
          <w:sz w:val="24"/>
          <w:szCs w:val="24"/>
        </w:rPr>
        <w:t xml:space="preserve">         WAIS-R Profiles in Adults With High-Functioning Autism or Differing Subtypes of    </w:t>
      </w:r>
    </w:p>
    <w:p w:rsidR="002C78A6" w:rsidRDefault="00E46AAE">
      <w:pPr>
        <w:widowControl/>
        <w:rPr>
          <w:i/>
          <w:sz w:val="24"/>
          <w:szCs w:val="24"/>
        </w:rPr>
      </w:pPr>
      <w:r>
        <w:rPr>
          <w:i/>
          <w:sz w:val="24"/>
          <w:szCs w:val="24"/>
        </w:rPr>
        <w:t xml:space="preserve">         Learning Disability, Applied Neuropsychology, 8:3, 148-154,</w:t>
      </w:r>
    </w:p>
    <w:p w:rsidR="002C78A6" w:rsidRDefault="00E46AAE">
      <w:pPr>
        <w:widowControl/>
        <w:jc w:val="both"/>
        <w:rPr>
          <w:i/>
          <w:sz w:val="24"/>
          <w:szCs w:val="24"/>
        </w:rPr>
      </w:pPr>
      <w:r>
        <w:rPr>
          <w:i/>
          <w:sz w:val="24"/>
          <w:szCs w:val="24"/>
        </w:rPr>
        <w:t xml:space="preserve">Gibson, E. J. (1969). Principles of perceptual learning and development. New York:    </w:t>
      </w:r>
    </w:p>
    <w:p w:rsidR="002C78A6" w:rsidRDefault="00E46AAE">
      <w:pPr>
        <w:widowControl/>
        <w:jc w:val="both"/>
        <w:rPr>
          <w:i/>
          <w:sz w:val="24"/>
          <w:szCs w:val="24"/>
        </w:rPr>
      </w:pPr>
      <w:r>
        <w:rPr>
          <w:i/>
          <w:sz w:val="24"/>
          <w:szCs w:val="24"/>
        </w:rPr>
        <w:t xml:space="preserve">         Appleton-Century Crofts</w:t>
      </w:r>
    </w:p>
    <w:p w:rsidR="002C78A6" w:rsidRDefault="00E46AAE">
      <w:pPr>
        <w:widowControl/>
        <w:jc w:val="both"/>
        <w:rPr>
          <w:i/>
          <w:sz w:val="24"/>
          <w:szCs w:val="24"/>
        </w:rPr>
      </w:pPr>
      <w:r>
        <w:rPr>
          <w:i/>
          <w:sz w:val="24"/>
          <w:szCs w:val="24"/>
        </w:rPr>
        <w:t>Gibson, E. J., &amp; Levin, H. (1975). The psychology of reading. Cambridge, MA: MIT Press</w:t>
      </w:r>
    </w:p>
    <w:p w:rsidR="002C78A6" w:rsidRDefault="00E46AAE">
      <w:pPr>
        <w:widowControl/>
        <w:jc w:val="both"/>
        <w:rPr>
          <w:i/>
          <w:sz w:val="24"/>
          <w:szCs w:val="24"/>
        </w:rPr>
      </w:pPr>
      <w:r>
        <w:rPr>
          <w:i/>
          <w:sz w:val="24"/>
          <w:szCs w:val="24"/>
        </w:rPr>
        <w:t xml:space="preserve">Gibson, E. J., &amp; Rader, N. (1979). Attention: The perceiver as performer. In G. A. Hale &amp; M. </w:t>
      </w:r>
    </w:p>
    <w:p w:rsidR="002C78A6" w:rsidRDefault="00E46AAE">
      <w:pPr>
        <w:widowControl/>
        <w:jc w:val="both"/>
        <w:rPr>
          <w:i/>
          <w:sz w:val="24"/>
          <w:szCs w:val="24"/>
        </w:rPr>
      </w:pPr>
      <w:r>
        <w:rPr>
          <w:i/>
          <w:sz w:val="24"/>
          <w:szCs w:val="24"/>
        </w:rPr>
        <w:t xml:space="preserve">           Lewis (Eds.), Attention and cognitive development. New York: Plenum Publishing</w:t>
      </w:r>
    </w:p>
    <w:p w:rsidR="002C78A6" w:rsidRDefault="00E46AAE">
      <w:pPr>
        <w:widowControl/>
        <w:jc w:val="both"/>
        <w:rPr>
          <w:i/>
          <w:sz w:val="24"/>
          <w:szCs w:val="24"/>
        </w:rPr>
      </w:pPr>
      <w:r>
        <w:rPr>
          <w:i/>
          <w:sz w:val="24"/>
          <w:szCs w:val="24"/>
        </w:rPr>
        <w:t xml:space="preserve">           Corporation</w:t>
      </w:r>
    </w:p>
    <w:p w:rsidR="002C78A6" w:rsidRDefault="00E46AAE">
      <w:pPr>
        <w:widowControl/>
        <w:jc w:val="both"/>
        <w:rPr>
          <w:i/>
          <w:color w:val="333333"/>
          <w:sz w:val="24"/>
          <w:szCs w:val="24"/>
          <w:highlight w:val="white"/>
        </w:rPr>
      </w:pPr>
      <w:r>
        <w:rPr>
          <w:i/>
          <w:color w:val="333333"/>
          <w:sz w:val="24"/>
          <w:szCs w:val="24"/>
          <w:highlight w:val="white"/>
        </w:rPr>
        <w:t xml:space="preserve">King, E. M. (1964). Effects of different kinds of visual discrimination training on learning to   </w:t>
      </w:r>
    </w:p>
    <w:p w:rsidR="002C78A6" w:rsidRDefault="00E46AAE">
      <w:pPr>
        <w:widowControl/>
        <w:jc w:val="both"/>
        <w:rPr>
          <w:i/>
          <w:color w:val="333333"/>
          <w:sz w:val="24"/>
          <w:szCs w:val="24"/>
          <w:highlight w:val="white"/>
        </w:rPr>
      </w:pPr>
      <w:r>
        <w:rPr>
          <w:i/>
          <w:color w:val="333333"/>
          <w:sz w:val="24"/>
          <w:szCs w:val="24"/>
          <w:highlight w:val="white"/>
        </w:rPr>
        <w:t xml:space="preserve">           read words. </w:t>
      </w:r>
      <w:r>
        <w:rPr>
          <w:color w:val="333333"/>
          <w:sz w:val="24"/>
          <w:szCs w:val="24"/>
          <w:highlight w:val="white"/>
        </w:rPr>
        <w:t>Journal of Educational Psychology, 55</w:t>
      </w:r>
      <w:r>
        <w:rPr>
          <w:i/>
          <w:color w:val="333333"/>
          <w:sz w:val="24"/>
          <w:szCs w:val="24"/>
          <w:highlight w:val="white"/>
        </w:rPr>
        <w:t>(6), 325-333.</w:t>
      </w:r>
    </w:p>
    <w:p w:rsidR="002C78A6" w:rsidRDefault="00E46AAE">
      <w:pPr>
        <w:widowControl/>
        <w:jc w:val="both"/>
        <w:rPr>
          <w:i/>
          <w:color w:val="333333"/>
          <w:sz w:val="24"/>
          <w:szCs w:val="24"/>
          <w:highlight w:val="white"/>
        </w:rPr>
      </w:pPr>
      <w:r>
        <w:rPr>
          <w:i/>
          <w:color w:val="333333"/>
          <w:sz w:val="24"/>
          <w:szCs w:val="24"/>
          <w:highlight w:val="white"/>
        </w:rPr>
        <w:t xml:space="preserve">Pegado F, Nakamura K, Cohen L, Dehaene S (2011) Breaking the symmetry: Mirror    </w:t>
      </w:r>
    </w:p>
    <w:p w:rsidR="002C78A6" w:rsidRDefault="00E46AAE">
      <w:pPr>
        <w:widowControl/>
        <w:jc w:val="both"/>
        <w:rPr>
          <w:i/>
          <w:color w:val="333333"/>
          <w:sz w:val="24"/>
          <w:szCs w:val="24"/>
          <w:highlight w:val="white"/>
        </w:rPr>
      </w:pPr>
      <w:r>
        <w:rPr>
          <w:i/>
          <w:color w:val="333333"/>
          <w:sz w:val="24"/>
          <w:szCs w:val="24"/>
          <w:highlight w:val="white"/>
        </w:rPr>
        <w:t xml:space="preserve">          discrimination for single letters but not for pictures in the Visual World Form Area.      </w:t>
      </w:r>
    </w:p>
    <w:p w:rsidR="002C78A6" w:rsidRDefault="00E46AAE">
      <w:pPr>
        <w:widowControl/>
        <w:ind w:right="-46"/>
        <w:jc w:val="both"/>
        <w:rPr>
          <w:i/>
          <w:color w:val="333333"/>
          <w:sz w:val="24"/>
          <w:szCs w:val="24"/>
          <w:highlight w:val="white"/>
        </w:rPr>
      </w:pPr>
      <w:r>
        <w:rPr>
          <w:i/>
          <w:color w:val="333333"/>
          <w:sz w:val="24"/>
          <w:szCs w:val="24"/>
          <w:highlight w:val="white"/>
        </w:rPr>
        <w:t xml:space="preserve">          Journal of Neuroimage 55:742-749</w:t>
      </w:r>
    </w:p>
    <w:p w:rsidR="002C78A6" w:rsidRDefault="00E46AAE">
      <w:pPr>
        <w:jc w:val="both"/>
        <w:rPr>
          <w:i/>
          <w:sz w:val="24"/>
          <w:szCs w:val="24"/>
          <w:highlight w:val="white"/>
        </w:rPr>
      </w:pPr>
      <w:r>
        <w:rPr>
          <w:i/>
          <w:sz w:val="24"/>
          <w:szCs w:val="24"/>
          <w:highlight w:val="white"/>
        </w:rPr>
        <w:t xml:space="preserve">Reynolds (1953)), Dykstra, R. (1966). Auditory discrimination abilities and beginning </w:t>
      </w:r>
    </w:p>
    <w:p w:rsidR="002C78A6" w:rsidRDefault="00E46AAE">
      <w:pPr>
        <w:jc w:val="both"/>
      </w:pPr>
      <w:r>
        <w:rPr>
          <w:i/>
          <w:sz w:val="24"/>
          <w:szCs w:val="24"/>
          <w:highlight w:val="white"/>
        </w:rPr>
        <w:t xml:space="preserve">        reading achievement. Reading Research Quarterly, 5-34.</w:t>
      </w:r>
      <w:r>
        <w:t xml:space="preserve"> </w:t>
      </w:r>
    </w:p>
    <w:sectPr w:rsidR="002C78A6" w:rsidSect="002C78A6">
      <w:footerReference w:type="default" r:id="rId8"/>
      <w:footerReference w:type="first" r:id="rId9"/>
      <w:pgSz w:w="11906" w:h="16838"/>
      <w:pgMar w:top="1440" w:right="1440" w:bottom="1440" w:left="1440"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BAF" w:rsidRDefault="00EE7BAF" w:rsidP="002C78A6">
      <w:r>
        <w:separator/>
      </w:r>
    </w:p>
  </w:endnote>
  <w:endnote w:type="continuationSeparator" w:id="1">
    <w:p w:rsidR="00EE7BAF" w:rsidRDefault="00EE7BAF" w:rsidP="002C78A6">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8A6" w:rsidRDefault="00E46AAE">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 xml:space="preserve">[Type text]Page </w:t>
    </w:r>
    <w:r w:rsidR="0072415B">
      <w:rPr>
        <w:color w:val="000000"/>
      </w:rPr>
      <w:fldChar w:fldCharType="begin"/>
    </w:r>
    <w:r>
      <w:rPr>
        <w:color w:val="000000"/>
      </w:rPr>
      <w:instrText>PAGE</w:instrText>
    </w:r>
    <w:r w:rsidR="0072415B">
      <w:rPr>
        <w:color w:val="000000"/>
      </w:rPr>
      <w:fldChar w:fldCharType="separate"/>
    </w:r>
    <w:r w:rsidR="00230C0E">
      <w:rPr>
        <w:noProof/>
        <w:color w:val="000000"/>
      </w:rPr>
      <w:t>2</w:t>
    </w:r>
    <w:r w:rsidR="0072415B">
      <w:rPr>
        <w:color w:val="000000"/>
      </w:rPr>
      <w:fldChar w:fldCharType="end"/>
    </w:r>
  </w:p>
  <w:p w:rsidR="002C78A6" w:rsidRDefault="002C78A6">
    <w:pPr>
      <w:pBdr>
        <w:top w:val="nil"/>
        <w:left w:val="nil"/>
        <w:bottom w:val="nil"/>
        <w:right w:val="nil"/>
        <w:between w:val="nil"/>
      </w:pBdr>
      <w:tabs>
        <w:tab w:val="center" w:pos="4680"/>
        <w:tab w:val="right" w:pos="936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8A6" w:rsidRDefault="00E46AAE">
    <w:pPr>
      <w:pBdr>
        <w:top w:val="nil"/>
        <w:left w:val="nil"/>
        <w:bottom w:val="nil"/>
        <w:right w:val="nil"/>
        <w:between w:val="nil"/>
      </w:pBdr>
      <w:tabs>
        <w:tab w:val="center" w:pos="4680"/>
        <w:tab w:val="right" w:pos="9360"/>
      </w:tabs>
      <w:rPr>
        <w:color w:val="000000"/>
      </w:rPr>
    </w:pPr>
    <w:r>
      <w:rPr>
        <w:color w:val="000000"/>
      </w:rPr>
      <w:t>*PhD Scholar, AIBAS, Amity University, Haryana.</w:t>
    </w:r>
  </w:p>
  <w:p w:rsidR="002C78A6" w:rsidRDefault="00E46AAE">
    <w:pPr>
      <w:pBdr>
        <w:top w:val="nil"/>
        <w:left w:val="nil"/>
        <w:bottom w:val="nil"/>
        <w:right w:val="nil"/>
        <w:between w:val="nil"/>
      </w:pBdr>
      <w:tabs>
        <w:tab w:val="center" w:pos="4680"/>
        <w:tab w:val="right" w:pos="9360"/>
      </w:tabs>
      <w:rPr>
        <w:color w:val="000000"/>
      </w:rPr>
    </w:pPr>
    <w:r>
      <w:rPr>
        <w:color w:val="000000"/>
      </w:rPr>
      <w:t>**Professor &amp; Head, AIBAS, Amity University, Haryana.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BAF" w:rsidRDefault="00EE7BAF" w:rsidP="002C78A6">
      <w:r>
        <w:separator/>
      </w:r>
    </w:p>
  </w:footnote>
  <w:footnote w:type="continuationSeparator" w:id="1">
    <w:p w:rsidR="00EE7BAF" w:rsidRDefault="00EE7BAF" w:rsidP="002C78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F3FA7"/>
    <w:multiLevelType w:val="multilevel"/>
    <w:tmpl w:val="EDF20B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78A6"/>
    <w:rsid w:val="00230C0E"/>
    <w:rsid w:val="002C78A6"/>
    <w:rsid w:val="003F1A78"/>
    <w:rsid w:val="0072415B"/>
    <w:rsid w:val="00AF14B5"/>
    <w:rsid w:val="00E46AAE"/>
    <w:rsid w:val="00ED26FE"/>
    <w:rsid w:val="00EE7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831"/>
    <w:pPr>
      <w:autoSpaceDE w:val="0"/>
      <w:autoSpaceDN w:val="0"/>
      <w:adjustRightInd w:val="0"/>
    </w:pPr>
  </w:style>
  <w:style w:type="paragraph" w:styleId="Heading1">
    <w:name w:val="heading 1"/>
    <w:basedOn w:val="Normal"/>
    <w:next w:val="Normal"/>
    <w:link w:val="Heading1Char"/>
    <w:uiPriority w:val="9"/>
    <w:qFormat/>
    <w:rsid w:val="00AD5831"/>
    <w:pPr>
      <w:tabs>
        <w:tab w:val="left" w:pos="-1440"/>
        <w:tab w:val="left" w:pos="-720"/>
        <w:tab w:val="left" w:pos="0"/>
        <w:tab w:val="left" w:pos="240"/>
      </w:tabs>
      <w:spacing w:line="360" w:lineRule="auto"/>
      <w:jc w:val="both"/>
      <w:outlineLvl w:val="0"/>
    </w:pPr>
    <w:rPr>
      <w:rFonts w:eastAsiaTheme="minorHAnsi"/>
      <w:b/>
      <w:sz w:val="32"/>
      <w:szCs w:val="24"/>
      <w:lang w:val="en-IN"/>
    </w:rPr>
  </w:style>
  <w:style w:type="paragraph" w:styleId="Heading2">
    <w:name w:val="heading 2"/>
    <w:basedOn w:val="Normal"/>
    <w:link w:val="Heading2Char"/>
    <w:uiPriority w:val="9"/>
    <w:qFormat/>
    <w:rsid w:val="00AD5831"/>
    <w:pPr>
      <w:widowControl/>
      <w:autoSpaceDE/>
      <w:autoSpaceDN/>
      <w:adjustRightInd/>
      <w:spacing w:before="100" w:beforeAutospacing="1" w:after="100" w:afterAutospacing="1"/>
      <w:outlineLvl w:val="1"/>
    </w:pPr>
    <w:rPr>
      <w:rFonts w:eastAsiaTheme="minorHAnsi"/>
      <w:b/>
      <w:bCs/>
      <w:sz w:val="28"/>
      <w:szCs w:val="36"/>
      <w:shd w:val="clear" w:color="auto" w:fill="FFFFFF"/>
      <w:lang w:val="en-IN"/>
    </w:rPr>
  </w:style>
  <w:style w:type="paragraph" w:styleId="Heading3">
    <w:name w:val="heading 3"/>
    <w:basedOn w:val="normal0"/>
    <w:next w:val="normal0"/>
    <w:rsid w:val="002C78A6"/>
    <w:pPr>
      <w:keepNext/>
      <w:keepLines/>
      <w:spacing w:before="280" w:after="80"/>
      <w:outlineLvl w:val="2"/>
    </w:pPr>
    <w:rPr>
      <w:b/>
      <w:sz w:val="28"/>
      <w:szCs w:val="28"/>
    </w:rPr>
  </w:style>
  <w:style w:type="paragraph" w:styleId="Heading4">
    <w:name w:val="heading 4"/>
    <w:basedOn w:val="normal0"/>
    <w:next w:val="normal0"/>
    <w:rsid w:val="002C78A6"/>
    <w:pPr>
      <w:keepNext/>
      <w:keepLines/>
      <w:spacing w:before="240" w:after="40"/>
      <w:outlineLvl w:val="3"/>
    </w:pPr>
    <w:rPr>
      <w:b/>
      <w:sz w:val="24"/>
      <w:szCs w:val="24"/>
    </w:rPr>
  </w:style>
  <w:style w:type="paragraph" w:styleId="Heading5">
    <w:name w:val="heading 5"/>
    <w:basedOn w:val="normal0"/>
    <w:next w:val="normal0"/>
    <w:rsid w:val="002C78A6"/>
    <w:pPr>
      <w:keepNext/>
      <w:keepLines/>
      <w:spacing w:before="220" w:after="40"/>
      <w:outlineLvl w:val="4"/>
    </w:pPr>
    <w:rPr>
      <w:b/>
      <w:sz w:val="22"/>
      <w:szCs w:val="22"/>
    </w:rPr>
  </w:style>
  <w:style w:type="paragraph" w:styleId="Heading6">
    <w:name w:val="heading 6"/>
    <w:basedOn w:val="normal0"/>
    <w:next w:val="normal0"/>
    <w:rsid w:val="002C78A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2C78A6"/>
  </w:style>
  <w:style w:type="paragraph" w:styleId="Title">
    <w:name w:val="Title"/>
    <w:basedOn w:val="Normal"/>
    <w:next w:val="Normal"/>
    <w:link w:val="TitleChar"/>
    <w:uiPriority w:val="10"/>
    <w:qFormat/>
    <w:rsid w:val="00AD58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28"/>
      <w:szCs w:val="52"/>
    </w:rPr>
  </w:style>
  <w:style w:type="paragraph" w:customStyle="1" w:styleId="normal0">
    <w:name w:val="normal"/>
    <w:rsid w:val="002C78A6"/>
  </w:style>
  <w:style w:type="character" w:customStyle="1" w:styleId="Heading1Char">
    <w:name w:val="Heading 1 Char"/>
    <w:basedOn w:val="DefaultParagraphFont"/>
    <w:link w:val="Heading1"/>
    <w:uiPriority w:val="9"/>
    <w:rsid w:val="00AD5831"/>
    <w:rPr>
      <w:rFonts w:ascii="Times New Roman" w:hAnsi="Times New Roman" w:cs="Times New Roman"/>
      <w:b/>
      <w:sz w:val="32"/>
      <w:szCs w:val="24"/>
    </w:rPr>
  </w:style>
  <w:style w:type="character" w:customStyle="1" w:styleId="Heading2Char">
    <w:name w:val="Heading 2 Char"/>
    <w:basedOn w:val="DefaultParagraphFont"/>
    <w:link w:val="Heading2"/>
    <w:uiPriority w:val="9"/>
    <w:rsid w:val="00AD5831"/>
    <w:rPr>
      <w:rFonts w:ascii="Times New Roman" w:hAnsi="Times New Roman" w:cs="Times New Roman"/>
      <w:b/>
      <w:bCs/>
      <w:sz w:val="28"/>
      <w:szCs w:val="36"/>
      <w:lang w:eastAsia="en-IN"/>
    </w:rPr>
  </w:style>
  <w:style w:type="paragraph" w:styleId="BodyTextIndent">
    <w:name w:val="Body Text Indent"/>
    <w:basedOn w:val="Normal"/>
    <w:link w:val="BodyTextIndentChar"/>
    <w:semiHidden/>
    <w:rsid w:val="00AD5831"/>
    <w:pPr>
      <w:shd w:val="clear" w:color="auto" w:fill="FFFFFF"/>
      <w:ind w:left="1118"/>
    </w:pPr>
    <w:rPr>
      <w:color w:val="000000"/>
      <w:spacing w:val="1"/>
      <w:sz w:val="24"/>
      <w:szCs w:val="24"/>
    </w:rPr>
  </w:style>
  <w:style w:type="character" w:customStyle="1" w:styleId="BodyTextIndentChar">
    <w:name w:val="Body Text Indent Char"/>
    <w:basedOn w:val="DefaultParagraphFont"/>
    <w:link w:val="BodyTextIndent"/>
    <w:semiHidden/>
    <w:rsid w:val="00AD5831"/>
    <w:rPr>
      <w:rFonts w:ascii="Times New Roman" w:eastAsia="Times New Roman" w:hAnsi="Times New Roman" w:cs="Times New Roman"/>
      <w:color w:val="000000"/>
      <w:spacing w:val="1"/>
      <w:sz w:val="24"/>
      <w:szCs w:val="24"/>
      <w:shd w:val="clear" w:color="auto" w:fill="FFFFFF"/>
      <w:lang w:val="en-US"/>
    </w:rPr>
  </w:style>
  <w:style w:type="paragraph" w:styleId="ListParagraph">
    <w:name w:val="List Paragraph"/>
    <w:basedOn w:val="Normal"/>
    <w:uiPriority w:val="34"/>
    <w:qFormat/>
    <w:rsid w:val="00AD5831"/>
    <w:pPr>
      <w:ind w:left="720"/>
      <w:contextualSpacing/>
    </w:pPr>
  </w:style>
  <w:style w:type="character" w:styleId="Hyperlink">
    <w:name w:val="Hyperlink"/>
    <w:basedOn w:val="DefaultParagraphFont"/>
    <w:uiPriority w:val="99"/>
    <w:unhideWhenUsed/>
    <w:rsid w:val="00AD5831"/>
    <w:rPr>
      <w:color w:val="0000FF"/>
      <w:u w:val="single"/>
    </w:rPr>
  </w:style>
  <w:style w:type="paragraph" w:styleId="NormalWeb">
    <w:name w:val="Normal (Web)"/>
    <w:basedOn w:val="Normal"/>
    <w:uiPriority w:val="99"/>
    <w:unhideWhenUsed/>
    <w:rsid w:val="00AD5831"/>
    <w:pPr>
      <w:widowControl/>
      <w:autoSpaceDE/>
      <w:autoSpaceDN/>
      <w:adjustRightInd/>
      <w:spacing w:before="100" w:beforeAutospacing="1" w:after="100" w:afterAutospacing="1"/>
    </w:pPr>
    <w:rPr>
      <w:sz w:val="24"/>
      <w:szCs w:val="24"/>
      <w:lang w:val="en-IN"/>
    </w:rPr>
  </w:style>
  <w:style w:type="character" w:customStyle="1" w:styleId="hvr">
    <w:name w:val="hvr"/>
    <w:basedOn w:val="DefaultParagraphFont"/>
    <w:rsid w:val="00AD5831"/>
  </w:style>
  <w:style w:type="character" w:customStyle="1" w:styleId="authorname">
    <w:name w:val="authorname"/>
    <w:basedOn w:val="DefaultParagraphFont"/>
    <w:rsid w:val="00AD5831"/>
  </w:style>
  <w:style w:type="character" w:styleId="Emphasis">
    <w:name w:val="Emphasis"/>
    <w:basedOn w:val="DefaultParagraphFont"/>
    <w:uiPriority w:val="20"/>
    <w:qFormat/>
    <w:rsid w:val="00AD5831"/>
    <w:rPr>
      <w:i/>
      <w:iCs/>
    </w:rPr>
  </w:style>
  <w:style w:type="paragraph" w:styleId="BalloonText">
    <w:name w:val="Balloon Text"/>
    <w:basedOn w:val="Normal"/>
    <w:link w:val="BalloonTextChar"/>
    <w:uiPriority w:val="99"/>
    <w:semiHidden/>
    <w:unhideWhenUsed/>
    <w:rsid w:val="00AD5831"/>
    <w:rPr>
      <w:rFonts w:ascii="Tahoma" w:hAnsi="Tahoma" w:cs="Tahoma"/>
      <w:sz w:val="16"/>
      <w:szCs w:val="16"/>
    </w:rPr>
  </w:style>
  <w:style w:type="character" w:customStyle="1" w:styleId="BalloonTextChar">
    <w:name w:val="Balloon Text Char"/>
    <w:basedOn w:val="DefaultParagraphFont"/>
    <w:link w:val="BalloonText"/>
    <w:uiPriority w:val="99"/>
    <w:semiHidden/>
    <w:rsid w:val="00AD5831"/>
    <w:rPr>
      <w:rFonts w:ascii="Tahoma" w:eastAsia="Times New Roman" w:hAnsi="Tahoma" w:cs="Tahoma"/>
      <w:sz w:val="16"/>
      <w:szCs w:val="16"/>
      <w:lang w:val="en-US"/>
    </w:rPr>
  </w:style>
  <w:style w:type="table" w:styleId="TableGrid">
    <w:name w:val="Table Grid"/>
    <w:basedOn w:val="TableNormal"/>
    <w:uiPriority w:val="59"/>
    <w:rsid w:val="00AD5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D5831"/>
    <w:rPr>
      <w:b/>
      <w:bCs/>
    </w:rPr>
  </w:style>
  <w:style w:type="table" w:customStyle="1" w:styleId="MediumShading21">
    <w:name w:val="Medium Shading 21"/>
    <w:basedOn w:val="TableNormal"/>
    <w:uiPriority w:val="64"/>
    <w:rsid w:val="00AD583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1">
    <w:name w:val="Light Grid1"/>
    <w:basedOn w:val="TableNormal"/>
    <w:uiPriority w:val="62"/>
    <w:rsid w:val="00AD583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D5831"/>
    <w:pPr>
      <w:widowControl/>
      <w:autoSpaceDE/>
      <w:autoSpaceDN/>
      <w:adjustRightInd/>
      <w:spacing w:line="276" w:lineRule="auto"/>
      <w:outlineLvl w:val="9"/>
    </w:pPr>
  </w:style>
  <w:style w:type="character" w:customStyle="1" w:styleId="TitleChar">
    <w:name w:val="Title Char"/>
    <w:basedOn w:val="DefaultParagraphFont"/>
    <w:link w:val="Title"/>
    <w:uiPriority w:val="10"/>
    <w:rsid w:val="00AD5831"/>
    <w:rPr>
      <w:rFonts w:asciiTheme="majorHAnsi" w:eastAsiaTheme="majorEastAsia" w:hAnsiTheme="majorHAnsi" w:cstheme="majorBidi"/>
      <w:color w:val="17365D" w:themeColor="text2" w:themeShade="BF"/>
      <w:spacing w:val="5"/>
      <w:kern w:val="28"/>
      <w:sz w:val="28"/>
      <w:szCs w:val="52"/>
      <w:lang w:val="en-US"/>
    </w:rPr>
  </w:style>
  <w:style w:type="paragraph" w:styleId="TOC1">
    <w:name w:val="toc 1"/>
    <w:basedOn w:val="Normal"/>
    <w:next w:val="Normal"/>
    <w:autoRedefine/>
    <w:uiPriority w:val="39"/>
    <w:unhideWhenUsed/>
    <w:qFormat/>
    <w:rsid w:val="00AD5831"/>
    <w:pPr>
      <w:spacing w:after="100"/>
    </w:pPr>
  </w:style>
  <w:style w:type="paragraph" w:styleId="TOC2">
    <w:name w:val="toc 2"/>
    <w:basedOn w:val="Normal"/>
    <w:next w:val="Normal"/>
    <w:autoRedefine/>
    <w:uiPriority w:val="39"/>
    <w:unhideWhenUsed/>
    <w:qFormat/>
    <w:rsid w:val="00AD5831"/>
    <w:pPr>
      <w:widowControl/>
      <w:autoSpaceDE/>
      <w:autoSpaceDN/>
      <w:adjustRightInd/>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AD5831"/>
    <w:pPr>
      <w:widowControl/>
      <w:autoSpaceDE/>
      <w:autoSpaceDN/>
      <w:adjustRightInd/>
      <w:spacing w:after="100" w:line="276" w:lineRule="auto"/>
      <w:ind w:left="440"/>
    </w:pPr>
    <w:rPr>
      <w:rFonts w:asciiTheme="minorHAnsi" w:eastAsiaTheme="minorEastAsia" w:hAnsiTheme="minorHAnsi" w:cstheme="minorBidi"/>
      <w:sz w:val="22"/>
      <w:szCs w:val="22"/>
    </w:rPr>
  </w:style>
  <w:style w:type="paragraph" w:customStyle="1" w:styleId="sub-subsec">
    <w:name w:val="sub-subsec"/>
    <w:basedOn w:val="Normal"/>
    <w:rsid w:val="00AD5831"/>
    <w:pPr>
      <w:widowControl/>
      <w:autoSpaceDE/>
      <w:autoSpaceDN/>
      <w:adjustRightInd/>
      <w:spacing w:before="100" w:beforeAutospacing="1" w:after="100" w:afterAutospacing="1"/>
    </w:pPr>
    <w:rPr>
      <w:sz w:val="24"/>
      <w:szCs w:val="24"/>
      <w:lang w:val="en-IN"/>
    </w:rPr>
  </w:style>
  <w:style w:type="paragraph" w:styleId="FootnoteText">
    <w:name w:val="footnote text"/>
    <w:basedOn w:val="Normal"/>
    <w:link w:val="FootnoteTextChar"/>
    <w:uiPriority w:val="99"/>
    <w:semiHidden/>
    <w:unhideWhenUsed/>
    <w:rsid w:val="00AD5831"/>
  </w:style>
  <w:style w:type="character" w:customStyle="1" w:styleId="FootnoteTextChar">
    <w:name w:val="Footnote Text Char"/>
    <w:basedOn w:val="DefaultParagraphFont"/>
    <w:link w:val="FootnoteText"/>
    <w:uiPriority w:val="99"/>
    <w:semiHidden/>
    <w:rsid w:val="00AD583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AD5831"/>
    <w:rPr>
      <w:vertAlign w:val="superscript"/>
    </w:rPr>
  </w:style>
  <w:style w:type="paragraph" w:styleId="Header">
    <w:name w:val="header"/>
    <w:basedOn w:val="Normal"/>
    <w:link w:val="HeaderChar"/>
    <w:uiPriority w:val="99"/>
    <w:semiHidden/>
    <w:unhideWhenUsed/>
    <w:rsid w:val="00367BBF"/>
    <w:pPr>
      <w:tabs>
        <w:tab w:val="center" w:pos="4680"/>
        <w:tab w:val="right" w:pos="9360"/>
      </w:tabs>
    </w:pPr>
  </w:style>
  <w:style w:type="character" w:customStyle="1" w:styleId="HeaderChar">
    <w:name w:val="Header Char"/>
    <w:basedOn w:val="DefaultParagraphFont"/>
    <w:link w:val="Header"/>
    <w:uiPriority w:val="99"/>
    <w:semiHidden/>
    <w:rsid w:val="00367BBF"/>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367BBF"/>
    <w:pPr>
      <w:tabs>
        <w:tab w:val="center" w:pos="4680"/>
        <w:tab w:val="right" w:pos="9360"/>
      </w:tabs>
    </w:pPr>
  </w:style>
  <w:style w:type="character" w:customStyle="1" w:styleId="FooterChar">
    <w:name w:val="Footer Char"/>
    <w:basedOn w:val="DefaultParagraphFont"/>
    <w:link w:val="Footer"/>
    <w:uiPriority w:val="99"/>
    <w:rsid w:val="00367BBF"/>
    <w:rPr>
      <w:rFonts w:ascii="Times New Roman" w:eastAsia="Times New Roman" w:hAnsi="Times New Roman" w:cs="Times New Roman"/>
      <w:sz w:val="20"/>
      <w:szCs w:val="20"/>
      <w:lang w:val="en-US"/>
    </w:rPr>
  </w:style>
  <w:style w:type="paragraph" w:styleId="Subtitle">
    <w:name w:val="Subtitle"/>
    <w:basedOn w:val="Normal"/>
    <w:next w:val="Normal"/>
    <w:rsid w:val="002C78A6"/>
    <w:pPr>
      <w:keepNext/>
      <w:keepLines/>
      <w:spacing w:before="360" w:after="80"/>
    </w:pPr>
    <w:rPr>
      <w:rFonts w:ascii="Georgia" w:eastAsia="Georgia" w:hAnsi="Georgia" w:cs="Georgia"/>
      <w:i/>
      <w:color w:val="666666"/>
      <w:sz w:val="48"/>
      <w:szCs w:val="48"/>
    </w:rPr>
  </w:style>
  <w:style w:type="table" w:customStyle="1" w:styleId="a">
    <w:basedOn w:val="TableNormal"/>
    <w:rsid w:val="002C78A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C78A6"/>
    <w:tblPr>
      <w:tblStyleRowBandSize w:val="1"/>
      <w:tblStyleColBandSize w:val="1"/>
      <w:tblInd w:w="0" w:type="dxa"/>
      <w:tblCellMar>
        <w:top w:w="0" w:type="dxa"/>
        <w:left w:w="0" w:type="dxa"/>
        <w:bottom w:w="0" w:type="dxa"/>
        <w:right w:w="0" w:type="dxa"/>
      </w:tblCellMar>
    </w:tblPr>
  </w:style>
  <w:style w:type="table" w:customStyle="1" w:styleId="a1">
    <w:basedOn w:val="TableNormal"/>
    <w:rsid w:val="002C78A6"/>
    <w:tblPr>
      <w:tblStyleRowBandSize w:val="1"/>
      <w:tblStyleColBandSize w:val="1"/>
      <w:tblInd w:w="0" w:type="dxa"/>
      <w:tblCellMar>
        <w:top w:w="0" w:type="dxa"/>
        <w:left w:w="0" w:type="dxa"/>
        <w:bottom w:w="0" w:type="dxa"/>
        <w:right w:w="0" w:type="dxa"/>
      </w:tblCellMar>
    </w:tblPr>
  </w:style>
  <w:style w:type="table" w:customStyle="1" w:styleId="a2">
    <w:basedOn w:val="TableNormal"/>
    <w:rsid w:val="002C78A6"/>
    <w:tblPr>
      <w:tblStyleRowBandSize w:val="1"/>
      <w:tblStyleColBandSize w:val="1"/>
      <w:tblInd w:w="0" w:type="dxa"/>
      <w:tblCellMar>
        <w:top w:w="0" w:type="dxa"/>
        <w:left w:w="0" w:type="dxa"/>
        <w:bottom w:w="0" w:type="dxa"/>
        <w:right w:w="0" w:type="dxa"/>
      </w:tblCellMar>
    </w:tblPr>
  </w:style>
  <w:style w:type="table" w:customStyle="1" w:styleId="a3">
    <w:basedOn w:val="TableNormal"/>
    <w:rsid w:val="002C78A6"/>
    <w:tblPr>
      <w:tblStyleRowBandSize w:val="1"/>
      <w:tblStyleColBandSize w:val="1"/>
      <w:tblInd w:w="0" w:type="dxa"/>
      <w:tblCellMar>
        <w:top w:w="0" w:type="dxa"/>
        <w:left w:w="0" w:type="dxa"/>
        <w:bottom w:w="0" w:type="dxa"/>
        <w:right w:w="0" w:type="dxa"/>
      </w:tblCellMar>
    </w:tblPr>
  </w:style>
  <w:style w:type="table" w:customStyle="1" w:styleId="a4">
    <w:basedOn w:val="TableNormal"/>
    <w:rsid w:val="002C78A6"/>
    <w:tblPr>
      <w:tblStyleRowBandSize w:val="1"/>
      <w:tblStyleColBandSize w:val="1"/>
      <w:tblInd w:w="0" w:type="dxa"/>
      <w:tblCellMar>
        <w:top w:w="0" w:type="dxa"/>
        <w:left w:w="0" w:type="dxa"/>
        <w:bottom w:w="0" w:type="dxa"/>
        <w:right w:w="0" w:type="dxa"/>
      </w:tblCellMar>
    </w:tblPr>
  </w:style>
  <w:style w:type="table" w:customStyle="1" w:styleId="a5">
    <w:basedOn w:val="TableNormal"/>
    <w:rsid w:val="002C78A6"/>
    <w:tblPr>
      <w:tblStyleRowBandSize w:val="1"/>
      <w:tblStyleColBandSize w:val="1"/>
      <w:tblInd w:w="0" w:type="dxa"/>
      <w:tblCellMar>
        <w:top w:w="0" w:type="dxa"/>
        <w:left w:w="0" w:type="dxa"/>
        <w:bottom w:w="0" w:type="dxa"/>
        <w:right w:w="0" w:type="dxa"/>
      </w:tblCellMar>
    </w:tblPr>
  </w:style>
  <w:style w:type="table" w:customStyle="1" w:styleId="a6">
    <w:basedOn w:val="TableNormal"/>
    <w:rsid w:val="002C78A6"/>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A</c:v>
                </c:pt>
              </c:strCache>
            </c:strRef>
          </c:tx>
          <c:cat>
            <c:strRef>
              <c:f>'Sheet1'!$A$2:$A$15</c:f>
              <c:strCache>
                <c:ptCount val="14"/>
                <c:pt idx="0">
                  <c:v>info</c:v>
                </c:pt>
                <c:pt idx="1">
                  <c:v>comp</c:v>
                </c:pt>
                <c:pt idx="2">
                  <c:v>arith</c:v>
                </c:pt>
                <c:pt idx="3">
                  <c:v>sim</c:v>
                </c:pt>
                <c:pt idx="4">
                  <c:v>vocab</c:v>
                </c:pt>
                <c:pt idx="5">
                  <c:v>digit sapn</c:v>
                </c:pt>
                <c:pt idx="6">
                  <c:v>PC</c:v>
                </c:pt>
                <c:pt idx="7">
                  <c:v>Blocks</c:v>
                </c:pt>
                <c:pt idx="8">
                  <c:v>Object</c:v>
                </c:pt>
                <c:pt idx="9">
                  <c:v>Coding</c:v>
                </c:pt>
                <c:pt idx="10">
                  <c:v>mazes</c:v>
                </c:pt>
                <c:pt idx="11">
                  <c:v>VQ</c:v>
                </c:pt>
                <c:pt idx="12">
                  <c:v>PQ</c:v>
                </c:pt>
                <c:pt idx="13">
                  <c:v>IQ</c:v>
                </c:pt>
              </c:strCache>
            </c:strRef>
          </c:cat>
          <c:val>
            <c:numRef>
              <c:f>'Sheet1'!$B$2:$B$15</c:f>
              <c:numCache>
                <c:formatCode>General</c:formatCode>
                <c:ptCount val="14"/>
                <c:pt idx="0">
                  <c:v>102.75</c:v>
                </c:pt>
                <c:pt idx="1">
                  <c:v>114.69</c:v>
                </c:pt>
                <c:pt idx="2">
                  <c:v>93.910000000000025</c:v>
                </c:pt>
                <c:pt idx="3">
                  <c:v>98.77</c:v>
                </c:pt>
                <c:pt idx="4">
                  <c:v>90.179999999999978</c:v>
                </c:pt>
                <c:pt idx="5">
                  <c:v>98.460000000000022</c:v>
                </c:pt>
                <c:pt idx="6">
                  <c:v>92.75</c:v>
                </c:pt>
                <c:pt idx="7">
                  <c:v>113.86999999999999</c:v>
                </c:pt>
                <c:pt idx="8">
                  <c:v>88.240000000000023</c:v>
                </c:pt>
                <c:pt idx="9">
                  <c:v>104.77</c:v>
                </c:pt>
                <c:pt idx="10">
                  <c:v>107.75</c:v>
                </c:pt>
                <c:pt idx="11">
                  <c:v>100.29</c:v>
                </c:pt>
                <c:pt idx="12">
                  <c:v>100.54</c:v>
                </c:pt>
                <c:pt idx="13">
                  <c:v>100.48</c:v>
                </c:pt>
              </c:numCache>
            </c:numRef>
          </c:val>
        </c:ser>
        <c:ser>
          <c:idx val="1"/>
          <c:order val="1"/>
          <c:tx>
            <c:strRef>
              <c:f>'Sheet1'!$C$1</c:f>
              <c:strCache>
                <c:ptCount val="1"/>
                <c:pt idx="0">
                  <c:v>V</c:v>
                </c:pt>
              </c:strCache>
            </c:strRef>
          </c:tx>
          <c:cat>
            <c:strRef>
              <c:f>'Sheet1'!$A$2:$A$15</c:f>
              <c:strCache>
                <c:ptCount val="14"/>
                <c:pt idx="0">
                  <c:v>info</c:v>
                </c:pt>
                <c:pt idx="1">
                  <c:v>comp</c:v>
                </c:pt>
                <c:pt idx="2">
                  <c:v>arith</c:v>
                </c:pt>
                <c:pt idx="3">
                  <c:v>sim</c:v>
                </c:pt>
                <c:pt idx="4">
                  <c:v>vocab</c:v>
                </c:pt>
                <c:pt idx="5">
                  <c:v>digit sapn</c:v>
                </c:pt>
                <c:pt idx="6">
                  <c:v>PC</c:v>
                </c:pt>
                <c:pt idx="7">
                  <c:v>Blocks</c:v>
                </c:pt>
                <c:pt idx="8">
                  <c:v>Object</c:v>
                </c:pt>
                <c:pt idx="9">
                  <c:v>Coding</c:v>
                </c:pt>
                <c:pt idx="10">
                  <c:v>mazes</c:v>
                </c:pt>
                <c:pt idx="11">
                  <c:v>VQ</c:v>
                </c:pt>
                <c:pt idx="12">
                  <c:v>PQ</c:v>
                </c:pt>
                <c:pt idx="13">
                  <c:v>IQ</c:v>
                </c:pt>
              </c:strCache>
            </c:strRef>
          </c:cat>
          <c:val>
            <c:numRef>
              <c:f>'Sheet1'!$C$2:$C$15</c:f>
              <c:numCache>
                <c:formatCode>General</c:formatCode>
                <c:ptCount val="14"/>
                <c:pt idx="0">
                  <c:v>101.43</c:v>
                </c:pt>
                <c:pt idx="1">
                  <c:v>104.3</c:v>
                </c:pt>
                <c:pt idx="2">
                  <c:v>92.56</c:v>
                </c:pt>
                <c:pt idx="3">
                  <c:v>98.08</c:v>
                </c:pt>
                <c:pt idx="4">
                  <c:v>87.08</c:v>
                </c:pt>
                <c:pt idx="5">
                  <c:v>100.82</c:v>
                </c:pt>
                <c:pt idx="6">
                  <c:v>92.56</c:v>
                </c:pt>
                <c:pt idx="7">
                  <c:v>102.56</c:v>
                </c:pt>
                <c:pt idx="8">
                  <c:v>90.210000000000022</c:v>
                </c:pt>
                <c:pt idx="9">
                  <c:v>106.21000000000002</c:v>
                </c:pt>
                <c:pt idx="10">
                  <c:v>90.86</c:v>
                </c:pt>
                <c:pt idx="11">
                  <c:v>97.48</c:v>
                </c:pt>
                <c:pt idx="12">
                  <c:v>95.26</c:v>
                </c:pt>
                <c:pt idx="13">
                  <c:v>96.36</c:v>
                </c:pt>
              </c:numCache>
            </c:numRef>
          </c:val>
        </c:ser>
        <c:ser>
          <c:idx val="2"/>
          <c:order val="2"/>
          <c:tx>
            <c:strRef>
              <c:f>'Sheet1'!$D$1</c:f>
              <c:strCache>
                <c:ptCount val="1"/>
                <c:pt idx="0">
                  <c:v>Global</c:v>
                </c:pt>
              </c:strCache>
            </c:strRef>
          </c:tx>
          <c:cat>
            <c:strRef>
              <c:f>'Sheet1'!$A$2:$A$15</c:f>
              <c:strCache>
                <c:ptCount val="14"/>
                <c:pt idx="0">
                  <c:v>info</c:v>
                </c:pt>
                <c:pt idx="1">
                  <c:v>comp</c:v>
                </c:pt>
                <c:pt idx="2">
                  <c:v>arith</c:v>
                </c:pt>
                <c:pt idx="3">
                  <c:v>sim</c:v>
                </c:pt>
                <c:pt idx="4">
                  <c:v>vocab</c:v>
                </c:pt>
                <c:pt idx="5">
                  <c:v>digit sapn</c:v>
                </c:pt>
                <c:pt idx="6">
                  <c:v>PC</c:v>
                </c:pt>
                <c:pt idx="7">
                  <c:v>Blocks</c:v>
                </c:pt>
                <c:pt idx="8">
                  <c:v>Object</c:v>
                </c:pt>
                <c:pt idx="9">
                  <c:v>Coding</c:v>
                </c:pt>
                <c:pt idx="10">
                  <c:v>mazes</c:v>
                </c:pt>
                <c:pt idx="11">
                  <c:v>VQ</c:v>
                </c:pt>
                <c:pt idx="12">
                  <c:v>PQ</c:v>
                </c:pt>
                <c:pt idx="13">
                  <c:v>IQ</c:v>
                </c:pt>
              </c:strCache>
            </c:strRef>
          </c:cat>
          <c:val>
            <c:numRef>
              <c:f>'Sheet1'!$D$2:$D$15</c:f>
              <c:numCache>
                <c:formatCode>General</c:formatCode>
                <c:ptCount val="14"/>
                <c:pt idx="0">
                  <c:v>99.95</c:v>
                </c:pt>
                <c:pt idx="1">
                  <c:v>104.76</c:v>
                </c:pt>
                <c:pt idx="2">
                  <c:v>92.14</c:v>
                </c:pt>
                <c:pt idx="3">
                  <c:v>97.61</c:v>
                </c:pt>
                <c:pt idx="4">
                  <c:v>86.52</c:v>
                </c:pt>
                <c:pt idx="5">
                  <c:v>100.28</c:v>
                </c:pt>
                <c:pt idx="6">
                  <c:v>92.57</c:v>
                </c:pt>
                <c:pt idx="7">
                  <c:v>98.04</c:v>
                </c:pt>
                <c:pt idx="8">
                  <c:v>90.66</c:v>
                </c:pt>
                <c:pt idx="9">
                  <c:v>106.61</c:v>
                </c:pt>
                <c:pt idx="10">
                  <c:v>89.9</c:v>
                </c:pt>
                <c:pt idx="11">
                  <c:v>96.98</c:v>
                </c:pt>
                <c:pt idx="12">
                  <c:v>94.66</c:v>
                </c:pt>
                <c:pt idx="13">
                  <c:v>95.82</c:v>
                </c:pt>
              </c:numCache>
            </c:numRef>
          </c:val>
        </c:ser>
        <c:marker val="1"/>
        <c:axId val="127672704"/>
        <c:axId val="127674240"/>
      </c:lineChart>
      <c:catAx>
        <c:axId val="127672704"/>
        <c:scaling>
          <c:orientation val="minMax"/>
        </c:scaling>
        <c:axPos val="b"/>
        <c:tickLblPos val="nextTo"/>
        <c:txPr>
          <a:bodyPr/>
          <a:lstStyle/>
          <a:p>
            <a:pPr>
              <a:defRPr lang="en-IN"/>
            </a:pPr>
            <a:endParaRPr lang="en-US"/>
          </a:p>
        </c:txPr>
        <c:crossAx val="127674240"/>
        <c:crosses val="autoZero"/>
        <c:auto val="1"/>
        <c:lblAlgn val="ctr"/>
        <c:lblOffset val="100"/>
      </c:catAx>
      <c:valAx>
        <c:axId val="127674240"/>
        <c:scaling>
          <c:orientation val="minMax"/>
        </c:scaling>
        <c:axPos val="l"/>
        <c:majorGridlines/>
        <c:numFmt formatCode="General" sourceLinked="1"/>
        <c:tickLblPos val="nextTo"/>
        <c:txPr>
          <a:bodyPr/>
          <a:lstStyle/>
          <a:p>
            <a:pPr>
              <a:defRPr lang="en-IN"/>
            </a:pPr>
            <a:endParaRPr lang="en-US"/>
          </a:p>
        </c:txPr>
        <c:crossAx val="127672704"/>
        <c:crosses val="autoZero"/>
        <c:crossBetween val="between"/>
      </c:valAx>
    </c:plotArea>
    <c:legend>
      <c:legendPos val="r"/>
      <c:txPr>
        <a:bodyPr/>
        <a:lstStyle/>
        <a:p>
          <a:pPr>
            <a:defRPr lang="en-IN"/>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1</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proteesh</cp:lastModifiedBy>
  <cp:revision>4</cp:revision>
  <dcterms:created xsi:type="dcterms:W3CDTF">2018-03-28T11:33:00Z</dcterms:created>
  <dcterms:modified xsi:type="dcterms:W3CDTF">2020-02-14T06:31:00Z</dcterms:modified>
</cp:coreProperties>
</file>