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charts/chart21.xml" ContentType="application/vnd.openxmlformats-officedocument.drawingml.chart+xml"/>
  <Override PartName="/word/theme/themeOverride21.xml" ContentType="application/vnd.openxmlformats-officedocument.themeOverride+xml"/>
  <Override PartName="/word/charts/chart22.xml" ContentType="application/vnd.openxmlformats-officedocument.drawingml.chart+xml"/>
  <Override PartName="/word/theme/themeOverride22.xml" ContentType="application/vnd.openxmlformats-officedocument.themeOverride+xml"/>
  <Override PartName="/word/charts/chart23.xml" ContentType="application/vnd.openxmlformats-officedocument.drawingml.chart+xml"/>
  <Override PartName="/word/theme/themeOverride23.xml" ContentType="application/vnd.openxmlformats-officedocument.themeOverride+xml"/>
  <Override PartName="/word/charts/chart24.xml" ContentType="application/vnd.openxmlformats-officedocument.drawingml.chart+xml"/>
  <Override PartName="/word/theme/themeOverride24.xml" ContentType="application/vnd.openxmlformats-officedocument.themeOverride+xml"/>
  <Override PartName="/word/charts/chart25.xml" ContentType="application/vnd.openxmlformats-officedocument.drawingml.chart+xml"/>
  <Override PartName="/word/theme/themeOverride25.xml" ContentType="application/vnd.openxmlformats-officedocument.themeOverride+xml"/>
  <Override PartName="/word/charts/chart26.xml" ContentType="application/vnd.openxmlformats-officedocument.drawingml.chart+xml"/>
  <Override PartName="/word/theme/themeOverride26.xml" ContentType="application/vnd.openxmlformats-officedocument.themeOverride+xml"/>
  <Override PartName="/word/charts/chart27.xml" ContentType="application/vnd.openxmlformats-officedocument.drawingml.chart+xml"/>
  <Override PartName="/word/theme/themeOverride27.xml" ContentType="application/vnd.openxmlformats-officedocument.themeOverride+xml"/>
  <Override PartName="/word/charts/chart28.xml" ContentType="application/vnd.openxmlformats-officedocument.drawingml.chart+xml"/>
  <Override PartName="/word/theme/themeOverride28.xml" ContentType="application/vnd.openxmlformats-officedocument.themeOverride+xml"/>
  <Override PartName="/word/drawings/drawing1.xml" ContentType="application/vnd.openxmlformats-officedocument.drawingml.chartshapes+xml"/>
  <Override PartName="/word/charts/chart29.xml" ContentType="application/vnd.openxmlformats-officedocument.drawingml.chart+xml"/>
  <Override PartName="/word/theme/themeOverride29.xml" ContentType="application/vnd.openxmlformats-officedocument.themeOverride+xml"/>
  <Override PartName="/word/charts/chart30.xml" ContentType="application/vnd.openxmlformats-officedocument.drawingml.chart+xml"/>
  <Override PartName="/word/theme/themeOverride30.xml" ContentType="application/vnd.openxmlformats-officedocument.themeOverride+xml"/>
  <Override PartName="/word/drawings/drawing2.xml" ContentType="application/vnd.openxmlformats-officedocument.drawingml.chartshapes+xml"/>
  <Override PartName="/word/charts/chart31.xml" ContentType="application/vnd.openxmlformats-officedocument.drawingml.chart+xml"/>
  <Override PartName="/word/theme/themeOverride31.xml" ContentType="application/vnd.openxmlformats-officedocument.themeOverride+xml"/>
  <Override PartName="/word/charts/chart32.xml" ContentType="application/vnd.openxmlformats-officedocument.drawingml.chart+xml"/>
  <Override PartName="/word/theme/themeOverride32.xml" ContentType="application/vnd.openxmlformats-officedocument.themeOverride+xml"/>
  <Override PartName="/word/charts/chart33.xml" ContentType="application/vnd.openxmlformats-officedocument.drawingml.chart+xml"/>
  <Override PartName="/word/theme/themeOverride33.xml" ContentType="application/vnd.openxmlformats-officedocument.themeOverride+xml"/>
  <Override PartName="/word/charts/chart34.xml" ContentType="application/vnd.openxmlformats-officedocument.drawingml.chart+xml"/>
  <Override PartName="/word/theme/themeOverride34.xml" ContentType="application/vnd.openxmlformats-officedocument.themeOverride+xml"/>
  <Override PartName="/word/charts/chart35.xml" ContentType="application/vnd.openxmlformats-officedocument.drawingml.chart+xml"/>
  <Override PartName="/word/theme/themeOverride35.xml" ContentType="application/vnd.openxmlformats-officedocument.themeOverride+xml"/>
  <Override PartName="/word/charts/chart36.xml" ContentType="application/vnd.openxmlformats-officedocument.drawingml.chart+xml"/>
  <Override PartName="/word/theme/themeOverride36.xml" ContentType="application/vnd.openxmlformats-officedocument.themeOverride+xml"/>
  <Override PartName="/word/charts/chart37.xml" ContentType="application/vnd.openxmlformats-officedocument.drawingml.chart+xml"/>
  <Override PartName="/word/theme/themeOverride37.xml" ContentType="application/vnd.openxmlformats-officedocument.themeOverride+xml"/>
  <Override PartName="/word/charts/chart38.xml" ContentType="application/vnd.openxmlformats-officedocument.drawingml.chart+xml"/>
  <Override PartName="/word/theme/themeOverride38.xml" ContentType="application/vnd.openxmlformats-officedocument.themeOverride+xml"/>
  <Override PartName="/word/charts/chart39.xml" ContentType="application/vnd.openxmlformats-officedocument.drawingml.chart+xml"/>
  <Override PartName="/word/theme/themeOverride39.xml" ContentType="application/vnd.openxmlformats-officedocument.themeOverride+xml"/>
  <Override PartName="/word/charts/chart40.xml" ContentType="application/vnd.openxmlformats-officedocument.drawingml.chart+xml"/>
  <Override PartName="/word/theme/themeOverride40.xml" ContentType="application/vnd.openxmlformats-officedocument.themeOverride+xml"/>
  <Override PartName="/word/charts/chart41.xml" ContentType="application/vnd.openxmlformats-officedocument.drawingml.chart+xml"/>
  <Override PartName="/word/theme/themeOverride41.xml" ContentType="application/vnd.openxmlformats-officedocument.themeOverride+xml"/>
  <Override PartName="/word/charts/chart42.xml" ContentType="application/vnd.openxmlformats-officedocument.drawingml.chart+xml"/>
  <Override PartName="/word/theme/themeOverride42.xml" ContentType="application/vnd.openxmlformats-officedocument.themeOverride+xml"/>
  <Override PartName="/word/charts/chart43.xml" ContentType="application/vnd.openxmlformats-officedocument.drawingml.chart+xml"/>
  <Override PartName="/word/theme/themeOverride43.xml" ContentType="application/vnd.openxmlformats-officedocument.themeOverride+xml"/>
  <Override PartName="/word/charts/chart44.xml" ContentType="application/vnd.openxmlformats-officedocument.drawingml.chart+xml"/>
  <Override PartName="/word/theme/themeOverride44.xml" ContentType="application/vnd.openxmlformats-officedocument.themeOverride+xml"/>
  <Override PartName="/word/charts/chart45.xml" ContentType="application/vnd.openxmlformats-officedocument.drawingml.chart+xml"/>
  <Override PartName="/word/theme/themeOverride45.xml" ContentType="application/vnd.openxmlformats-officedocument.themeOverride+xml"/>
  <Override PartName="/word/charts/chart46.xml" ContentType="application/vnd.openxmlformats-officedocument.drawingml.chart+xml"/>
  <Override PartName="/word/theme/themeOverride46.xml" ContentType="application/vnd.openxmlformats-officedocument.themeOverride+xml"/>
  <Override PartName="/word/charts/chart47.xml" ContentType="application/vnd.openxmlformats-officedocument.drawingml.chart+xml"/>
  <Override PartName="/word/theme/themeOverride47.xml" ContentType="application/vnd.openxmlformats-officedocument.themeOverride+xml"/>
  <Override PartName="/word/charts/chart48.xml" ContentType="application/vnd.openxmlformats-officedocument.drawingml.chart+xml"/>
  <Override PartName="/word/theme/themeOverride48.xml" ContentType="application/vnd.openxmlformats-officedocument.themeOverride+xml"/>
  <Override PartName="/word/charts/chart49.xml" ContentType="application/vnd.openxmlformats-officedocument.drawingml.chart+xml"/>
  <Override PartName="/word/theme/themeOverride49.xml" ContentType="application/vnd.openxmlformats-officedocument.themeOverride+xml"/>
  <Override PartName="/word/charts/chart50.xml" ContentType="application/vnd.openxmlformats-officedocument.drawingml.chart+xml"/>
  <Override PartName="/word/theme/themeOverride50.xml" ContentType="application/vnd.openxmlformats-officedocument.themeOverride+xml"/>
  <Override PartName="/word/charts/chart51.xml" ContentType="application/vnd.openxmlformats-officedocument.drawingml.chart+xml"/>
  <Override PartName="/word/theme/themeOverride5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B4" w:rsidRPr="006D176A" w:rsidRDefault="006D176A" w:rsidP="00A721A9">
      <w:pPr>
        <w:spacing w:line="600" w:lineRule="auto"/>
        <w:jc w:val="center"/>
        <w:rPr>
          <w:rFonts w:ascii="Times New Roman" w:hAnsi="Times New Roman" w:cs="Times New Roman"/>
          <w:b/>
          <w:sz w:val="28"/>
          <w:szCs w:val="24"/>
        </w:rPr>
      </w:pPr>
      <w:r w:rsidRPr="006D176A">
        <w:rPr>
          <w:rFonts w:ascii="Times New Roman" w:hAnsi="Times New Roman" w:cs="Times New Roman"/>
          <w:b/>
          <w:sz w:val="28"/>
          <w:szCs w:val="24"/>
        </w:rPr>
        <w:t>1.</w:t>
      </w:r>
      <w:r w:rsidR="00914052" w:rsidRPr="006D176A">
        <w:rPr>
          <w:rFonts w:ascii="Times New Roman" w:hAnsi="Times New Roman" w:cs="Times New Roman"/>
          <w:b/>
          <w:sz w:val="28"/>
          <w:szCs w:val="24"/>
        </w:rPr>
        <w:t>INTRODUCTION</w:t>
      </w:r>
    </w:p>
    <w:p w:rsidR="00D63A67" w:rsidRPr="00B14B93" w:rsidRDefault="0037633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Individuals with cardiovascular disease (CVD) (coronary heart disease (CHD) or cerebrovascular accident) often have a constellation of aetiologically linked cardiometabolic risk factors including dyslipidaemia, high blood pressure and high fasting plasma glucose, which may or may not co-exist with a number of inflammatory markers (e.g. C-reactive protein, uric acid and cytokines) and prothrombotic state (e.g. plasminogen activator inhibitor-1</w:t>
      </w:r>
      <w:r w:rsidR="00B14B93">
        <w:rPr>
          <w:rFonts w:ascii="Times New Roman" w:hAnsi="Times New Roman" w:cs="Times New Roman"/>
          <w:sz w:val="24"/>
          <w:szCs w:val="24"/>
        </w:rPr>
        <w:t>(PAI-1)</w:t>
      </w:r>
      <w:r w:rsidRPr="006D176A">
        <w:rPr>
          <w:rFonts w:ascii="Times New Roman" w:hAnsi="Times New Roman" w:cs="Times New Roman"/>
          <w:sz w:val="24"/>
          <w:szCs w:val="24"/>
        </w:rPr>
        <w:t>)</w:t>
      </w:r>
      <w:r w:rsidR="00D63A67" w:rsidRPr="006D176A">
        <w:rPr>
          <w:rFonts w:ascii="Times New Roman" w:hAnsi="Times New Roman" w:cs="Times New Roman"/>
          <w:sz w:val="24"/>
          <w:szCs w:val="24"/>
        </w:rPr>
        <w:t xml:space="preserve"> </w:t>
      </w:r>
      <w:r w:rsidR="00D63A67" w:rsidRPr="006D176A">
        <w:rPr>
          <w:rFonts w:ascii="Times New Roman" w:hAnsi="Times New Roman" w:cs="Times New Roman"/>
          <w:sz w:val="24"/>
          <w:szCs w:val="24"/>
          <w:vertAlign w:val="superscript"/>
        </w:rPr>
        <w:t>1</w:t>
      </w:r>
      <w:r w:rsidR="00B14B93">
        <w:rPr>
          <w:rFonts w:ascii="Times New Roman" w:hAnsi="Times New Roman" w:cs="Times New Roman"/>
          <w:sz w:val="24"/>
          <w:szCs w:val="24"/>
        </w:rPr>
        <w:t>.</w:t>
      </w:r>
    </w:p>
    <w:p w:rsidR="005B0504" w:rsidRPr="006D176A" w:rsidRDefault="00D63A67"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000000"/>
          <w:sz w:val="24"/>
          <w:szCs w:val="24"/>
          <w:shd w:val="clear" w:color="auto" w:fill="FFFFFF"/>
        </w:rPr>
        <w:t xml:space="preserve"> </w:t>
      </w:r>
      <w:r w:rsidR="0037633F" w:rsidRPr="006D176A">
        <w:rPr>
          <w:rFonts w:ascii="Times New Roman" w:hAnsi="Times New Roman" w:cs="Times New Roman"/>
          <w:color w:val="000000"/>
          <w:sz w:val="24"/>
          <w:szCs w:val="24"/>
          <w:shd w:val="clear" w:color="auto" w:fill="FFFFFF"/>
        </w:rPr>
        <w:t>Metabolic syndrome is this</w:t>
      </w:r>
      <w:r w:rsidR="007E22C3" w:rsidRPr="006D176A">
        <w:rPr>
          <w:rFonts w:ascii="Times New Roman" w:hAnsi="Times New Roman" w:cs="Times New Roman"/>
          <w:color w:val="000000"/>
          <w:sz w:val="24"/>
          <w:szCs w:val="24"/>
          <w:shd w:val="clear" w:color="auto" w:fill="FFFFFF"/>
        </w:rPr>
        <w:t xml:space="preserve"> multiplex risk factor that arises from</w:t>
      </w:r>
      <w:r w:rsidR="00CD4D93" w:rsidRPr="006D176A">
        <w:rPr>
          <w:rFonts w:ascii="Times New Roman" w:hAnsi="Times New Roman" w:cs="Times New Roman"/>
          <w:color w:val="000000"/>
          <w:sz w:val="24"/>
          <w:szCs w:val="24"/>
          <w:shd w:val="clear" w:color="auto" w:fill="FFFFFF"/>
        </w:rPr>
        <w:t xml:space="preserve"> insulin resistance along with</w:t>
      </w:r>
      <w:r w:rsidR="007E22C3" w:rsidRPr="006D176A">
        <w:rPr>
          <w:rFonts w:ascii="Times New Roman" w:hAnsi="Times New Roman" w:cs="Times New Roman"/>
          <w:color w:val="000000"/>
          <w:sz w:val="24"/>
          <w:szCs w:val="24"/>
          <w:shd w:val="clear" w:color="auto" w:fill="FFFFFF"/>
        </w:rPr>
        <w:t xml:space="preserve"> abnormal adipose deposition and function</w:t>
      </w:r>
      <w:r w:rsidR="006A20E2" w:rsidRPr="006D176A">
        <w:rPr>
          <w:rFonts w:ascii="Times New Roman" w:hAnsi="Times New Roman" w:cs="Times New Roman"/>
          <w:color w:val="000000"/>
          <w:sz w:val="24"/>
          <w:szCs w:val="24"/>
          <w:shd w:val="clear" w:color="auto" w:fill="FFFFFF"/>
        </w:rPr>
        <w:t>.</w:t>
      </w:r>
      <w:r w:rsidR="006A20E2" w:rsidRPr="006D176A">
        <w:rPr>
          <w:rFonts w:ascii="Times New Roman" w:hAnsi="Times New Roman" w:cs="Times New Roman"/>
          <w:color w:val="191919"/>
          <w:sz w:val="24"/>
          <w:szCs w:val="24"/>
          <w:shd w:val="clear" w:color="auto" w:fill="FFFFFF"/>
        </w:rPr>
        <w:t xml:space="preserve"> Adult Treatment Panel lll (ATP III) identified</w:t>
      </w:r>
      <w:r w:rsidR="00CD4D93" w:rsidRPr="006D176A">
        <w:rPr>
          <w:rFonts w:ascii="Times New Roman" w:hAnsi="Times New Roman" w:cs="Times New Roman"/>
          <w:color w:val="191919"/>
          <w:sz w:val="24"/>
          <w:szCs w:val="24"/>
          <w:shd w:val="clear" w:color="auto" w:fill="FFFFFF"/>
        </w:rPr>
        <w:t xml:space="preserve"> that,</w:t>
      </w:r>
      <w:r w:rsidR="006A20E2" w:rsidRPr="006D176A">
        <w:rPr>
          <w:rFonts w:ascii="Times New Roman" w:hAnsi="Times New Roman" w:cs="Times New Roman"/>
          <w:color w:val="191919"/>
          <w:sz w:val="24"/>
          <w:szCs w:val="24"/>
          <w:shd w:val="clear" w:color="auto" w:fill="FFFFFF"/>
        </w:rPr>
        <w:t xml:space="preserve"> </w:t>
      </w:r>
      <w:r w:rsidR="00CD4D93" w:rsidRPr="006D176A">
        <w:rPr>
          <w:rFonts w:ascii="Times New Roman" w:hAnsi="Times New Roman" w:cs="Times New Roman"/>
          <w:color w:val="191919"/>
          <w:sz w:val="24"/>
          <w:szCs w:val="24"/>
          <w:shd w:val="clear" w:color="auto" w:fill="FFFFFF"/>
        </w:rPr>
        <w:t>cardio vascular disease (CVD) is</w:t>
      </w:r>
      <w:r w:rsidR="006A20E2" w:rsidRPr="006D176A">
        <w:rPr>
          <w:rFonts w:ascii="Times New Roman" w:hAnsi="Times New Roman" w:cs="Times New Roman"/>
          <w:color w:val="191919"/>
          <w:sz w:val="24"/>
          <w:szCs w:val="24"/>
          <w:shd w:val="clear" w:color="auto" w:fill="FFFFFF"/>
        </w:rPr>
        <w:t xml:space="preserve"> the primary clinical ou</w:t>
      </w:r>
      <w:r w:rsidR="0037633F" w:rsidRPr="006D176A">
        <w:rPr>
          <w:rFonts w:ascii="Times New Roman" w:hAnsi="Times New Roman" w:cs="Times New Roman"/>
          <w:color w:val="191919"/>
          <w:sz w:val="24"/>
          <w:szCs w:val="24"/>
          <w:shd w:val="clear" w:color="auto" w:fill="FFFFFF"/>
        </w:rPr>
        <w:t>tcome of the metabolic syndrome and</w:t>
      </w:r>
      <w:r w:rsidR="006A20E2" w:rsidRPr="006D176A">
        <w:rPr>
          <w:rFonts w:ascii="Times New Roman" w:hAnsi="Times New Roman" w:cs="Times New Roman"/>
          <w:color w:val="191919"/>
          <w:sz w:val="24"/>
          <w:szCs w:val="24"/>
          <w:shd w:val="clear" w:color="auto" w:fill="FFFFFF"/>
        </w:rPr>
        <w:t xml:space="preserve"> most people with this syndrom</w:t>
      </w:r>
      <w:r w:rsidR="00CD4D93" w:rsidRPr="006D176A">
        <w:rPr>
          <w:rFonts w:ascii="Times New Roman" w:hAnsi="Times New Roman" w:cs="Times New Roman"/>
          <w:color w:val="191919"/>
          <w:sz w:val="24"/>
          <w:szCs w:val="24"/>
          <w:shd w:val="clear" w:color="auto" w:fill="FFFFFF"/>
        </w:rPr>
        <w:t>e have insulin resistance, thereby</w:t>
      </w:r>
      <w:r w:rsidR="006A20E2" w:rsidRPr="006D176A">
        <w:rPr>
          <w:rFonts w:ascii="Times New Roman" w:hAnsi="Times New Roman" w:cs="Times New Roman"/>
          <w:color w:val="191919"/>
          <w:sz w:val="24"/>
          <w:szCs w:val="24"/>
          <w:shd w:val="clear" w:color="auto" w:fill="FFFFFF"/>
        </w:rPr>
        <w:t xml:space="preserve"> confers increased risk for type 2 diabetes. When diabetes becomes clinically apparent, CVD risk rises sharply.</w:t>
      </w:r>
      <w:r w:rsidR="005B0504" w:rsidRPr="006D176A">
        <w:rPr>
          <w:rFonts w:ascii="Times New Roman" w:hAnsi="Times New Roman" w:cs="Times New Roman"/>
          <w:color w:val="191919"/>
          <w:sz w:val="24"/>
          <w:szCs w:val="24"/>
          <w:shd w:val="clear" w:color="auto" w:fill="FFFFFF"/>
        </w:rPr>
        <w:t xml:space="preserve"> The major features of the metabolic syndrome include central obesity, hypertriglyceridemia,</w:t>
      </w:r>
      <w:r w:rsidR="00CD4D93" w:rsidRPr="006D176A">
        <w:rPr>
          <w:rFonts w:ascii="Times New Roman" w:hAnsi="Times New Roman" w:cs="Times New Roman"/>
          <w:color w:val="191919"/>
          <w:sz w:val="24"/>
          <w:szCs w:val="24"/>
          <w:shd w:val="clear" w:color="auto" w:fill="FFFFFF"/>
        </w:rPr>
        <w:t xml:space="preserve"> </w:t>
      </w:r>
      <w:r w:rsidR="005B0504" w:rsidRPr="006D176A">
        <w:rPr>
          <w:rFonts w:ascii="Times New Roman" w:hAnsi="Times New Roman" w:cs="Times New Roman"/>
          <w:color w:val="191919"/>
          <w:sz w:val="24"/>
          <w:szCs w:val="24"/>
          <w:shd w:val="clear" w:color="auto" w:fill="FFFFFF"/>
        </w:rPr>
        <w:t xml:space="preserve">low high-density lipoprotein (HDL) cholesterol, </w:t>
      </w:r>
      <w:r w:rsidR="00BB22D3" w:rsidRPr="006D176A">
        <w:rPr>
          <w:rFonts w:ascii="Times New Roman" w:hAnsi="Times New Roman" w:cs="Times New Roman"/>
          <w:color w:val="191919"/>
          <w:sz w:val="24"/>
          <w:szCs w:val="24"/>
          <w:shd w:val="clear" w:color="auto" w:fill="FFFFFF"/>
        </w:rPr>
        <w:t>hyperglycemia, and hypertension.</w:t>
      </w:r>
    </w:p>
    <w:p w:rsidR="008230A3" w:rsidRPr="006D176A" w:rsidRDefault="005B0504" w:rsidP="00A721A9">
      <w:pPr>
        <w:spacing w:line="600" w:lineRule="auto"/>
        <w:jc w:val="both"/>
        <w:rPr>
          <w:rFonts w:ascii="Times New Roman" w:hAnsi="Times New Roman" w:cs="Times New Roman"/>
          <w:color w:val="191919"/>
          <w:sz w:val="24"/>
          <w:szCs w:val="24"/>
          <w:shd w:val="clear" w:color="auto" w:fill="FFFFFF"/>
          <w:vertAlign w:val="superscript"/>
        </w:rPr>
      </w:pPr>
      <w:r w:rsidRPr="006D176A">
        <w:rPr>
          <w:rFonts w:ascii="Times New Roman" w:hAnsi="Times New Roman" w:cs="Times New Roman"/>
          <w:color w:val="191919"/>
          <w:sz w:val="24"/>
          <w:szCs w:val="24"/>
          <w:shd w:val="clear" w:color="auto" w:fill="FFFFFF"/>
        </w:rPr>
        <w:t>The rise in the prevalence of obesity in India is threatening to increase the burden of</w:t>
      </w:r>
      <w:r w:rsidR="006D176A">
        <w:rPr>
          <w:rFonts w:ascii="Times New Roman" w:hAnsi="Times New Roman" w:cs="Times New Roman"/>
          <w:color w:val="191919"/>
          <w:sz w:val="24"/>
          <w:szCs w:val="24"/>
          <w:shd w:val="clear" w:color="auto" w:fill="FFFFFF"/>
        </w:rPr>
        <w:t xml:space="preserve"> </w:t>
      </w:r>
      <w:r w:rsidRPr="006D176A">
        <w:rPr>
          <w:rFonts w:ascii="Times New Roman" w:hAnsi="Times New Roman" w:cs="Times New Roman"/>
          <w:color w:val="191919"/>
          <w:sz w:val="24"/>
          <w:szCs w:val="24"/>
          <w:shd w:val="clear" w:color="auto" w:fill="FFFFFF"/>
        </w:rPr>
        <w:t xml:space="preserve">atherosclerotic cardiovascular </w:t>
      </w:r>
      <w:r w:rsidR="00CD4D93" w:rsidRPr="006D176A">
        <w:rPr>
          <w:rFonts w:ascii="Times New Roman" w:hAnsi="Times New Roman" w:cs="Times New Roman"/>
          <w:color w:val="191919"/>
          <w:sz w:val="24"/>
          <w:szCs w:val="24"/>
          <w:shd w:val="clear" w:color="auto" w:fill="FFFFFF"/>
        </w:rPr>
        <w:t>disease</w:t>
      </w:r>
      <w:r w:rsidRPr="006D176A">
        <w:rPr>
          <w:rFonts w:ascii="Times New Roman" w:hAnsi="Times New Roman" w:cs="Times New Roman"/>
          <w:color w:val="191919"/>
          <w:sz w:val="24"/>
          <w:szCs w:val="24"/>
          <w:shd w:val="clear" w:color="auto" w:fill="FFFFFF"/>
        </w:rPr>
        <w:t>(ASCVD). The prevalence of metabolic syndrome worldwide</w:t>
      </w:r>
      <w:r w:rsidR="006D176A">
        <w:rPr>
          <w:rFonts w:ascii="Times New Roman" w:hAnsi="Times New Roman" w:cs="Times New Roman"/>
          <w:color w:val="191919"/>
          <w:sz w:val="24"/>
          <w:szCs w:val="24"/>
          <w:shd w:val="clear" w:color="auto" w:fill="FFFFFF"/>
        </w:rPr>
        <w:t xml:space="preserve"> </w:t>
      </w:r>
      <w:r w:rsidRPr="006D176A">
        <w:rPr>
          <w:rFonts w:ascii="Times New Roman" w:hAnsi="Times New Roman" w:cs="Times New Roman"/>
          <w:color w:val="191919"/>
          <w:sz w:val="24"/>
          <w:szCs w:val="24"/>
          <w:shd w:val="clear" w:color="auto" w:fill="FFFFFF"/>
        </w:rPr>
        <w:t xml:space="preserve">is 20-25% (IDF) </w:t>
      </w:r>
      <w:r w:rsidR="00AA7B3E" w:rsidRPr="006D176A">
        <w:rPr>
          <w:rFonts w:ascii="Times New Roman" w:hAnsi="Times New Roman" w:cs="Times New Roman"/>
          <w:color w:val="191919"/>
          <w:sz w:val="24"/>
          <w:szCs w:val="24"/>
          <w:shd w:val="clear" w:color="auto" w:fill="FFFFFF"/>
          <w:vertAlign w:val="superscript"/>
        </w:rPr>
        <w:t>2, 3</w:t>
      </w:r>
      <w:r w:rsidRPr="006D176A">
        <w:rPr>
          <w:rFonts w:ascii="Times New Roman" w:hAnsi="Times New Roman" w:cs="Times New Roman"/>
          <w:color w:val="191919"/>
          <w:sz w:val="24"/>
          <w:szCs w:val="24"/>
          <w:shd w:val="clear" w:color="auto" w:fill="FFFFFF"/>
        </w:rPr>
        <w:t>.</w:t>
      </w:r>
      <w:r w:rsidR="006A20E2" w:rsidRPr="006D176A">
        <w:rPr>
          <w:rFonts w:ascii="Times New Roman" w:hAnsi="Times New Roman" w:cs="Times New Roman"/>
          <w:color w:val="191919"/>
          <w:sz w:val="24"/>
          <w:szCs w:val="24"/>
          <w:shd w:val="clear" w:color="auto" w:fill="FFFFFF"/>
        </w:rPr>
        <w:t xml:space="preserve"> Beyond CVD and type 2 diabetes, individuals with metabolic syndrome seemingly are susceptible to other conditions, notably polycystic ovary syndrome, </w:t>
      </w:r>
      <w:r w:rsidR="006A20E2" w:rsidRPr="006D176A">
        <w:rPr>
          <w:rFonts w:ascii="Times New Roman" w:hAnsi="Times New Roman" w:cs="Times New Roman"/>
          <w:color w:val="191919"/>
          <w:sz w:val="24"/>
          <w:szCs w:val="24"/>
          <w:shd w:val="clear" w:color="auto" w:fill="FFFFFF"/>
        </w:rPr>
        <w:lastRenderedPageBreak/>
        <w:t xml:space="preserve">fatty liver, cholesterol gallstones, asthma, sleep disturbances, and </w:t>
      </w:r>
      <w:r w:rsidR="00CD4D93" w:rsidRPr="006D176A">
        <w:rPr>
          <w:rFonts w:ascii="Times New Roman" w:hAnsi="Times New Roman" w:cs="Times New Roman"/>
          <w:color w:val="191919"/>
          <w:sz w:val="24"/>
          <w:szCs w:val="24"/>
          <w:shd w:val="clear" w:color="auto" w:fill="FFFFFF"/>
        </w:rPr>
        <w:t xml:space="preserve">also to </w:t>
      </w:r>
      <w:r w:rsidR="006A20E2" w:rsidRPr="006D176A">
        <w:rPr>
          <w:rFonts w:ascii="Times New Roman" w:hAnsi="Times New Roman" w:cs="Times New Roman"/>
          <w:color w:val="191919"/>
          <w:sz w:val="24"/>
          <w:szCs w:val="24"/>
          <w:shd w:val="clear" w:color="auto" w:fill="FFFFFF"/>
        </w:rPr>
        <w:t>some forms of cancer</w:t>
      </w:r>
      <w:r w:rsidR="0037633F" w:rsidRPr="006D176A">
        <w:rPr>
          <w:rFonts w:ascii="Times New Roman" w:hAnsi="Times New Roman" w:cs="Times New Roman"/>
          <w:color w:val="191919"/>
          <w:sz w:val="24"/>
          <w:szCs w:val="24"/>
          <w:shd w:val="clear" w:color="auto" w:fill="FFFFFF"/>
        </w:rPr>
        <w:t>.</w:t>
      </w:r>
      <w:r w:rsidR="008230A3" w:rsidRPr="006D176A">
        <w:rPr>
          <w:rFonts w:ascii="Times New Roman" w:hAnsi="Times New Roman" w:cs="Times New Roman"/>
          <w:color w:val="191919"/>
          <w:sz w:val="24"/>
          <w:szCs w:val="24"/>
          <w:shd w:val="clear" w:color="auto" w:fill="FFFFFF"/>
          <w:vertAlign w:val="superscript"/>
        </w:rPr>
        <w:t>4</w:t>
      </w:r>
    </w:p>
    <w:p w:rsidR="005B0504" w:rsidRPr="006D176A" w:rsidRDefault="0037633F"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 xml:space="preserve"> </w:t>
      </w:r>
      <w:r w:rsidR="00BB550D" w:rsidRPr="006D176A">
        <w:rPr>
          <w:rFonts w:ascii="Times New Roman" w:hAnsi="Times New Roman" w:cs="Times New Roman"/>
          <w:color w:val="191919"/>
          <w:sz w:val="24"/>
          <w:szCs w:val="24"/>
          <w:shd w:val="clear" w:color="auto" w:fill="FFFFFF"/>
        </w:rPr>
        <w:t>Reaven</w:t>
      </w:r>
      <w:r w:rsidRPr="006D176A">
        <w:rPr>
          <w:rFonts w:ascii="Times New Roman" w:hAnsi="Times New Roman" w:cs="Times New Roman"/>
          <w:color w:val="191919"/>
          <w:sz w:val="24"/>
          <w:szCs w:val="24"/>
          <w:shd w:val="clear" w:color="auto" w:fill="FFFFFF"/>
        </w:rPr>
        <w:t xml:space="preserve"> was the first to draw attention to this clustering of metabolic abnormalities, particularly in individuals</w:t>
      </w:r>
      <w:r w:rsidR="00CD4D93" w:rsidRPr="006D176A">
        <w:rPr>
          <w:rFonts w:ascii="Times New Roman" w:hAnsi="Times New Roman" w:cs="Times New Roman"/>
          <w:color w:val="191919"/>
          <w:sz w:val="24"/>
          <w:szCs w:val="24"/>
          <w:shd w:val="clear" w:color="auto" w:fill="FFFFFF"/>
        </w:rPr>
        <w:t xml:space="preserve"> who are overweight</w:t>
      </w:r>
      <w:r w:rsidRPr="006D176A">
        <w:rPr>
          <w:rFonts w:ascii="Times New Roman" w:hAnsi="Times New Roman" w:cs="Times New Roman"/>
          <w:color w:val="191919"/>
          <w:sz w:val="24"/>
          <w:szCs w:val="24"/>
          <w:shd w:val="clear" w:color="auto" w:fill="FFFFFF"/>
        </w:rPr>
        <w:t>. He coined the name ‘syndrome X’</w:t>
      </w:r>
      <w:r w:rsidR="008230A3" w:rsidRPr="006D176A">
        <w:rPr>
          <w:rFonts w:ascii="Times New Roman" w:hAnsi="Times New Roman" w:cs="Times New Roman"/>
          <w:color w:val="191919"/>
          <w:sz w:val="24"/>
          <w:szCs w:val="24"/>
          <w:shd w:val="clear" w:color="auto" w:fill="FFFFFF"/>
        </w:rPr>
        <w:t xml:space="preserve"> </w:t>
      </w:r>
      <w:r w:rsidR="008230A3" w:rsidRPr="006D176A">
        <w:rPr>
          <w:rFonts w:ascii="Times New Roman" w:hAnsi="Times New Roman" w:cs="Times New Roman"/>
          <w:color w:val="191919"/>
          <w:sz w:val="24"/>
          <w:szCs w:val="24"/>
          <w:shd w:val="clear" w:color="auto" w:fill="FFFFFF"/>
          <w:vertAlign w:val="superscript"/>
        </w:rPr>
        <w:t>5</w:t>
      </w:r>
      <w:r w:rsidRPr="006D176A">
        <w:rPr>
          <w:rFonts w:ascii="Times New Roman" w:hAnsi="Times New Roman" w:cs="Times New Roman"/>
          <w:color w:val="191919"/>
          <w:sz w:val="24"/>
          <w:szCs w:val="24"/>
          <w:shd w:val="clear" w:color="auto" w:fill="FFFFFF"/>
        </w:rPr>
        <w:t>. Other terms have been used previously in the literature such as insulin resistance syndrome and plurimetabolic syndrome, but ‘metabolic syndrome’ has gained international acceptance and International Classification of Diseases coding (E88.81) in the past two decades. While there has been semantic debate as to whether it should be considered a ‘syndrome’, metabolic syndrome has shown extensively to promote the development of diabetes and CVD</w:t>
      </w:r>
      <w:r w:rsidR="008230A3" w:rsidRPr="006D176A">
        <w:rPr>
          <w:rFonts w:ascii="Times New Roman" w:hAnsi="Times New Roman" w:cs="Times New Roman"/>
          <w:color w:val="191919"/>
          <w:sz w:val="24"/>
          <w:szCs w:val="24"/>
          <w:shd w:val="clear" w:color="auto" w:fill="FFFFFF"/>
          <w:vertAlign w:val="superscript"/>
        </w:rPr>
        <w:t>6,7</w:t>
      </w:r>
      <w:r w:rsidR="007D2E35" w:rsidRPr="006D176A">
        <w:rPr>
          <w:rFonts w:ascii="Times New Roman" w:hAnsi="Times New Roman" w:cs="Times New Roman"/>
          <w:color w:val="191919"/>
          <w:sz w:val="24"/>
          <w:szCs w:val="24"/>
          <w:shd w:val="clear" w:color="auto" w:fill="FFFFFF"/>
        </w:rPr>
        <w:t>,</w:t>
      </w:r>
      <w:r w:rsidR="008230A3" w:rsidRPr="006D176A">
        <w:rPr>
          <w:rFonts w:ascii="Times New Roman" w:hAnsi="Times New Roman" w:cs="Times New Roman"/>
          <w:color w:val="191919"/>
          <w:sz w:val="24"/>
          <w:szCs w:val="24"/>
          <w:shd w:val="clear" w:color="auto" w:fill="FFFFFF"/>
        </w:rPr>
        <w:t xml:space="preserve"> </w:t>
      </w:r>
      <w:r w:rsidRPr="006D176A">
        <w:rPr>
          <w:rFonts w:ascii="Times New Roman" w:hAnsi="Times New Roman" w:cs="Times New Roman"/>
          <w:color w:val="191919"/>
          <w:sz w:val="24"/>
          <w:szCs w:val="24"/>
          <w:shd w:val="clear" w:color="auto" w:fill="FFFFFF"/>
        </w:rPr>
        <w:t xml:space="preserve"> and CVD related mortality</w:t>
      </w:r>
      <w:r w:rsidR="0071103F">
        <w:rPr>
          <w:rFonts w:ascii="Times New Roman" w:hAnsi="Times New Roman" w:cs="Times New Roman"/>
          <w:color w:val="191919"/>
          <w:sz w:val="24"/>
          <w:szCs w:val="24"/>
          <w:shd w:val="clear" w:color="auto" w:fill="FFFFFF"/>
          <w:vertAlign w:val="superscript"/>
        </w:rPr>
        <w:t>8-10</w:t>
      </w:r>
      <w:r w:rsidR="0071103F">
        <w:rPr>
          <w:rFonts w:ascii="Times New Roman" w:hAnsi="Times New Roman" w:cs="Times New Roman"/>
          <w:color w:val="191919"/>
          <w:sz w:val="24"/>
          <w:szCs w:val="24"/>
          <w:shd w:val="clear" w:color="auto" w:fill="FFFFFF"/>
        </w:rPr>
        <w:t>.</w:t>
      </w:r>
      <w:r w:rsidRPr="006D176A">
        <w:rPr>
          <w:rFonts w:ascii="Times New Roman" w:hAnsi="Times New Roman" w:cs="Times New Roman"/>
          <w:color w:val="191919"/>
          <w:sz w:val="24"/>
          <w:szCs w:val="24"/>
          <w:shd w:val="clear" w:color="auto" w:fill="FFFFFF"/>
        </w:rPr>
        <w:t xml:space="preserve"> </w:t>
      </w:r>
    </w:p>
    <w:p w:rsidR="005B0504" w:rsidRPr="006D176A" w:rsidRDefault="005B0504"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The criteria for the metabolic syndrome have evolved since the original definition by the</w:t>
      </w:r>
    </w:p>
    <w:p w:rsidR="005B0504" w:rsidRPr="006D176A" w:rsidRDefault="005B0504"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 xml:space="preserve">World Health Organization in 1998, reflecting </w:t>
      </w:r>
      <w:r w:rsidR="00CD4D93" w:rsidRPr="006D176A">
        <w:rPr>
          <w:rFonts w:ascii="Times New Roman" w:hAnsi="Times New Roman" w:cs="Times New Roman"/>
          <w:color w:val="191919"/>
          <w:sz w:val="24"/>
          <w:szCs w:val="24"/>
          <w:shd w:val="clear" w:color="auto" w:fill="FFFFFF"/>
        </w:rPr>
        <w:t xml:space="preserve">the </w:t>
      </w:r>
      <w:r w:rsidRPr="006D176A">
        <w:rPr>
          <w:rFonts w:ascii="Times New Roman" w:hAnsi="Times New Roman" w:cs="Times New Roman"/>
          <w:color w:val="191919"/>
          <w:sz w:val="24"/>
          <w:szCs w:val="24"/>
          <w:shd w:val="clear" w:color="auto" w:fill="FFFFFF"/>
        </w:rPr>
        <w:t xml:space="preserve">growing clinical evidence and analysis by </w:t>
      </w:r>
      <w:r w:rsidR="00CD4D93" w:rsidRPr="006D176A">
        <w:rPr>
          <w:rFonts w:ascii="Times New Roman" w:hAnsi="Times New Roman" w:cs="Times New Roman"/>
          <w:color w:val="191919"/>
          <w:sz w:val="24"/>
          <w:szCs w:val="24"/>
          <w:shd w:val="clear" w:color="auto" w:fill="FFFFFF"/>
        </w:rPr>
        <w:t xml:space="preserve">many </w:t>
      </w:r>
      <w:r w:rsidRPr="006D176A">
        <w:rPr>
          <w:rFonts w:ascii="Times New Roman" w:hAnsi="Times New Roman" w:cs="Times New Roman"/>
          <w:color w:val="191919"/>
          <w:sz w:val="24"/>
          <w:szCs w:val="24"/>
          <w:shd w:val="clear" w:color="auto" w:fill="FFFFFF"/>
        </w:rPr>
        <w:t>consensus conferences and professional organizations.</w:t>
      </w:r>
    </w:p>
    <w:p w:rsidR="008230A3" w:rsidRPr="0071103F" w:rsidRDefault="0037633F"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The appearance of the metaboli</w:t>
      </w:r>
      <w:r w:rsidR="00652983" w:rsidRPr="006D176A">
        <w:rPr>
          <w:rFonts w:ascii="Times New Roman" w:hAnsi="Times New Roman" w:cs="Times New Roman"/>
          <w:color w:val="191919"/>
          <w:sz w:val="24"/>
          <w:szCs w:val="24"/>
          <w:shd w:val="clear" w:color="auto" w:fill="FFFFFF"/>
        </w:rPr>
        <w:t>c syndrome phenotype is indicated</w:t>
      </w:r>
      <w:r w:rsidRPr="006D176A">
        <w:rPr>
          <w:rFonts w:ascii="Times New Roman" w:hAnsi="Times New Roman" w:cs="Times New Roman"/>
          <w:color w:val="191919"/>
          <w:sz w:val="24"/>
          <w:szCs w:val="24"/>
          <w:shd w:val="clear" w:color="auto" w:fill="FFFFFF"/>
        </w:rPr>
        <w:t xml:space="preserve"> by weight gain, pa</w:t>
      </w:r>
      <w:r w:rsidR="00652983" w:rsidRPr="006D176A">
        <w:rPr>
          <w:rFonts w:ascii="Times New Roman" w:hAnsi="Times New Roman" w:cs="Times New Roman"/>
          <w:color w:val="191919"/>
          <w:sz w:val="24"/>
          <w:szCs w:val="24"/>
          <w:shd w:val="clear" w:color="auto" w:fill="FFFFFF"/>
        </w:rPr>
        <w:t xml:space="preserve">rticularly an increase in intra </w:t>
      </w:r>
      <w:r w:rsidRPr="006D176A">
        <w:rPr>
          <w:rFonts w:ascii="Times New Roman" w:hAnsi="Times New Roman" w:cs="Times New Roman"/>
          <w:color w:val="191919"/>
          <w:sz w:val="24"/>
          <w:szCs w:val="24"/>
          <w:shd w:val="clear" w:color="auto" w:fill="FFFFFF"/>
        </w:rPr>
        <w:t>abdominal fa</w:t>
      </w:r>
      <w:r w:rsidR="00652983" w:rsidRPr="006D176A">
        <w:rPr>
          <w:rFonts w:ascii="Times New Roman" w:hAnsi="Times New Roman" w:cs="Times New Roman"/>
          <w:color w:val="191919"/>
          <w:sz w:val="24"/>
          <w:szCs w:val="24"/>
          <w:shd w:val="clear" w:color="auto" w:fill="FFFFFF"/>
        </w:rPr>
        <w:t>t accumulation which is evident</w:t>
      </w:r>
      <w:r w:rsidRPr="006D176A">
        <w:rPr>
          <w:rFonts w:ascii="Times New Roman" w:hAnsi="Times New Roman" w:cs="Times New Roman"/>
          <w:color w:val="191919"/>
          <w:sz w:val="24"/>
          <w:szCs w:val="24"/>
          <w:shd w:val="clear" w:color="auto" w:fill="FFFFFF"/>
        </w:rPr>
        <w:t xml:space="preserve"> by a large waist circumference. </w:t>
      </w:r>
      <w:r w:rsidR="00652983" w:rsidRPr="006D176A">
        <w:rPr>
          <w:rFonts w:ascii="Times New Roman" w:hAnsi="Times New Roman" w:cs="Times New Roman"/>
          <w:color w:val="191919"/>
          <w:sz w:val="24"/>
          <w:szCs w:val="24"/>
          <w:shd w:val="clear" w:color="auto" w:fill="FFFFFF"/>
        </w:rPr>
        <w:t>It is estimated that about</w:t>
      </w:r>
      <w:r w:rsidR="00A46658" w:rsidRPr="006D176A">
        <w:rPr>
          <w:rFonts w:ascii="Times New Roman" w:hAnsi="Times New Roman" w:cs="Times New Roman"/>
          <w:color w:val="191919"/>
          <w:sz w:val="24"/>
          <w:szCs w:val="24"/>
          <w:shd w:val="clear" w:color="auto" w:fill="FFFFFF"/>
        </w:rPr>
        <w:t xml:space="preserve"> a quarter of the world’s adult population have metabolic Syndrome </w:t>
      </w:r>
      <w:r w:rsidR="0071103F">
        <w:rPr>
          <w:rFonts w:ascii="Times New Roman" w:hAnsi="Times New Roman" w:cs="Times New Roman"/>
          <w:color w:val="191919"/>
          <w:sz w:val="24"/>
          <w:szCs w:val="24"/>
          <w:shd w:val="clear" w:color="auto" w:fill="FFFFFF"/>
          <w:vertAlign w:val="superscript"/>
        </w:rPr>
        <w:t>11</w:t>
      </w:r>
      <w:r w:rsidR="0071103F">
        <w:rPr>
          <w:rFonts w:ascii="Times New Roman" w:hAnsi="Times New Roman" w:cs="Times New Roman"/>
          <w:color w:val="191919"/>
          <w:sz w:val="24"/>
          <w:szCs w:val="24"/>
          <w:shd w:val="clear" w:color="auto" w:fill="FFFFFF"/>
        </w:rPr>
        <w:t>.</w:t>
      </w:r>
    </w:p>
    <w:p w:rsidR="007E22C3" w:rsidRPr="0071103F" w:rsidRDefault="00652983"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Those with this syndrome</w:t>
      </w:r>
      <w:r w:rsidR="00A46658" w:rsidRPr="006D176A">
        <w:rPr>
          <w:rFonts w:ascii="Times New Roman" w:hAnsi="Times New Roman" w:cs="Times New Roman"/>
          <w:color w:val="191919"/>
          <w:sz w:val="24"/>
          <w:szCs w:val="24"/>
          <w:shd w:val="clear" w:color="auto" w:fill="FFFFFF"/>
        </w:rPr>
        <w:t xml:space="preserve"> are twice as likely to die from and three times as likely to have a heart attack or stroke compared with people without the syndrome</w:t>
      </w:r>
      <w:r w:rsidR="0071103F">
        <w:rPr>
          <w:rFonts w:ascii="Times New Roman" w:hAnsi="Times New Roman" w:cs="Times New Roman"/>
          <w:color w:val="191919"/>
          <w:sz w:val="24"/>
          <w:szCs w:val="24"/>
          <w:shd w:val="clear" w:color="auto" w:fill="FFFFFF"/>
          <w:vertAlign w:val="superscript"/>
        </w:rPr>
        <w:t>8</w:t>
      </w:r>
      <w:r w:rsidR="00A46658" w:rsidRPr="006D176A">
        <w:rPr>
          <w:rFonts w:ascii="Times New Roman" w:hAnsi="Times New Roman" w:cs="Times New Roman"/>
          <w:color w:val="191919"/>
          <w:sz w:val="24"/>
          <w:szCs w:val="24"/>
          <w:shd w:val="clear" w:color="auto" w:fill="FFFFFF"/>
        </w:rPr>
        <w:t>. In addition</w:t>
      </w:r>
      <w:r w:rsidRPr="006D176A">
        <w:rPr>
          <w:rFonts w:ascii="Times New Roman" w:hAnsi="Times New Roman" w:cs="Times New Roman"/>
          <w:color w:val="191919"/>
          <w:sz w:val="24"/>
          <w:szCs w:val="24"/>
          <w:shd w:val="clear" w:color="auto" w:fill="FFFFFF"/>
        </w:rPr>
        <w:t xml:space="preserve"> to this</w:t>
      </w:r>
      <w:r w:rsidR="00A46658" w:rsidRPr="006D176A">
        <w:rPr>
          <w:rFonts w:ascii="Times New Roman" w:hAnsi="Times New Roman" w:cs="Times New Roman"/>
          <w:color w:val="191919"/>
          <w:sz w:val="24"/>
          <w:szCs w:val="24"/>
          <w:shd w:val="clear" w:color="auto" w:fill="FFFFFF"/>
        </w:rPr>
        <w:t xml:space="preserve">, people </w:t>
      </w:r>
      <w:r w:rsidR="00A46658" w:rsidRPr="006D176A">
        <w:rPr>
          <w:rFonts w:ascii="Times New Roman" w:hAnsi="Times New Roman" w:cs="Times New Roman"/>
          <w:color w:val="191919"/>
          <w:sz w:val="24"/>
          <w:szCs w:val="24"/>
          <w:shd w:val="clear" w:color="auto" w:fill="FFFFFF"/>
        </w:rPr>
        <w:lastRenderedPageBreak/>
        <w:t>with metabolic syndrome have a fivefold greater risk of developing type 2 diabetes</w:t>
      </w:r>
      <w:r w:rsidR="0071103F">
        <w:rPr>
          <w:rFonts w:ascii="Times New Roman" w:hAnsi="Times New Roman" w:cs="Times New Roman"/>
          <w:color w:val="191919"/>
          <w:sz w:val="24"/>
          <w:szCs w:val="24"/>
          <w:shd w:val="clear" w:color="auto" w:fill="FFFFFF"/>
          <w:vertAlign w:val="superscript"/>
        </w:rPr>
        <w:t>12</w:t>
      </w:r>
      <w:r w:rsidR="008230A3" w:rsidRPr="006D176A">
        <w:rPr>
          <w:rFonts w:ascii="Times New Roman" w:hAnsi="Times New Roman" w:cs="Times New Roman"/>
          <w:color w:val="191919"/>
          <w:sz w:val="24"/>
          <w:szCs w:val="24"/>
          <w:shd w:val="clear" w:color="auto" w:fill="FFFFFF"/>
        </w:rPr>
        <w:t xml:space="preserve"> </w:t>
      </w:r>
      <w:r w:rsidR="0037633F" w:rsidRPr="006D176A">
        <w:rPr>
          <w:rFonts w:ascii="Times New Roman" w:hAnsi="Times New Roman" w:cs="Times New Roman"/>
          <w:color w:val="191919"/>
          <w:sz w:val="24"/>
          <w:szCs w:val="24"/>
          <w:shd w:val="clear" w:color="auto" w:fill="FFFFFF"/>
        </w:rPr>
        <w:t xml:space="preserve"> </w:t>
      </w:r>
      <w:r w:rsidR="00F273B3" w:rsidRPr="006D176A">
        <w:rPr>
          <w:rFonts w:ascii="Times New Roman" w:hAnsi="Times New Roman" w:cs="Times New Roman"/>
          <w:color w:val="191919"/>
          <w:sz w:val="24"/>
          <w:szCs w:val="24"/>
          <w:shd w:val="clear" w:color="auto" w:fill="FFFFFF"/>
        </w:rPr>
        <w:t>and, the risk increases over time as the number of metabolic syndrome characteristics accumulates. B</w:t>
      </w:r>
      <w:r w:rsidR="0037633F" w:rsidRPr="006D176A">
        <w:rPr>
          <w:rFonts w:ascii="Times New Roman" w:hAnsi="Times New Roman" w:cs="Times New Roman"/>
          <w:color w:val="191919"/>
          <w:sz w:val="24"/>
          <w:szCs w:val="24"/>
          <w:shd w:val="clear" w:color="auto" w:fill="FFFFFF"/>
        </w:rPr>
        <w:t>ut since its components are all reversible, the</w:t>
      </w:r>
      <w:r w:rsidR="00BB550D" w:rsidRPr="006D176A">
        <w:rPr>
          <w:rFonts w:ascii="Times New Roman" w:hAnsi="Times New Roman" w:cs="Times New Roman"/>
          <w:color w:val="191919"/>
          <w:sz w:val="24"/>
          <w:szCs w:val="24"/>
          <w:shd w:val="clear" w:color="auto" w:fill="FFFFFF"/>
        </w:rPr>
        <w:t xml:space="preserve"> diagnosis of insulin resistance and metabolic syndrome</w:t>
      </w:r>
      <w:r w:rsidR="00F273B3" w:rsidRPr="006D176A">
        <w:rPr>
          <w:rFonts w:ascii="Times New Roman" w:hAnsi="Times New Roman" w:cs="Times New Roman"/>
          <w:color w:val="191919"/>
          <w:sz w:val="24"/>
          <w:szCs w:val="24"/>
          <w:shd w:val="clear" w:color="auto" w:fill="FFFFFF"/>
        </w:rPr>
        <w:t xml:space="preserve"> early</w:t>
      </w:r>
      <w:r w:rsidR="0037633F" w:rsidRPr="006D176A">
        <w:rPr>
          <w:rFonts w:ascii="Times New Roman" w:hAnsi="Times New Roman" w:cs="Times New Roman"/>
          <w:color w:val="191919"/>
          <w:sz w:val="24"/>
          <w:szCs w:val="24"/>
          <w:shd w:val="clear" w:color="auto" w:fill="FFFFFF"/>
        </w:rPr>
        <w:t xml:space="preserve"> offers an effective treatment </w:t>
      </w:r>
      <w:r w:rsidRPr="006D176A">
        <w:rPr>
          <w:rFonts w:ascii="Times New Roman" w:hAnsi="Times New Roman" w:cs="Times New Roman"/>
          <w:color w:val="191919"/>
          <w:sz w:val="24"/>
          <w:szCs w:val="24"/>
          <w:shd w:val="clear" w:color="auto" w:fill="FFFFFF"/>
        </w:rPr>
        <w:t xml:space="preserve">approach. </w:t>
      </w:r>
      <w:r w:rsidR="00F273B3" w:rsidRPr="006D176A">
        <w:rPr>
          <w:rFonts w:ascii="Times New Roman" w:hAnsi="Times New Roman" w:cs="Times New Roman"/>
          <w:color w:val="191919"/>
          <w:sz w:val="24"/>
          <w:szCs w:val="24"/>
          <w:shd w:val="clear" w:color="auto" w:fill="FFFFFF"/>
        </w:rPr>
        <w:t xml:space="preserve">Thus, it is imperative for physicians to recognize the presence of features of insulin resistance and metabolic syndrome in their patients and to familiarize themselves with the recommended treatment strategies </w:t>
      </w:r>
      <w:r w:rsidR="0071103F">
        <w:rPr>
          <w:rFonts w:ascii="Times New Roman" w:hAnsi="Times New Roman" w:cs="Times New Roman"/>
          <w:color w:val="191919"/>
          <w:sz w:val="24"/>
          <w:szCs w:val="24"/>
          <w:shd w:val="clear" w:color="auto" w:fill="FFFFFF"/>
          <w:vertAlign w:val="superscript"/>
        </w:rPr>
        <w:t>13</w:t>
      </w:r>
      <w:r w:rsidR="0071103F">
        <w:rPr>
          <w:rFonts w:ascii="Times New Roman" w:hAnsi="Times New Roman" w:cs="Times New Roman"/>
          <w:color w:val="191919"/>
          <w:sz w:val="24"/>
          <w:szCs w:val="24"/>
          <w:shd w:val="clear" w:color="auto" w:fill="FFFFFF"/>
        </w:rPr>
        <w:t>.</w:t>
      </w:r>
    </w:p>
    <w:p w:rsidR="001B1D25" w:rsidRPr="0071103F" w:rsidRDefault="001B1D25"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 xml:space="preserve">South Asia is home to one of the largest population of people with metabolic syndrome. The prevalence of </w:t>
      </w:r>
      <w:r w:rsidR="00652983" w:rsidRPr="006D176A">
        <w:rPr>
          <w:rFonts w:ascii="Times New Roman" w:hAnsi="Times New Roman" w:cs="Times New Roman"/>
          <w:color w:val="191919"/>
          <w:sz w:val="24"/>
          <w:szCs w:val="24"/>
          <w:shd w:val="clear" w:color="auto" w:fill="FFFFFF"/>
        </w:rPr>
        <w:t>metabolic syndrome</w:t>
      </w:r>
      <w:r w:rsidRPr="006D176A">
        <w:rPr>
          <w:rFonts w:ascii="Times New Roman" w:hAnsi="Times New Roman" w:cs="Times New Roman"/>
          <w:color w:val="191919"/>
          <w:sz w:val="24"/>
          <w:szCs w:val="24"/>
          <w:shd w:val="clear" w:color="auto" w:fill="FFFFFF"/>
        </w:rPr>
        <w:t xml:space="preserve"> in South Asians varies according to region, extent of urbanization, lifestyle patt</w:t>
      </w:r>
      <w:r w:rsidR="000623C1" w:rsidRPr="006D176A">
        <w:rPr>
          <w:rFonts w:ascii="Times New Roman" w:hAnsi="Times New Roman" w:cs="Times New Roman"/>
          <w:color w:val="191919"/>
          <w:sz w:val="24"/>
          <w:szCs w:val="24"/>
          <w:shd w:val="clear" w:color="auto" w:fill="FFFFFF"/>
        </w:rPr>
        <w:t>erns, and socioeconomic</w:t>
      </w:r>
      <w:r w:rsidRPr="006D176A">
        <w:rPr>
          <w:rFonts w:ascii="Times New Roman" w:hAnsi="Times New Roman" w:cs="Times New Roman"/>
          <w:color w:val="191919"/>
          <w:sz w:val="24"/>
          <w:szCs w:val="24"/>
          <w:shd w:val="clear" w:color="auto" w:fill="FFFFFF"/>
        </w:rPr>
        <w:t xml:space="preserve"> factors. Recent data</w:t>
      </w:r>
      <w:r w:rsidR="00B52997" w:rsidRPr="006D176A">
        <w:rPr>
          <w:rFonts w:ascii="Times New Roman" w:hAnsi="Times New Roman" w:cs="Times New Roman"/>
          <w:color w:val="191919"/>
          <w:sz w:val="24"/>
          <w:szCs w:val="24"/>
          <w:shd w:val="clear" w:color="auto" w:fill="FFFFFF"/>
        </w:rPr>
        <w:t>s</w:t>
      </w:r>
      <w:r w:rsidRPr="006D176A">
        <w:rPr>
          <w:rFonts w:ascii="Times New Roman" w:hAnsi="Times New Roman" w:cs="Times New Roman"/>
          <w:color w:val="191919"/>
          <w:sz w:val="24"/>
          <w:szCs w:val="24"/>
          <w:shd w:val="clear" w:color="auto" w:fill="FFFFFF"/>
        </w:rPr>
        <w:t xml:space="preserve"> </w:t>
      </w:r>
      <w:r w:rsidR="000623C1" w:rsidRPr="006D176A">
        <w:rPr>
          <w:rFonts w:ascii="Times New Roman" w:hAnsi="Times New Roman" w:cs="Times New Roman"/>
          <w:color w:val="191919"/>
          <w:sz w:val="24"/>
          <w:szCs w:val="24"/>
          <w:shd w:val="clear" w:color="auto" w:fill="FFFFFF"/>
        </w:rPr>
        <w:t xml:space="preserve">are </w:t>
      </w:r>
      <w:r w:rsidRPr="006D176A">
        <w:rPr>
          <w:rFonts w:ascii="Times New Roman" w:hAnsi="Times New Roman" w:cs="Times New Roman"/>
          <w:color w:val="191919"/>
          <w:sz w:val="24"/>
          <w:szCs w:val="24"/>
          <w:shd w:val="clear" w:color="auto" w:fill="FFFFFF"/>
        </w:rPr>
        <w:t>show</w:t>
      </w:r>
      <w:r w:rsidR="000623C1" w:rsidRPr="006D176A">
        <w:rPr>
          <w:rFonts w:ascii="Times New Roman" w:hAnsi="Times New Roman" w:cs="Times New Roman"/>
          <w:color w:val="191919"/>
          <w:sz w:val="24"/>
          <w:szCs w:val="24"/>
          <w:shd w:val="clear" w:color="auto" w:fill="FFFFFF"/>
        </w:rPr>
        <w:t>ing that around</w:t>
      </w:r>
      <w:r w:rsidRPr="006D176A">
        <w:rPr>
          <w:rFonts w:ascii="Times New Roman" w:hAnsi="Times New Roman" w:cs="Times New Roman"/>
          <w:color w:val="191919"/>
          <w:sz w:val="24"/>
          <w:szCs w:val="24"/>
          <w:shd w:val="clear" w:color="auto" w:fill="FFFFFF"/>
        </w:rPr>
        <w:t xml:space="preserve"> one-third of the urba</w:t>
      </w:r>
      <w:r w:rsidR="00B52997" w:rsidRPr="006D176A">
        <w:rPr>
          <w:rFonts w:ascii="Times New Roman" w:hAnsi="Times New Roman" w:cs="Times New Roman"/>
          <w:color w:val="191919"/>
          <w:sz w:val="24"/>
          <w:szCs w:val="24"/>
          <w:shd w:val="clear" w:color="auto" w:fill="FFFFFF"/>
        </w:rPr>
        <w:t>n population in large cities of</w:t>
      </w:r>
      <w:r w:rsidRPr="006D176A">
        <w:rPr>
          <w:rFonts w:ascii="Times New Roman" w:hAnsi="Times New Roman" w:cs="Times New Roman"/>
          <w:color w:val="191919"/>
          <w:sz w:val="24"/>
          <w:szCs w:val="24"/>
          <w:shd w:val="clear" w:color="auto" w:fill="FFFFFF"/>
        </w:rPr>
        <w:t xml:space="preserve"> India has </w:t>
      </w:r>
      <w:r w:rsidR="00B52997" w:rsidRPr="006D176A">
        <w:rPr>
          <w:rFonts w:ascii="Times New Roman" w:hAnsi="Times New Roman" w:cs="Times New Roman"/>
          <w:color w:val="191919"/>
          <w:sz w:val="24"/>
          <w:szCs w:val="24"/>
          <w:shd w:val="clear" w:color="auto" w:fill="FFFFFF"/>
        </w:rPr>
        <w:t>metabolic syndrome</w:t>
      </w:r>
      <w:r w:rsidRPr="006D176A">
        <w:rPr>
          <w:rFonts w:ascii="Times New Roman" w:hAnsi="Times New Roman" w:cs="Times New Roman"/>
          <w:color w:val="191919"/>
          <w:sz w:val="24"/>
          <w:szCs w:val="24"/>
          <w:shd w:val="clear" w:color="auto" w:fill="FFFFFF"/>
        </w:rPr>
        <w:t xml:space="preserve">. All classical risk factors comprising the </w:t>
      </w:r>
      <w:r w:rsidR="00B52997" w:rsidRPr="006D176A">
        <w:rPr>
          <w:rFonts w:ascii="Times New Roman" w:hAnsi="Times New Roman" w:cs="Times New Roman"/>
          <w:color w:val="191919"/>
          <w:sz w:val="24"/>
          <w:szCs w:val="24"/>
          <w:shd w:val="clear" w:color="auto" w:fill="FFFFFF"/>
        </w:rPr>
        <w:t>metabolic syndrome</w:t>
      </w:r>
      <w:r w:rsidRPr="006D176A">
        <w:rPr>
          <w:rFonts w:ascii="Times New Roman" w:hAnsi="Times New Roman" w:cs="Times New Roman"/>
          <w:color w:val="191919"/>
          <w:sz w:val="24"/>
          <w:szCs w:val="24"/>
          <w:shd w:val="clear" w:color="auto" w:fill="FFFFFF"/>
        </w:rPr>
        <w:t xml:space="preserve"> are prevalent in Asian Indians </w:t>
      </w:r>
      <w:r w:rsidR="00B52997" w:rsidRPr="006D176A">
        <w:rPr>
          <w:rFonts w:ascii="Times New Roman" w:hAnsi="Times New Roman" w:cs="Times New Roman"/>
          <w:color w:val="191919"/>
          <w:sz w:val="24"/>
          <w:szCs w:val="24"/>
          <w:shd w:val="clear" w:color="auto" w:fill="FFFFFF"/>
        </w:rPr>
        <w:t>who are residing in India. The increased risk in this</w:t>
      </w:r>
      <w:r w:rsidRPr="006D176A">
        <w:rPr>
          <w:rFonts w:ascii="Times New Roman" w:hAnsi="Times New Roman" w:cs="Times New Roman"/>
          <w:color w:val="191919"/>
          <w:sz w:val="24"/>
          <w:szCs w:val="24"/>
          <w:shd w:val="clear" w:color="auto" w:fill="FFFFFF"/>
        </w:rPr>
        <w:t xml:space="preserve"> population necessitated a lowering of the cut-off values of the risk factors to identify and intervene for the </w:t>
      </w:r>
      <w:r w:rsidR="00B52997" w:rsidRPr="006D176A">
        <w:rPr>
          <w:rFonts w:ascii="Times New Roman" w:hAnsi="Times New Roman" w:cs="Times New Roman"/>
          <w:color w:val="191919"/>
          <w:sz w:val="24"/>
          <w:szCs w:val="24"/>
          <w:shd w:val="clear" w:color="auto" w:fill="FFFFFF"/>
        </w:rPr>
        <w:t>metabolic syndrome to prevent</w:t>
      </w:r>
      <w:r w:rsidRPr="006D176A">
        <w:rPr>
          <w:rFonts w:ascii="Times New Roman" w:hAnsi="Times New Roman" w:cs="Times New Roman"/>
          <w:color w:val="191919"/>
          <w:sz w:val="24"/>
          <w:szCs w:val="24"/>
          <w:shd w:val="clear" w:color="auto" w:fill="FFFFFF"/>
        </w:rPr>
        <w:t xml:space="preserve"> cardiovascular disease. Some</w:t>
      </w:r>
      <w:r w:rsidR="00B52997" w:rsidRPr="006D176A">
        <w:rPr>
          <w:rFonts w:ascii="Times New Roman" w:hAnsi="Times New Roman" w:cs="Times New Roman"/>
          <w:color w:val="191919"/>
          <w:sz w:val="24"/>
          <w:szCs w:val="24"/>
          <w:shd w:val="clear" w:color="auto" w:fill="FFFFFF"/>
        </w:rPr>
        <w:t xml:space="preserve"> interventions in</w:t>
      </w:r>
      <w:r w:rsidRPr="006D176A">
        <w:rPr>
          <w:rFonts w:ascii="Times New Roman" w:hAnsi="Times New Roman" w:cs="Times New Roman"/>
          <w:color w:val="191919"/>
          <w:sz w:val="24"/>
          <w:szCs w:val="24"/>
          <w:shd w:val="clear" w:color="auto" w:fill="FFFFFF"/>
        </w:rPr>
        <w:t xml:space="preserve"> pharmacological and nonpharmacological </w:t>
      </w:r>
      <w:r w:rsidR="00B52997" w:rsidRPr="006D176A">
        <w:rPr>
          <w:rFonts w:ascii="Times New Roman" w:hAnsi="Times New Roman" w:cs="Times New Roman"/>
          <w:color w:val="191919"/>
          <w:sz w:val="24"/>
          <w:szCs w:val="24"/>
          <w:shd w:val="clear" w:color="auto" w:fill="FFFFFF"/>
        </w:rPr>
        <w:t>aspects are underway</w:t>
      </w:r>
      <w:r w:rsidRPr="006D176A">
        <w:rPr>
          <w:rFonts w:ascii="Times New Roman" w:hAnsi="Times New Roman" w:cs="Times New Roman"/>
          <w:color w:val="191919"/>
          <w:sz w:val="24"/>
          <w:szCs w:val="24"/>
          <w:shd w:val="clear" w:color="auto" w:fill="FFFFFF"/>
        </w:rPr>
        <w:t xml:space="preserve"> in </w:t>
      </w:r>
      <w:r w:rsidR="00B52997" w:rsidRPr="006D176A">
        <w:rPr>
          <w:rFonts w:ascii="Times New Roman" w:hAnsi="Times New Roman" w:cs="Times New Roman"/>
          <w:color w:val="191919"/>
          <w:sz w:val="24"/>
          <w:szCs w:val="24"/>
          <w:shd w:val="clear" w:color="auto" w:fill="FFFFFF"/>
        </w:rPr>
        <w:t>metabolic syndrome</w:t>
      </w:r>
      <w:r w:rsidRPr="006D176A">
        <w:rPr>
          <w:rFonts w:ascii="Times New Roman" w:hAnsi="Times New Roman" w:cs="Times New Roman"/>
          <w:color w:val="191919"/>
          <w:sz w:val="24"/>
          <w:szCs w:val="24"/>
          <w:shd w:val="clear" w:color="auto" w:fill="FFFFFF"/>
        </w:rPr>
        <w:t xml:space="preserve"> to assess the efficacy in preventing diabetes and cardiovascular disease in this ethnic population</w:t>
      </w:r>
      <w:r w:rsidR="0071103F">
        <w:rPr>
          <w:rFonts w:ascii="Times New Roman" w:hAnsi="Times New Roman" w:cs="Times New Roman"/>
          <w:color w:val="191919"/>
          <w:sz w:val="24"/>
          <w:szCs w:val="24"/>
          <w:shd w:val="clear" w:color="auto" w:fill="FFFFFF"/>
          <w:vertAlign w:val="superscript"/>
        </w:rPr>
        <w:t>14</w:t>
      </w:r>
      <w:r w:rsidR="0071103F">
        <w:rPr>
          <w:rFonts w:ascii="Times New Roman" w:hAnsi="Times New Roman" w:cs="Times New Roman"/>
          <w:color w:val="191919"/>
          <w:sz w:val="24"/>
          <w:szCs w:val="24"/>
          <w:shd w:val="clear" w:color="auto" w:fill="FFFFFF"/>
        </w:rPr>
        <w:t>.</w:t>
      </w:r>
    </w:p>
    <w:p w:rsidR="001A582C" w:rsidRPr="006D176A" w:rsidRDefault="001A582C" w:rsidP="00A721A9">
      <w:pPr>
        <w:spacing w:line="600" w:lineRule="auto"/>
        <w:jc w:val="both"/>
        <w:rPr>
          <w:rFonts w:ascii="Times New Roman" w:hAnsi="Times New Roman" w:cs="Times New Roman"/>
          <w:color w:val="000000"/>
          <w:sz w:val="24"/>
          <w:szCs w:val="24"/>
          <w:shd w:val="clear" w:color="auto" w:fill="FFFFFF"/>
        </w:rPr>
      </w:pPr>
      <w:r w:rsidRPr="006D176A">
        <w:rPr>
          <w:rFonts w:ascii="Times New Roman" w:hAnsi="Times New Roman" w:cs="Times New Roman"/>
          <w:color w:val="000000"/>
          <w:sz w:val="24"/>
          <w:szCs w:val="24"/>
          <w:shd w:val="clear" w:color="auto" w:fill="FFFFFF"/>
        </w:rPr>
        <w:t>There has been a consistent effort</w:t>
      </w:r>
      <w:r w:rsidR="00B52997" w:rsidRPr="006D176A">
        <w:rPr>
          <w:rFonts w:ascii="Times New Roman" w:hAnsi="Times New Roman" w:cs="Times New Roman"/>
          <w:color w:val="000000"/>
          <w:sz w:val="24"/>
          <w:szCs w:val="24"/>
          <w:shd w:val="clear" w:color="auto" w:fill="FFFFFF"/>
        </w:rPr>
        <w:t>s</w:t>
      </w:r>
      <w:r w:rsidRPr="006D176A">
        <w:rPr>
          <w:rFonts w:ascii="Times New Roman" w:hAnsi="Times New Roman" w:cs="Times New Roman"/>
          <w:color w:val="000000"/>
          <w:sz w:val="24"/>
          <w:szCs w:val="24"/>
          <w:shd w:val="clear" w:color="auto" w:fill="FFFFFF"/>
        </w:rPr>
        <w:t xml:space="preserve"> to evaluate biochemical markers to predict an early onset of metabolic syndrome, severity of insulin resistance and subsequently intervene appropriately by means of lifestyle changes and drug therapy and ther</w:t>
      </w:r>
      <w:r w:rsidR="00E555C8" w:rsidRPr="006D176A">
        <w:rPr>
          <w:rFonts w:ascii="Times New Roman" w:hAnsi="Times New Roman" w:cs="Times New Roman"/>
          <w:color w:val="000000"/>
          <w:sz w:val="24"/>
          <w:szCs w:val="24"/>
          <w:shd w:val="clear" w:color="auto" w:fill="FFFFFF"/>
        </w:rPr>
        <w:t>eby reducing</w:t>
      </w:r>
      <w:r w:rsidRPr="006D176A">
        <w:rPr>
          <w:rFonts w:ascii="Times New Roman" w:hAnsi="Times New Roman" w:cs="Times New Roman"/>
          <w:color w:val="000000"/>
          <w:sz w:val="24"/>
          <w:szCs w:val="24"/>
          <w:shd w:val="clear" w:color="auto" w:fill="FFFFFF"/>
        </w:rPr>
        <w:t xml:space="preserve"> cardiovascular morbidity and morta</w:t>
      </w:r>
      <w:r w:rsidR="00E555C8" w:rsidRPr="006D176A">
        <w:rPr>
          <w:rFonts w:ascii="Times New Roman" w:hAnsi="Times New Roman" w:cs="Times New Roman"/>
          <w:color w:val="000000"/>
          <w:sz w:val="24"/>
          <w:szCs w:val="24"/>
          <w:shd w:val="clear" w:color="auto" w:fill="FFFFFF"/>
        </w:rPr>
        <w:t>lity. Studies are lacking in</w:t>
      </w:r>
      <w:r w:rsidRPr="006D176A">
        <w:rPr>
          <w:rFonts w:ascii="Times New Roman" w:hAnsi="Times New Roman" w:cs="Times New Roman"/>
          <w:color w:val="000000"/>
          <w:sz w:val="24"/>
          <w:szCs w:val="24"/>
          <w:shd w:val="clear" w:color="auto" w:fill="FFFFFF"/>
        </w:rPr>
        <w:t xml:space="preserve"> adult Indian population</w:t>
      </w:r>
    </w:p>
    <w:p w:rsidR="001A582C" w:rsidRPr="006D176A" w:rsidRDefault="001A582C" w:rsidP="00A721A9">
      <w:pPr>
        <w:spacing w:line="600" w:lineRule="auto"/>
        <w:jc w:val="both"/>
        <w:rPr>
          <w:rFonts w:ascii="Times New Roman" w:hAnsi="Times New Roman" w:cs="Times New Roman"/>
          <w:color w:val="000000"/>
          <w:sz w:val="24"/>
          <w:szCs w:val="24"/>
          <w:shd w:val="clear" w:color="auto" w:fill="FFFFFF"/>
        </w:rPr>
      </w:pPr>
      <w:r w:rsidRPr="006D176A">
        <w:rPr>
          <w:rFonts w:ascii="Times New Roman" w:hAnsi="Times New Roman" w:cs="Times New Roman"/>
          <w:color w:val="000000"/>
          <w:sz w:val="24"/>
          <w:szCs w:val="24"/>
          <w:shd w:val="clear" w:color="auto" w:fill="FFFFFF"/>
        </w:rPr>
        <w:lastRenderedPageBreak/>
        <w:t xml:space="preserve">Tests like Homeostatic Model assessment had been proven to be useful in assessing severity of insulin resistance, but the high cost, need of expertise and the need of multiple parameters for calculation have made it impractical to use as a screening and prognosticative test for widespread use. Thus, a prompt, cost effective and easily available biochemical marker is required to predict an early onset, progression and severity of this syndrome. </w:t>
      </w:r>
    </w:p>
    <w:p w:rsidR="001A582C" w:rsidRPr="006D176A" w:rsidRDefault="001A582C" w:rsidP="00A721A9">
      <w:pPr>
        <w:spacing w:line="600" w:lineRule="auto"/>
        <w:jc w:val="both"/>
        <w:rPr>
          <w:rFonts w:ascii="Times New Roman" w:hAnsi="Times New Roman" w:cs="Times New Roman"/>
          <w:color w:val="000000"/>
          <w:sz w:val="24"/>
          <w:szCs w:val="24"/>
          <w:shd w:val="clear" w:color="auto" w:fill="FFFFFF"/>
        </w:rPr>
      </w:pPr>
      <w:r w:rsidRPr="006D176A">
        <w:rPr>
          <w:rFonts w:ascii="Times New Roman" w:hAnsi="Times New Roman" w:cs="Times New Roman"/>
          <w:color w:val="000000"/>
          <w:sz w:val="24"/>
          <w:szCs w:val="24"/>
          <w:shd w:val="clear" w:color="auto" w:fill="FFFFFF"/>
        </w:rPr>
        <w:t>Gamma Glutamyl Transferase</w:t>
      </w:r>
      <w:r w:rsidR="00E555C8" w:rsidRPr="006D176A">
        <w:rPr>
          <w:rFonts w:ascii="Times New Roman" w:hAnsi="Times New Roman" w:cs="Times New Roman"/>
          <w:color w:val="000000"/>
          <w:sz w:val="24"/>
          <w:szCs w:val="24"/>
          <w:shd w:val="clear" w:color="auto" w:fill="FFFFFF"/>
        </w:rPr>
        <w:t>(GGT)</w:t>
      </w:r>
      <w:r w:rsidRPr="006D176A">
        <w:rPr>
          <w:rFonts w:ascii="Times New Roman" w:hAnsi="Times New Roman" w:cs="Times New Roman"/>
          <w:color w:val="000000"/>
          <w:sz w:val="24"/>
          <w:szCs w:val="24"/>
          <w:shd w:val="clear" w:color="auto" w:fill="FFFFFF"/>
        </w:rPr>
        <w:t xml:space="preserve"> is one such marker which is cost effective, easily available and performed as part of liver function tests and is independent of prandial status too. High levels of GGT have been shown to be associated with high levels of insulin resistance in various studies. High levels of GGT have also been associated in populations with increased risk of atherosclerotic cardiovascular disease</w:t>
      </w:r>
      <w:r w:rsidR="009B40C0" w:rsidRPr="006D176A">
        <w:rPr>
          <w:rFonts w:ascii="Times New Roman" w:hAnsi="Times New Roman" w:cs="Times New Roman"/>
          <w:color w:val="000000"/>
          <w:sz w:val="24"/>
          <w:szCs w:val="24"/>
          <w:shd w:val="clear" w:color="auto" w:fill="FFFFFF"/>
          <w:vertAlign w:val="superscript"/>
        </w:rPr>
        <w:t>1</w:t>
      </w:r>
      <w:r w:rsidR="0071103F">
        <w:rPr>
          <w:rFonts w:ascii="Times New Roman" w:hAnsi="Times New Roman" w:cs="Times New Roman"/>
          <w:color w:val="000000"/>
          <w:sz w:val="24"/>
          <w:szCs w:val="24"/>
          <w:shd w:val="clear" w:color="auto" w:fill="FFFFFF"/>
          <w:vertAlign w:val="superscript"/>
        </w:rPr>
        <w:t>5</w:t>
      </w:r>
      <w:r w:rsidR="00E555C8" w:rsidRPr="006D176A">
        <w:rPr>
          <w:rFonts w:ascii="Times New Roman" w:hAnsi="Times New Roman" w:cs="Times New Roman"/>
          <w:color w:val="000000"/>
          <w:sz w:val="24"/>
          <w:szCs w:val="24"/>
          <w:shd w:val="clear" w:color="auto" w:fill="FFFFFF"/>
        </w:rPr>
        <w:t xml:space="preserve">. Several prospective studies </w:t>
      </w:r>
      <w:r w:rsidRPr="006D176A">
        <w:rPr>
          <w:rFonts w:ascii="Times New Roman" w:hAnsi="Times New Roman" w:cs="Times New Roman"/>
          <w:color w:val="000000"/>
          <w:sz w:val="24"/>
          <w:szCs w:val="24"/>
          <w:shd w:val="clear" w:color="auto" w:fill="FFFFFF"/>
        </w:rPr>
        <w:t>reported that baseline serum GGT</w:t>
      </w:r>
      <w:r w:rsidR="00E555C8" w:rsidRPr="006D176A">
        <w:rPr>
          <w:rFonts w:ascii="Times New Roman" w:hAnsi="Times New Roman" w:cs="Times New Roman"/>
          <w:color w:val="000000"/>
          <w:sz w:val="24"/>
          <w:szCs w:val="24"/>
          <w:shd w:val="clear" w:color="auto" w:fill="FFFFFF"/>
        </w:rPr>
        <w:t xml:space="preserve"> concentration is</w:t>
      </w:r>
      <w:r w:rsidRPr="006D176A">
        <w:rPr>
          <w:rFonts w:ascii="Times New Roman" w:hAnsi="Times New Roman" w:cs="Times New Roman"/>
          <w:color w:val="000000"/>
          <w:sz w:val="24"/>
          <w:szCs w:val="24"/>
          <w:shd w:val="clear" w:color="auto" w:fill="FFFFFF"/>
        </w:rPr>
        <w:t xml:space="preserve"> an independent risk factor for the development of coronary artery disease, diabetes mellitus, stroke and hypertension.</w:t>
      </w:r>
    </w:p>
    <w:p w:rsidR="001A582C" w:rsidRPr="006D176A" w:rsidRDefault="001A582C" w:rsidP="00A721A9">
      <w:pPr>
        <w:spacing w:line="600" w:lineRule="auto"/>
        <w:jc w:val="both"/>
        <w:rPr>
          <w:rFonts w:ascii="Times New Roman" w:hAnsi="Times New Roman" w:cs="Times New Roman"/>
          <w:color w:val="000000"/>
          <w:sz w:val="24"/>
          <w:szCs w:val="24"/>
          <w:shd w:val="clear" w:color="auto" w:fill="FFFFFF"/>
        </w:rPr>
      </w:pPr>
      <w:r w:rsidRPr="006D176A">
        <w:rPr>
          <w:rFonts w:ascii="Times New Roman" w:hAnsi="Times New Roman" w:cs="Times New Roman"/>
          <w:color w:val="000000"/>
          <w:sz w:val="24"/>
          <w:szCs w:val="24"/>
          <w:shd w:val="clear" w:color="auto" w:fill="FFFFFF"/>
        </w:rPr>
        <w:t>The purpose of this study is to evaluate the utili</w:t>
      </w:r>
      <w:r w:rsidR="00E555C8" w:rsidRPr="006D176A">
        <w:rPr>
          <w:rFonts w:ascii="Times New Roman" w:hAnsi="Times New Roman" w:cs="Times New Roman"/>
          <w:color w:val="000000"/>
          <w:sz w:val="24"/>
          <w:szCs w:val="24"/>
          <w:shd w:val="clear" w:color="auto" w:fill="FFFFFF"/>
        </w:rPr>
        <w:t>ty of GGT as a measure</w:t>
      </w:r>
      <w:r w:rsidRPr="006D176A">
        <w:rPr>
          <w:rFonts w:ascii="Times New Roman" w:hAnsi="Times New Roman" w:cs="Times New Roman"/>
          <w:color w:val="000000"/>
          <w:sz w:val="24"/>
          <w:szCs w:val="24"/>
          <w:shd w:val="clear" w:color="auto" w:fill="FFFFFF"/>
        </w:rPr>
        <w:t xml:space="preserve"> of insulin resistance </w:t>
      </w:r>
      <w:r w:rsidR="00B22FD1" w:rsidRPr="006D176A">
        <w:rPr>
          <w:rFonts w:ascii="Times New Roman" w:hAnsi="Times New Roman" w:cs="Times New Roman"/>
          <w:color w:val="000000"/>
          <w:sz w:val="24"/>
          <w:szCs w:val="24"/>
          <w:shd w:val="clear" w:color="auto" w:fill="FFFFFF"/>
        </w:rPr>
        <w:t xml:space="preserve">in patients with </w:t>
      </w:r>
      <w:r w:rsidRPr="006D176A">
        <w:rPr>
          <w:rFonts w:ascii="Times New Roman" w:hAnsi="Times New Roman" w:cs="Times New Roman"/>
          <w:color w:val="000000"/>
          <w:sz w:val="24"/>
          <w:szCs w:val="24"/>
          <w:shd w:val="clear" w:color="auto" w:fill="FFFFFF"/>
        </w:rPr>
        <w:t>metabolic syndrome.</w:t>
      </w:r>
    </w:p>
    <w:p w:rsidR="006D176A" w:rsidRDefault="006D176A" w:rsidP="00A721A9">
      <w:pPr>
        <w:spacing w:line="480" w:lineRule="auto"/>
        <w:jc w:val="both"/>
        <w:rPr>
          <w:rFonts w:ascii="Times New Roman" w:hAnsi="Times New Roman" w:cs="Times New Roman"/>
          <w:b/>
          <w:sz w:val="28"/>
          <w:szCs w:val="24"/>
        </w:rPr>
      </w:pPr>
    </w:p>
    <w:p w:rsidR="006D176A" w:rsidRDefault="006D176A" w:rsidP="00A721A9">
      <w:pPr>
        <w:spacing w:line="480" w:lineRule="auto"/>
        <w:jc w:val="both"/>
        <w:rPr>
          <w:rFonts w:ascii="Times New Roman" w:hAnsi="Times New Roman" w:cs="Times New Roman"/>
          <w:b/>
          <w:sz w:val="28"/>
          <w:szCs w:val="24"/>
        </w:rPr>
      </w:pPr>
    </w:p>
    <w:p w:rsidR="006D176A" w:rsidRDefault="006D176A" w:rsidP="00A721A9">
      <w:pPr>
        <w:spacing w:line="480" w:lineRule="auto"/>
        <w:jc w:val="both"/>
        <w:rPr>
          <w:rFonts w:ascii="Times New Roman" w:hAnsi="Times New Roman" w:cs="Times New Roman"/>
          <w:b/>
          <w:sz w:val="28"/>
          <w:szCs w:val="24"/>
        </w:rPr>
      </w:pPr>
    </w:p>
    <w:p w:rsidR="0071103F" w:rsidRDefault="0071103F" w:rsidP="00A721A9">
      <w:pPr>
        <w:spacing w:line="480" w:lineRule="auto"/>
        <w:jc w:val="center"/>
        <w:rPr>
          <w:rFonts w:ascii="Times New Roman" w:hAnsi="Times New Roman" w:cs="Times New Roman"/>
          <w:b/>
          <w:sz w:val="28"/>
          <w:szCs w:val="24"/>
        </w:rPr>
      </w:pPr>
    </w:p>
    <w:p w:rsidR="0071103F" w:rsidRDefault="0071103F" w:rsidP="00A721A9">
      <w:pPr>
        <w:spacing w:line="480" w:lineRule="auto"/>
        <w:jc w:val="center"/>
        <w:rPr>
          <w:rFonts w:ascii="Times New Roman" w:hAnsi="Times New Roman" w:cs="Times New Roman"/>
          <w:b/>
          <w:sz w:val="28"/>
          <w:szCs w:val="24"/>
        </w:rPr>
      </w:pPr>
    </w:p>
    <w:p w:rsidR="006D176A" w:rsidRPr="006D176A" w:rsidRDefault="006D176A" w:rsidP="00A721A9">
      <w:pPr>
        <w:spacing w:line="48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2. AIM AND OBJECTIVE</w:t>
      </w:r>
      <w:r w:rsidRPr="006D176A">
        <w:rPr>
          <w:rFonts w:ascii="Times New Roman" w:hAnsi="Times New Roman" w:cs="Times New Roman"/>
          <w:b/>
          <w:sz w:val="28"/>
          <w:szCs w:val="24"/>
        </w:rPr>
        <w:t xml:space="preserve"> OF THE STUDY</w:t>
      </w:r>
    </w:p>
    <w:p w:rsidR="00B22FD1" w:rsidRPr="006D176A" w:rsidRDefault="00E555C8" w:rsidP="00A721A9">
      <w:pPr>
        <w:spacing w:line="480" w:lineRule="auto"/>
        <w:jc w:val="both"/>
        <w:rPr>
          <w:rFonts w:ascii="Times New Roman" w:hAnsi="Times New Roman" w:cs="Times New Roman"/>
          <w:sz w:val="24"/>
          <w:szCs w:val="24"/>
        </w:rPr>
      </w:pPr>
      <w:r w:rsidRPr="006D176A">
        <w:rPr>
          <w:rFonts w:ascii="Times New Roman" w:eastAsia="Times New Roman" w:hAnsi="Times New Roman" w:cs="Times New Roman"/>
          <w:sz w:val="24"/>
          <w:szCs w:val="24"/>
        </w:rPr>
        <w:t>To</w:t>
      </w:r>
      <w:r w:rsidR="0071103F">
        <w:rPr>
          <w:rFonts w:ascii="Times New Roman" w:eastAsia="Times New Roman" w:hAnsi="Times New Roman" w:cs="Times New Roman"/>
          <w:sz w:val="24"/>
          <w:szCs w:val="24"/>
        </w:rPr>
        <w:t xml:space="preserve"> study the correlation between g</w:t>
      </w:r>
      <w:r w:rsidRPr="006D176A">
        <w:rPr>
          <w:rFonts w:ascii="Times New Roman" w:eastAsia="Times New Roman" w:hAnsi="Times New Roman" w:cs="Times New Roman"/>
          <w:sz w:val="24"/>
          <w:szCs w:val="24"/>
        </w:rPr>
        <w:t xml:space="preserve">amma </w:t>
      </w:r>
      <w:r w:rsidR="0071103F">
        <w:rPr>
          <w:rFonts w:ascii="Times New Roman" w:eastAsia="Times New Roman" w:hAnsi="Times New Roman" w:cs="Times New Roman"/>
          <w:sz w:val="24"/>
          <w:szCs w:val="24"/>
        </w:rPr>
        <w:t>glutamyl transferase level and insulin resistance in patients with m</w:t>
      </w:r>
      <w:r w:rsidRPr="006D176A">
        <w:rPr>
          <w:rFonts w:ascii="Times New Roman" w:eastAsia="Times New Roman" w:hAnsi="Times New Roman" w:cs="Times New Roman"/>
          <w:sz w:val="24"/>
          <w:szCs w:val="24"/>
        </w:rPr>
        <w:t>etabolic syndrome.</w:t>
      </w: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6D176A" w:rsidRDefault="006D176A" w:rsidP="00A721A9">
      <w:pPr>
        <w:spacing w:line="600" w:lineRule="auto"/>
        <w:jc w:val="both"/>
        <w:rPr>
          <w:rFonts w:ascii="Times New Roman" w:hAnsi="Times New Roman" w:cs="Times New Roman"/>
          <w:sz w:val="24"/>
          <w:szCs w:val="24"/>
        </w:rPr>
      </w:pPr>
    </w:p>
    <w:p w:rsidR="000903D0" w:rsidRPr="006D176A" w:rsidRDefault="006D176A" w:rsidP="00A721A9">
      <w:pPr>
        <w:spacing w:line="600" w:lineRule="auto"/>
        <w:jc w:val="center"/>
        <w:rPr>
          <w:rFonts w:ascii="Times New Roman" w:hAnsi="Times New Roman" w:cs="Times New Roman"/>
          <w:b/>
          <w:sz w:val="28"/>
          <w:szCs w:val="24"/>
        </w:rPr>
      </w:pPr>
      <w:r w:rsidRPr="006D176A">
        <w:rPr>
          <w:rFonts w:ascii="Times New Roman" w:hAnsi="Times New Roman" w:cs="Times New Roman"/>
          <w:b/>
          <w:sz w:val="28"/>
          <w:szCs w:val="24"/>
        </w:rPr>
        <w:lastRenderedPageBreak/>
        <w:t>3.</w:t>
      </w:r>
      <w:r w:rsidR="000903D0" w:rsidRPr="006D176A">
        <w:rPr>
          <w:rFonts w:ascii="Times New Roman" w:hAnsi="Times New Roman" w:cs="Times New Roman"/>
          <w:b/>
          <w:sz w:val="28"/>
          <w:szCs w:val="24"/>
        </w:rPr>
        <w:t>REVIEW OF LITERATURE</w:t>
      </w:r>
    </w:p>
    <w:p w:rsidR="003F742F" w:rsidRPr="006D176A" w:rsidRDefault="00A721A9"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HISTORICAL ASPECT</w:t>
      </w:r>
    </w:p>
    <w:p w:rsidR="00052D31" w:rsidRPr="006D176A" w:rsidRDefault="00052D31"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Gerald B. Phillips</w:t>
      </w:r>
      <w:r w:rsidR="005D280C" w:rsidRPr="006D176A">
        <w:rPr>
          <w:rFonts w:ascii="Times New Roman" w:hAnsi="Times New Roman" w:cs="Times New Roman"/>
          <w:color w:val="191919"/>
          <w:sz w:val="24"/>
          <w:szCs w:val="24"/>
          <w:shd w:val="clear" w:color="auto" w:fill="FFFFFF"/>
        </w:rPr>
        <w:t>, in 1977</w:t>
      </w:r>
      <w:r w:rsidRPr="006D176A">
        <w:rPr>
          <w:rFonts w:ascii="Times New Roman" w:hAnsi="Times New Roman" w:cs="Times New Roman"/>
          <w:color w:val="191919"/>
          <w:sz w:val="24"/>
          <w:szCs w:val="24"/>
          <w:shd w:val="clear" w:color="auto" w:fill="FFFFFF"/>
        </w:rPr>
        <w:t xml:space="preserve"> developed the concept that risk factors for myocardial </w:t>
      </w:r>
    </w:p>
    <w:p w:rsidR="00052D31" w:rsidRPr="006D176A" w:rsidRDefault="005D280C"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infarction combine to form a constellation of abnormalities</w:t>
      </w:r>
      <w:r w:rsidR="00052D31" w:rsidRPr="006D176A">
        <w:rPr>
          <w:rFonts w:ascii="Times New Roman" w:hAnsi="Times New Roman" w:cs="Times New Roman"/>
          <w:color w:val="191919"/>
          <w:sz w:val="24"/>
          <w:szCs w:val="24"/>
          <w:shd w:val="clear" w:color="auto" w:fill="FFFFFF"/>
        </w:rPr>
        <w:t xml:space="preserve"> (i.e., glucose intolerance, </w:t>
      </w:r>
    </w:p>
    <w:p w:rsidR="00052D31" w:rsidRPr="006D176A" w:rsidRDefault="00052D31" w:rsidP="00A721A9">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 xml:space="preserve">hyperinsulinemia, hyperlipidemia and hypertriglyceridemia, and hypertension) that is </w:t>
      </w:r>
    </w:p>
    <w:p w:rsidR="00052D31" w:rsidRPr="00A721A9" w:rsidRDefault="00052D31" w:rsidP="00623316">
      <w:pPr>
        <w:spacing w:line="600" w:lineRule="auto"/>
        <w:jc w:val="both"/>
        <w:rPr>
          <w:rFonts w:ascii="Times New Roman" w:hAnsi="Times New Roman" w:cs="Times New Roman"/>
          <w:color w:val="191919"/>
          <w:sz w:val="24"/>
          <w:szCs w:val="24"/>
          <w:shd w:val="clear" w:color="auto" w:fill="FFFFFF"/>
        </w:rPr>
      </w:pPr>
      <w:r w:rsidRPr="006D176A">
        <w:rPr>
          <w:rFonts w:ascii="Times New Roman" w:hAnsi="Times New Roman" w:cs="Times New Roman"/>
          <w:color w:val="191919"/>
          <w:sz w:val="24"/>
          <w:szCs w:val="24"/>
          <w:shd w:val="clear" w:color="auto" w:fill="FFFFFF"/>
        </w:rPr>
        <w:t>associated not only with heart disease but also with</w:t>
      </w:r>
      <w:r w:rsidR="00D16BD0" w:rsidRPr="006D176A">
        <w:rPr>
          <w:rFonts w:ascii="Times New Roman" w:hAnsi="Times New Roman" w:cs="Times New Roman"/>
          <w:color w:val="191919"/>
          <w:sz w:val="24"/>
          <w:szCs w:val="24"/>
          <w:shd w:val="clear" w:color="auto" w:fill="FFFFFF"/>
        </w:rPr>
        <w:t xml:space="preserve"> conditions like</w:t>
      </w:r>
      <w:r w:rsidRPr="006D176A">
        <w:rPr>
          <w:rFonts w:ascii="Times New Roman" w:hAnsi="Times New Roman" w:cs="Times New Roman"/>
          <w:color w:val="191919"/>
          <w:sz w:val="24"/>
          <w:szCs w:val="24"/>
          <w:shd w:val="clear" w:color="auto" w:fill="FFFFFF"/>
        </w:rPr>
        <w:t xml:space="preserve"> aging, obesity and other clinical </w:t>
      </w:r>
      <w:r w:rsidR="00A721A9">
        <w:rPr>
          <w:rFonts w:ascii="Times New Roman" w:hAnsi="Times New Roman" w:cs="Times New Roman"/>
          <w:color w:val="191919"/>
          <w:sz w:val="24"/>
          <w:szCs w:val="24"/>
          <w:shd w:val="clear" w:color="auto" w:fill="FFFFFF"/>
        </w:rPr>
        <w:t xml:space="preserve">states. </w:t>
      </w:r>
      <w:r w:rsidRPr="006D176A">
        <w:rPr>
          <w:rFonts w:ascii="Times New Roman" w:hAnsi="Times New Roman" w:cs="Times New Roman"/>
          <w:color w:val="191919"/>
          <w:sz w:val="24"/>
          <w:szCs w:val="24"/>
          <w:shd w:val="clear" w:color="auto" w:fill="FFFFFF"/>
        </w:rPr>
        <w:t xml:space="preserve">He suggested </w:t>
      </w:r>
      <w:r w:rsidR="00D16BD0" w:rsidRPr="006D176A">
        <w:rPr>
          <w:rFonts w:ascii="Times New Roman" w:hAnsi="Times New Roman" w:cs="Times New Roman"/>
          <w:color w:val="191919"/>
          <w:sz w:val="24"/>
          <w:szCs w:val="24"/>
          <w:shd w:val="clear" w:color="auto" w:fill="FFFFFF"/>
        </w:rPr>
        <w:t xml:space="preserve">that, </w:t>
      </w:r>
      <w:r w:rsidRPr="006D176A">
        <w:rPr>
          <w:rFonts w:ascii="Times New Roman" w:hAnsi="Times New Roman" w:cs="Times New Roman"/>
          <w:color w:val="191919"/>
          <w:sz w:val="24"/>
          <w:szCs w:val="24"/>
          <w:shd w:val="clear" w:color="auto" w:fill="FFFFFF"/>
        </w:rPr>
        <w:t xml:space="preserve">there must </w:t>
      </w:r>
      <w:r w:rsidR="00D16BD0" w:rsidRPr="006D176A">
        <w:rPr>
          <w:rFonts w:ascii="Times New Roman" w:hAnsi="Times New Roman" w:cs="Times New Roman"/>
          <w:color w:val="191919"/>
          <w:sz w:val="24"/>
          <w:szCs w:val="24"/>
          <w:shd w:val="clear" w:color="auto" w:fill="FFFFFF"/>
        </w:rPr>
        <w:t>be an underlying linking factor, and</w:t>
      </w:r>
      <w:r w:rsidRPr="006D176A">
        <w:rPr>
          <w:rFonts w:ascii="Times New Roman" w:hAnsi="Times New Roman" w:cs="Times New Roman"/>
          <w:color w:val="191919"/>
          <w:sz w:val="24"/>
          <w:szCs w:val="24"/>
          <w:shd w:val="clear" w:color="auto" w:fill="FFFFFF"/>
        </w:rPr>
        <w:t xml:space="preserve"> the</w:t>
      </w:r>
      <w:r w:rsidR="00A721A9">
        <w:rPr>
          <w:rFonts w:ascii="Times New Roman" w:hAnsi="Times New Roman" w:cs="Times New Roman"/>
          <w:color w:val="191919"/>
          <w:sz w:val="24"/>
          <w:szCs w:val="24"/>
          <w:shd w:val="clear" w:color="auto" w:fill="FFFFFF"/>
        </w:rPr>
        <w:t xml:space="preserve"> identification of which could </w:t>
      </w:r>
      <w:r w:rsidRPr="006D176A">
        <w:rPr>
          <w:rFonts w:ascii="Times New Roman" w:hAnsi="Times New Roman" w:cs="Times New Roman"/>
          <w:color w:val="191919"/>
          <w:sz w:val="24"/>
          <w:szCs w:val="24"/>
          <w:shd w:val="clear" w:color="auto" w:fill="FFFFFF"/>
        </w:rPr>
        <w:t>lead to the prevention of cardiovascular disease</w:t>
      </w:r>
      <w:r w:rsidR="00803D00" w:rsidRPr="006D176A">
        <w:rPr>
          <w:rFonts w:ascii="Times New Roman" w:hAnsi="Times New Roman" w:cs="Times New Roman"/>
          <w:color w:val="191919"/>
          <w:sz w:val="24"/>
          <w:szCs w:val="24"/>
          <w:shd w:val="clear" w:color="auto" w:fill="FFFFFF"/>
        </w:rPr>
        <w:t>.</w:t>
      </w:r>
      <w:r w:rsidRPr="006D176A">
        <w:rPr>
          <w:rFonts w:ascii="Times New Roman" w:hAnsi="Times New Roman" w:cs="Times New Roman"/>
          <w:color w:val="191919"/>
          <w:sz w:val="24"/>
          <w:szCs w:val="24"/>
          <w:shd w:val="clear" w:color="auto" w:fill="FFFFFF"/>
        </w:rPr>
        <w:t xml:space="preserve"> </w:t>
      </w:r>
      <w:r w:rsidR="00803D00" w:rsidRPr="006D176A">
        <w:rPr>
          <w:rFonts w:ascii="Times New Roman" w:hAnsi="Times New Roman" w:cs="Times New Roman"/>
          <w:color w:val="191919"/>
          <w:sz w:val="24"/>
          <w:szCs w:val="24"/>
          <w:shd w:val="clear" w:color="auto" w:fill="FFFFFF"/>
        </w:rPr>
        <w:t>H</w:t>
      </w:r>
      <w:r w:rsidRPr="006D176A">
        <w:rPr>
          <w:rFonts w:ascii="Times New Roman" w:hAnsi="Times New Roman" w:cs="Times New Roman"/>
          <w:color w:val="191919"/>
          <w:sz w:val="24"/>
          <w:szCs w:val="24"/>
          <w:shd w:val="clear" w:color="auto" w:fill="FFFFFF"/>
        </w:rPr>
        <w:t>e hypothesized that this factor was sex hormones</w:t>
      </w:r>
      <w:r w:rsidR="00D64132">
        <w:rPr>
          <w:rFonts w:ascii="Times New Roman" w:hAnsi="Times New Roman" w:cs="Times New Roman"/>
          <w:color w:val="191919"/>
          <w:sz w:val="24"/>
          <w:szCs w:val="24"/>
          <w:shd w:val="clear" w:color="auto" w:fill="FFFFFF"/>
          <w:vertAlign w:val="superscript"/>
        </w:rPr>
        <w:t>16,17</w:t>
      </w:r>
      <w:r w:rsidR="00A721A9">
        <w:rPr>
          <w:rFonts w:ascii="Times New Roman" w:hAnsi="Times New Roman" w:cs="Times New Roman"/>
          <w:color w:val="191919"/>
          <w:sz w:val="24"/>
          <w:szCs w:val="24"/>
          <w:shd w:val="clear" w:color="auto" w:fill="FFFFFF"/>
        </w:rPr>
        <w:t>.</w:t>
      </w:r>
    </w:p>
    <w:p w:rsidR="005E76CD" w:rsidRPr="00A721A9" w:rsidRDefault="005E76CD" w:rsidP="00A721A9">
      <w:pPr>
        <w:spacing w:line="600" w:lineRule="auto"/>
        <w:jc w:val="both"/>
        <w:rPr>
          <w:rFonts w:ascii="Times New Roman" w:hAnsi="Times New Roman" w:cs="Times New Roman"/>
          <w:color w:val="222222"/>
          <w:sz w:val="24"/>
          <w:szCs w:val="24"/>
          <w:shd w:val="clear" w:color="auto" w:fill="FFFFFF"/>
        </w:rPr>
      </w:pPr>
      <w:r w:rsidRPr="006D176A">
        <w:rPr>
          <w:rFonts w:ascii="Times New Roman" w:hAnsi="Times New Roman" w:cs="Times New Roman"/>
          <w:color w:val="191919"/>
          <w:sz w:val="24"/>
          <w:szCs w:val="24"/>
          <w:shd w:val="clear" w:color="auto" w:fill="FFFFFF"/>
        </w:rPr>
        <w:t>Reaven</w:t>
      </w:r>
      <w:r w:rsidR="00803D00" w:rsidRPr="006D176A">
        <w:rPr>
          <w:rFonts w:ascii="Times New Roman" w:hAnsi="Times New Roman" w:cs="Times New Roman"/>
          <w:color w:val="191919"/>
          <w:sz w:val="24"/>
          <w:szCs w:val="24"/>
          <w:shd w:val="clear" w:color="auto" w:fill="FFFFFF"/>
        </w:rPr>
        <w:t>,</w:t>
      </w:r>
      <w:r w:rsidR="00B51204" w:rsidRPr="006D176A">
        <w:rPr>
          <w:rFonts w:ascii="Times New Roman" w:hAnsi="Times New Roman" w:cs="Times New Roman"/>
          <w:sz w:val="24"/>
          <w:szCs w:val="24"/>
        </w:rPr>
        <w:t xml:space="preserve"> </w:t>
      </w:r>
      <w:r w:rsidR="00803D00" w:rsidRPr="006D176A">
        <w:rPr>
          <w:rFonts w:ascii="Times New Roman" w:hAnsi="Times New Roman" w:cs="Times New Roman"/>
          <w:sz w:val="24"/>
          <w:szCs w:val="24"/>
        </w:rPr>
        <w:t>i</w:t>
      </w:r>
      <w:r w:rsidR="00803D00" w:rsidRPr="006D176A">
        <w:rPr>
          <w:rFonts w:ascii="Times New Roman" w:hAnsi="Times New Roman" w:cs="Times New Roman"/>
          <w:color w:val="191919"/>
          <w:sz w:val="24"/>
          <w:szCs w:val="24"/>
          <w:shd w:val="clear" w:color="auto" w:fill="FFFFFF"/>
        </w:rPr>
        <w:t>n 1988,</w:t>
      </w:r>
      <w:r w:rsidRPr="006D176A">
        <w:rPr>
          <w:rStyle w:val="apple-converted-space"/>
          <w:rFonts w:ascii="Times New Roman" w:hAnsi="Times New Roman" w:cs="Times New Roman"/>
          <w:color w:val="191919"/>
          <w:sz w:val="24"/>
          <w:szCs w:val="24"/>
          <w:shd w:val="clear" w:color="auto" w:fill="FFFFFF"/>
        </w:rPr>
        <w:t> </w:t>
      </w:r>
      <w:r w:rsidRPr="006D176A">
        <w:rPr>
          <w:rFonts w:ascii="Times New Roman" w:hAnsi="Times New Roman" w:cs="Times New Roman"/>
          <w:color w:val="191919"/>
          <w:sz w:val="24"/>
          <w:szCs w:val="24"/>
          <w:shd w:val="clear" w:color="auto" w:fill="FFFFFF"/>
        </w:rPr>
        <w:t>note</w:t>
      </w:r>
      <w:r w:rsidR="00803D00" w:rsidRPr="006D176A">
        <w:rPr>
          <w:rFonts w:ascii="Times New Roman" w:hAnsi="Times New Roman" w:cs="Times New Roman"/>
          <w:color w:val="191919"/>
          <w:sz w:val="24"/>
          <w:szCs w:val="24"/>
          <w:shd w:val="clear" w:color="auto" w:fill="FFFFFF"/>
        </w:rPr>
        <w:t>d that several risk factors (eg-</w:t>
      </w:r>
      <w:r w:rsidRPr="006D176A">
        <w:rPr>
          <w:rFonts w:ascii="Times New Roman" w:hAnsi="Times New Roman" w:cs="Times New Roman"/>
          <w:color w:val="191919"/>
          <w:sz w:val="24"/>
          <w:szCs w:val="24"/>
          <w:shd w:val="clear" w:color="auto" w:fill="FFFFFF"/>
        </w:rPr>
        <w:t xml:space="preserve"> dyslipidemia, hypertension, hyperglycemia) commonly cluster together. </w:t>
      </w:r>
      <w:r w:rsidR="00803D00" w:rsidRPr="006D176A">
        <w:rPr>
          <w:rFonts w:ascii="Times New Roman" w:hAnsi="Times New Roman" w:cs="Times New Roman"/>
          <w:color w:val="191919"/>
          <w:sz w:val="24"/>
          <w:szCs w:val="24"/>
          <w:shd w:val="clear" w:color="auto" w:fill="FFFFFF"/>
        </w:rPr>
        <w:t>H</w:t>
      </w:r>
      <w:r w:rsidRPr="006D176A">
        <w:rPr>
          <w:rFonts w:ascii="Times New Roman" w:hAnsi="Times New Roman" w:cs="Times New Roman"/>
          <w:color w:val="191919"/>
          <w:sz w:val="24"/>
          <w:szCs w:val="24"/>
          <w:shd w:val="clear" w:color="auto" w:fill="FFFFFF"/>
        </w:rPr>
        <w:t>e called</w:t>
      </w:r>
      <w:r w:rsidR="00803D00" w:rsidRPr="006D176A">
        <w:rPr>
          <w:rFonts w:ascii="Times New Roman" w:hAnsi="Times New Roman" w:cs="Times New Roman"/>
          <w:color w:val="191919"/>
          <w:sz w:val="24"/>
          <w:szCs w:val="24"/>
          <w:shd w:val="clear" w:color="auto" w:fill="FFFFFF"/>
        </w:rPr>
        <w:t xml:space="preserve"> this clustering as</w:t>
      </w:r>
      <w:r w:rsidRPr="006D176A">
        <w:rPr>
          <w:rStyle w:val="apple-converted-space"/>
          <w:rFonts w:ascii="Times New Roman" w:hAnsi="Times New Roman" w:cs="Times New Roman"/>
          <w:color w:val="191919"/>
          <w:sz w:val="24"/>
          <w:szCs w:val="24"/>
          <w:shd w:val="clear" w:color="auto" w:fill="FFFFFF"/>
        </w:rPr>
        <w:t> </w:t>
      </w:r>
      <w:r w:rsidRPr="006D176A">
        <w:rPr>
          <w:rStyle w:val="Emphasis"/>
          <w:rFonts w:ascii="Times New Roman" w:hAnsi="Times New Roman" w:cs="Times New Roman"/>
          <w:color w:val="191919"/>
          <w:sz w:val="24"/>
          <w:szCs w:val="24"/>
          <w:bdr w:val="none" w:sz="0" w:space="0" w:color="auto" w:frame="1"/>
          <w:shd w:val="clear" w:color="auto" w:fill="FFFFFF"/>
        </w:rPr>
        <w:t>Syndrome X</w:t>
      </w:r>
      <w:r w:rsidRPr="006D176A">
        <w:rPr>
          <w:rFonts w:ascii="Times New Roman" w:hAnsi="Times New Roman" w:cs="Times New Roman"/>
          <w:color w:val="191919"/>
          <w:sz w:val="24"/>
          <w:szCs w:val="24"/>
          <w:shd w:val="clear" w:color="auto" w:fill="FFFFFF"/>
        </w:rPr>
        <w:t xml:space="preserve">, and he recognized it as a multiplex risk factor for CVD. Reaven and subsequently others postulated that insulin </w:t>
      </w:r>
      <w:r w:rsidR="00803D00" w:rsidRPr="006D176A">
        <w:rPr>
          <w:rFonts w:ascii="Times New Roman" w:hAnsi="Times New Roman" w:cs="Times New Roman"/>
          <w:color w:val="191919"/>
          <w:sz w:val="24"/>
          <w:szCs w:val="24"/>
          <w:shd w:val="clear" w:color="auto" w:fill="FFFFFF"/>
        </w:rPr>
        <w:t>resistance underlies Syndrome X. H</w:t>
      </w:r>
      <w:r w:rsidRPr="006D176A">
        <w:rPr>
          <w:rFonts w:ascii="Times New Roman" w:hAnsi="Times New Roman" w:cs="Times New Roman"/>
          <w:color w:val="191919"/>
          <w:sz w:val="24"/>
          <w:szCs w:val="24"/>
          <w:shd w:val="clear" w:color="auto" w:fill="FFFFFF"/>
        </w:rPr>
        <w:t>ence the term</w:t>
      </w:r>
      <w:r w:rsidRPr="006D176A">
        <w:rPr>
          <w:rStyle w:val="apple-converted-space"/>
          <w:rFonts w:ascii="Times New Roman" w:hAnsi="Times New Roman" w:cs="Times New Roman"/>
          <w:color w:val="191919"/>
          <w:sz w:val="24"/>
          <w:szCs w:val="24"/>
          <w:shd w:val="clear" w:color="auto" w:fill="FFFFFF"/>
        </w:rPr>
        <w:t> </w:t>
      </w:r>
      <w:r w:rsidRPr="006D176A">
        <w:rPr>
          <w:rStyle w:val="Emphasis"/>
          <w:rFonts w:ascii="Times New Roman" w:hAnsi="Times New Roman" w:cs="Times New Roman"/>
          <w:color w:val="191919"/>
          <w:sz w:val="24"/>
          <w:szCs w:val="24"/>
          <w:bdr w:val="none" w:sz="0" w:space="0" w:color="auto" w:frame="1"/>
          <w:shd w:val="clear" w:color="auto" w:fill="FFFFFF"/>
        </w:rPr>
        <w:t>insulin resistance syndrome</w:t>
      </w:r>
      <w:r w:rsidR="00803D00" w:rsidRPr="006D176A">
        <w:rPr>
          <w:rStyle w:val="Emphasis"/>
          <w:rFonts w:ascii="Times New Roman" w:hAnsi="Times New Roman" w:cs="Times New Roman"/>
          <w:color w:val="191919"/>
          <w:sz w:val="24"/>
          <w:szCs w:val="24"/>
          <w:bdr w:val="none" w:sz="0" w:space="0" w:color="auto" w:frame="1"/>
          <w:shd w:val="clear" w:color="auto" w:fill="FFFFFF"/>
        </w:rPr>
        <w:t xml:space="preserve"> </w:t>
      </w:r>
      <w:r w:rsidR="00A93A57" w:rsidRPr="006D176A">
        <w:rPr>
          <w:rStyle w:val="Emphasis"/>
          <w:rFonts w:ascii="Times New Roman" w:hAnsi="Times New Roman" w:cs="Times New Roman"/>
          <w:i w:val="0"/>
          <w:color w:val="191919"/>
          <w:sz w:val="24"/>
          <w:szCs w:val="24"/>
          <w:bdr w:val="none" w:sz="0" w:space="0" w:color="auto" w:frame="1"/>
          <w:shd w:val="clear" w:color="auto" w:fill="FFFFFF"/>
        </w:rPr>
        <w:t xml:space="preserve"> is used commonly</w:t>
      </w:r>
      <w:r w:rsidR="00803D00" w:rsidRPr="006D176A">
        <w:rPr>
          <w:rFonts w:ascii="Times New Roman" w:hAnsi="Times New Roman" w:cs="Times New Roman"/>
          <w:color w:val="191919"/>
          <w:sz w:val="24"/>
          <w:szCs w:val="24"/>
          <w:shd w:val="clear" w:color="auto" w:fill="FFFFFF"/>
        </w:rPr>
        <w:t xml:space="preserve"> </w:t>
      </w:r>
      <w:r w:rsidR="00D64132">
        <w:rPr>
          <w:rFonts w:ascii="Times New Roman" w:hAnsi="Times New Roman" w:cs="Times New Roman"/>
          <w:color w:val="191919"/>
          <w:sz w:val="24"/>
          <w:szCs w:val="24"/>
          <w:shd w:val="clear" w:color="auto" w:fill="FFFFFF"/>
          <w:vertAlign w:val="superscript"/>
        </w:rPr>
        <w:t>18</w:t>
      </w:r>
      <w:r w:rsidR="00A721A9">
        <w:rPr>
          <w:rFonts w:ascii="Times New Roman" w:hAnsi="Times New Roman" w:cs="Times New Roman"/>
          <w:color w:val="191919"/>
          <w:sz w:val="24"/>
          <w:szCs w:val="24"/>
          <w:shd w:val="clear" w:color="auto" w:fill="FFFFFF"/>
        </w:rPr>
        <w:t>.</w:t>
      </w:r>
    </w:p>
    <w:p w:rsidR="00052D31" w:rsidRPr="006D176A" w:rsidRDefault="00052D31" w:rsidP="00A721A9">
      <w:pPr>
        <w:spacing w:line="600" w:lineRule="auto"/>
        <w:jc w:val="both"/>
        <w:rPr>
          <w:rFonts w:ascii="Times New Roman" w:hAnsi="Times New Roman" w:cs="Times New Roman"/>
          <w:color w:val="222222"/>
          <w:sz w:val="24"/>
          <w:szCs w:val="24"/>
          <w:shd w:val="clear" w:color="auto" w:fill="FFFFFF"/>
        </w:rPr>
      </w:pPr>
      <w:r w:rsidRPr="006D176A">
        <w:rPr>
          <w:rFonts w:ascii="Times New Roman" w:hAnsi="Times New Roman" w:cs="Times New Roman"/>
          <w:color w:val="222222"/>
          <w:sz w:val="24"/>
          <w:szCs w:val="24"/>
          <w:shd w:val="clear" w:color="auto" w:fill="FFFFFF"/>
        </w:rPr>
        <w:t>Haller used</w:t>
      </w:r>
      <w:r w:rsidR="00A93A57" w:rsidRPr="006D176A">
        <w:rPr>
          <w:rFonts w:ascii="Times New Roman" w:hAnsi="Times New Roman" w:cs="Times New Roman"/>
          <w:color w:val="222222"/>
          <w:sz w:val="24"/>
          <w:szCs w:val="24"/>
          <w:shd w:val="clear" w:color="auto" w:fill="FFFFFF"/>
        </w:rPr>
        <w:t xml:space="preserve"> the term "metabolic syndrome" </w:t>
      </w:r>
      <w:r w:rsidRPr="006D176A">
        <w:rPr>
          <w:rFonts w:ascii="Times New Roman" w:hAnsi="Times New Roman" w:cs="Times New Roman"/>
          <w:color w:val="222222"/>
          <w:sz w:val="24"/>
          <w:szCs w:val="24"/>
          <w:shd w:val="clear" w:color="auto" w:fill="FFFFFF"/>
        </w:rPr>
        <w:t xml:space="preserve">for associations of obesity, diabetes, </w:t>
      </w:r>
    </w:p>
    <w:p w:rsidR="00052D31" w:rsidRPr="006D176A" w:rsidRDefault="00052D31" w:rsidP="00A721A9">
      <w:pPr>
        <w:spacing w:line="600" w:lineRule="auto"/>
        <w:jc w:val="both"/>
        <w:rPr>
          <w:rFonts w:ascii="Times New Roman" w:hAnsi="Times New Roman" w:cs="Times New Roman"/>
          <w:color w:val="222222"/>
          <w:sz w:val="24"/>
          <w:szCs w:val="24"/>
          <w:shd w:val="clear" w:color="auto" w:fill="FFFFFF"/>
        </w:rPr>
      </w:pPr>
      <w:r w:rsidRPr="006D176A">
        <w:rPr>
          <w:rFonts w:ascii="Times New Roman" w:hAnsi="Times New Roman" w:cs="Times New Roman"/>
          <w:color w:val="222222"/>
          <w:sz w:val="24"/>
          <w:szCs w:val="24"/>
          <w:shd w:val="clear" w:color="auto" w:fill="FFFFFF"/>
        </w:rPr>
        <w:t>hyperuricemia,</w:t>
      </w:r>
      <w:r w:rsidR="00A93A57" w:rsidRPr="006D176A">
        <w:rPr>
          <w:rFonts w:ascii="Times New Roman" w:hAnsi="Times New Roman" w:cs="Times New Roman"/>
          <w:color w:val="222222"/>
          <w:sz w:val="24"/>
          <w:szCs w:val="24"/>
          <w:shd w:val="clear" w:color="auto" w:fill="FFFFFF"/>
        </w:rPr>
        <w:t xml:space="preserve"> hyperlipoproteinemia,</w:t>
      </w:r>
      <w:r w:rsidRPr="006D176A">
        <w:rPr>
          <w:rFonts w:ascii="Times New Roman" w:hAnsi="Times New Roman" w:cs="Times New Roman"/>
          <w:color w:val="222222"/>
          <w:sz w:val="24"/>
          <w:szCs w:val="24"/>
          <w:shd w:val="clear" w:color="auto" w:fill="FFFFFF"/>
        </w:rPr>
        <w:t xml:space="preserve"> and </w:t>
      </w:r>
      <w:r w:rsidR="00A93A57" w:rsidRPr="006D176A">
        <w:rPr>
          <w:rFonts w:ascii="Times New Roman" w:hAnsi="Times New Roman" w:cs="Times New Roman"/>
          <w:color w:val="222222"/>
          <w:sz w:val="24"/>
          <w:szCs w:val="24"/>
          <w:shd w:val="clear" w:color="auto" w:fill="FFFFFF"/>
        </w:rPr>
        <w:t>hepatic steatosis while</w:t>
      </w:r>
      <w:r w:rsidRPr="006D176A">
        <w:rPr>
          <w:rFonts w:ascii="Times New Roman" w:hAnsi="Times New Roman" w:cs="Times New Roman"/>
          <w:color w:val="222222"/>
          <w:sz w:val="24"/>
          <w:szCs w:val="24"/>
          <w:shd w:val="clear" w:color="auto" w:fill="FFFFFF"/>
        </w:rPr>
        <w:t xml:space="preserve"> describing the additive </w:t>
      </w:r>
    </w:p>
    <w:p w:rsidR="00052D31" w:rsidRPr="00A721A9" w:rsidRDefault="00052D31" w:rsidP="00A721A9">
      <w:pPr>
        <w:spacing w:line="600" w:lineRule="auto"/>
        <w:jc w:val="both"/>
        <w:rPr>
          <w:rFonts w:ascii="Times New Roman" w:hAnsi="Times New Roman" w:cs="Times New Roman"/>
          <w:sz w:val="24"/>
          <w:szCs w:val="24"/>
        </w:rPr>
      </w:pPr>
      <w:r w:rsidRPr="006D176A">
        <w:rPr>
          <w:rFonts w:ascii="Times New Roman" w:hAnsi="Times New Roman" w:cs="Times New Roman"/>
          <w:color w:val="222222"/>
          <w:sz w:val="24"/>
          <w:szCs w:val="24"/>
          <w:shd w:val="clear" w:color="auto" w:fill="FFFFFF"/>
        </w:rPr>
        <w:t xml:space="preserve">effects of </w:t>
      </w:r>
      <w:r w:rsidR="00D64132">
        <w:rPr>
          <w:rFonts w:ascii="Times New Roman" w:hAnsi="Times New Roman" w:cs="Times New Roman"/>
          <w:color w:val="222222"/>
          <w:sz w:val="24"/>
          <w:szCs w:val="24"/>
          <w:shd w:val="clear" w:color="auto" w:fill="FFFFFF"/>
        </w:rPr>
        <w:t>risk factors on atherosclerosi</w:t>
      </w:r>
      <w:r w:rsidR="00B51204" w:rsidRPr="006D176A">
        <w:rPr>
          <w:rFonts w:ascii="Times New Roman" w:hAnsi="Times New Roman" w:cs="Times New Roman"/>
          <w:color w:val="222222"/>
          <w:sz w:val="24"/>
          <w:szCs w:val="24"/>
          <w:shd w:val="clear" w:color="auto" w:fill="FFFFFF"/>
          <w:vertAlign w:val="superscript"/>
        </w:rPr>
        <w:t>1</w:t>
      </w:r>
      <w:r w:rsidR="00D64132">
        <w:rPr>
          <w:rFonts w:ascii="Times New Roman" w:hAnsi="Times New Roman" w:cs="Times New Roman"/>
          <w:color w:val="222222"/>
          <w:sz w:val="24"/>
          <w:szCs w:val="24"/>
          <w:shd w:val="clear" w:color="auto" w:fill="FFFFFF"/>
          <w:vertAlign w:val="superscript"/>
        </w:rPr>
        <w:t>9</w:t>
      </w:r>
      <w:r w:rsidR="00A721A9">
        <w:rPr>
          <w:rFonts w:ascii="Times New Roman" w:hAnsi="Times New Roman" w:cs="Times New Roman"/>
          <w:color w:val="222222"/>
          <w:sz w:val="24"/>
          <w:szCs w:val="24"/>
          <w:shd w:val="clear" w:color="auto" w:fill="FFFFFF"/>
        </w:rPr>
        <w:t>.</w:t>
      </w:r>
      <w:r w:rsidRPr="006D176A">
        <w:rPr>
          <w:rFonts w:ascii="Times New Roman" w:hAnsi="Times New Roman" w:cs="Times New Roman"/>
          <w:color w:val="222222"/>
          <w:sz w:val="24"/>
          <w:szCs w:val="24"/>
          <w:shd w:val="clear" w:color="auto" w:fill="FFFFFF"/>
          <w:vertAlign w:val="superscript"/>
        </w:rPr>
        <w:t xml:space="preserve"> </w:t>
      </w:r>
      <w:r w:rsidR="00A93A57" w:rsidRPr="006D176A">
        <w:rPr>
          <w:rFonts w:ascii="Times New Roman" w:hAnsi="Times New Roman" w:cs="Times New Roman"/>
          <w:color w:val="222222"/>
          <w:sz w:val="24"/>
          <w:szCs w:val="24"/>
          <w:shd w:val="clear" w:color="auto" w:fill="FFFFFF"/>
        </w:rPr>
        <w:t xml:space="preserve"> </w:t>
      </w:r>
      <w:r w:rsidRPr="006D176A">
        <w:rPr>
          <w:rFonts w:ascii="Times New Roman" w:hAnsi="Times New Roman" w:cs="Times New Roman"/>
          <w:color w:val="222222"/>
          <w:sz w:val="24"/>
          <w:szCs w:val="24"/>
          <w:shd w:val="clear" w:color="auto" w:fill="FFFFFF"/>
        </w:rPr>
        <w:t xml:space="preserve">Singer </w:t>
      </w:r>
      <w:r w:rsidR="00A93A57" w:rsidRPr="006D176A">
        <w:rPr>
          <w:rFonts w:ascii="Times New Roman" w:hAnsi="Times New Roman" w:cs="Times New Roman"/>
          <w:color w:val="222222"/>
          <w:sz w:val="24"/>
          <w:szCs w:val="24"/>
          <w:shd w:val="clear" w:color="auto" w:fill="FFFFFF"/>
        </w:rPr>
        <w:t xml:space="preserve">also </w:t>
      </w:r>
      <w:r w:rsidRPr="006D176A">
        <w:rPr>
          <w:rFonts w:ascii="Times New Roman" w:hAnsi="Times New Roman" w:cs="Times New Roman"/>
          <w:color w:val="222222"/>
          <w:sz w:val="24"/>
          <w:szCs w:val="24"/>
          <w:shd w:val="clear" w:color="auto" w:fill="FFFFFF"/>
        </w:rPr>
        <w:t>used th</w:t>
      </w:r>
      <w:r w:rsidR="00A93A57" w:rsidRPr="006D176A">
        <w:rPr>
          <w:rFonts w:ascii="Times New Roman" w:hAnsi="Times New Roman" w:cs="Times New Roman"/>
          <w:color w:val="222222"/>
          <w:sz w:val="24"/>
          <w:szCs w:val="24"/>
          <w:shd w:val="clear" w:color="auto" w:fill="FFFFFF"/>
        </w:rPr>
        <w:t>is</w:t>
      </w:r>
      <w:r w:rsidRPr="006D176A">
        <w:rPr>
          <w:rFonts w:ascii="Times New Roman" w:hAnsi="Times New Roman" w:cs="Times New Roman"/>
          <w:color w:val="222222"/>
          <w:sz w:val="24"/>
          <w:szCs w:val="24"/>
          <w:shd w:val="clear" w:color="auto" w:fill="FFFFFF"/>
        </w:rPr>
        <w:t xml:space="preserve"> term for associations of obesity, gout, diabetes mellitus, and hypertension with hyperlipoprotenemia</w:t>
      </w:r>
      <w:r w:rsidR="00D64132">
        <w:rPr>
          <w:rFonts w:ascii="Times New Roman" w:hAnsi="Times New Roman" w:cs="Times New Roman"/>
          <w:color w:val="222222"/>
          <w:sz w:val="24"/>
          <w:szCs w:val="24"/>
          <w:shd w:val="clear" w:color="auto" w:fill="FFFFFF"/>
          <w:vertAlign w:val="superscript"/>
        </w:rPr>
        <w:t>20</w:t>
      </w:r>
      <w:r w:rsidR="00A721A9">
        <w:rPr>
          <w:rFonts w:ascii="Times New Roman" w:hAnsi="Times New Roman" w:cs="Times New Roman"/>
          <w:color w:val="222222"/>
          <w:sz w:val="24"/>
          <w:szCs w:val="24"/>
          <w:shd w:val="clear" w:color="auto" w:fill="FFFFFF"/>
        </w:rPr>
        <w:t>.</w:t>
      </w:r>
    </w:p>
    <w:p w:rsidR="002978E4" w:rsidRPr="006D176A" w:rsidRDefault="002978E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Shea S et al</w:t>
      </w:r>
      <w:r w:rsidR="00A93A57" w:rsidRPr="006D176A">
        <w:rPr>
          <w:rFonts w:ascii="Times New Roman" w:hAnsi="Times New Roman" w:cs="Times New Roman"/>
          <w:sz w:val="24"/>
          <w:szCs w:val="24"/>
        </w:rPr>
        <w:t>, in their study</w:t>
      </w:r>
      <w:r w:rsidR="00934C06" w:rsidRPr="006D176A">
        <w:rPr>
          <w:rFonts w:ascii="Times New Roman" w:hAnsi="Times New Roman" w:cs="Times New Roman"/>
          <w:sz w:val="24"/>
          <w:szCs w:val="24"/>
        </w:rPr>
        <w:t>,</w:t>
      </w:r>
      <w:r w:rsidR="00A93A57" w:rsidRPr="006D176A">
        <w:rPr>
          <w:rFonts w:ascii="Times New Roman" w:hAnsi="Times New Roman" w:cs="Times New Roman"/>
          <w:sz w:val="24"/>
          <w:szCs w:val="24"/>
        </w:rPr>
        <w:t xml:space="preserve"> </w:t>
      </w:r>
      <w:r w:rsidRPr="006D176A">
        <w:rPr>
          <w:rFonts w:ascii="Times New Roman" w:hAnsi="Times New Roman" w:cs="Times New Roman"/>
          <w:sz w:val="24"/>
          <w:szCs w:val="24"/>
        </w:rPr>
        <w:t>showed</w:t>
      </w:r>
      <w:r w:rsidR="00E75B6E" w:rsidRPr="006D176A">
        <w:rPr>
          <w:rFonts w:ascii="Times New Roman" w:hAnsi="Times New Roman" w:cs="Times New Roman"/>
          <w:sz w:val="24"/>
          <w:szCs w:val="24"/>
        </w:rPr>
        <w:t xml:space="preserve"> that</w:t>
      </w:r>
      <w:r w:rsidRPr="006D176A">
        <w:rPr>
          <w:rFonts w:ascii="Times New Roman" w:hAnsi="Times New Roman" w:cs="Times New Roman"/>
          <w:sz w:val="24"/>
          <w:szCs w:val="24"/>
        </w:rPr>
        <w:t xml:space="preserve"> obesity is associated with high levels of fasting insulin levels and more future risk of metabolic syndrome in children</w:t>
      </w:r>
      <w:r w:rsidR="00D64132">
        <w:rPr>
          <w:rFonts w:ascii="Times New Roman" w:hAnsi="Times New Roman" w:cs="Times New Roman"/>
          <w:sz w:val="24"/>
          <w:szCs w:val="24"/>
          <w:vertAlign w:val="superscript"/>
        </w:rPr>
        <w:t>21</w:t>
      </w:r>
      <w:r w:rsidRPr="006D176A">
        <w:rPr>
          <w:rFonts w:ascii="Times New Roman" w:hAnsi="Times New Roman" w:cs="Times New Roman"/>
          <w:sz w:val="24"/>
          <w:szCs w:val="24"/>
        </w:rPr>
        <w:t>.</w:t>
      </w:r>
    </w:p>
    <w:p w:rsidR="002978E4" w:rsidRPr="00A721A9" w:rsidRDefault="002978E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Study conducted by Cubeddu LX et al showed</w:t>
      </w:r>
      <w:r w:rsidR="00E75B6E" w:rsidRPr="006D176A">
        <w:rPr>
          <w:rFonts w:ascii="Times New Roman" w:hAnsi="Times New Roman" w:cs="Times New Roman"/>
          <w:sz w:val="24"/>
          <w:szCs w:val="24"/>
        </w:rPr>
        <w:t xml:space="preserve"> that</w:t>
      </w:r>
      <w:r w:rsidRPr="006D176A">
        <w:rPr>
          <w:rFonts w:ascii="Times New Roman" w:hAnsi="Times New Roman" w:cs="Times New Roman"/>
          <w:sz w:val="24"/>
          <w:szCs w:val="24"/>
        </w:rPr>
        <w:t xml:space="preserve"> impaired β-cell function and increased insulin resistance </w:t>
      </w:r>
      <w:r w:rsidR="00E75B6E" w:rsidRPr="006D176A">
        <w:rPr>
          <w:rFonts w:ascii="Times New Roman" w:hAnsi="Times New Roman" w:cs="Times New Roman"/>
          <w:sz w:val="24"/>
          <w:szCs w:val="24"/>
        </w:rPr>
        <w:t>precedes</w:t>
      </w:r>
      <w:r w:rsidRPr="006D176A">
        <w:rPr>
          <w:rFonts w:ascii="Times New Roman" w:hAnsi="Times New Roman" w:cs="Times New Roman"/>
          <w:sz w:val="24"/>
          <w:szCs w:val="24"/>
        </w:rPr>
        <w:t xml:space="preserve"> dev</w:t>
      </w:r>
      <w:r w:rsidR="00E75B6E" w:rsidRPr="006D176A">
        <w:rPr>
          <w:rFonts w:ascii="Times New Roman" w:hAnsi="Times New Roman" w:cs="Times New Roman"/>
          <w:sz w:val="24"/>
          <w:szCs w:val="24"/>
        </w:rPr>
        <w:t>elopment of metabolic syndrome and</w:t>
      </w:r>
      <w:r w:rsidRPr="006D176A">
        <w:rPr>
          <w:rFonts w:ascii="Times New Roman" w:hAnsi="Times New Roman" w:cs="Times New Roman"/>
          <w:sz w:val="24"/>
          <w:szCs w:val="24"/>
        </w:rPr>
        <w:t xml:space="preserve"> IGT</w:t>
      </w:r>
      <w:r w:rsidR="00D64132">
        <w:rPr>
          <w:rFonts w:ascii="Times New Roman" w:hAnsi="Times New Roman" w:cs="Times New Roman"/>
          <w:sz w:val="24"/>
          <w:szCs w:val="24"/>
          <w:vertAlign w:val="superscript"/>
        </w:rPr>
        <w:t xml:space="preserve"> 22</w:t>
      </w:r>
      <w:r w:rsidR="00A721A9">
        <w:rPr>
          <w:rFonts w:ascii="Times New Roman" w:hAnsi="Times New Roman" w:cs="Times New Roman"/>
          <w:sz w:val="24"/>
          <w:szCs w:val="24"/>
        </w:rPr>
        <w:t>.</w:t>
      </w:r>
    </w:p>
    <w:p w:rsidR="002978E4" w:rsidRPr="00A721A9" w:rsidRDefault="00E75B6E"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w:t>
      </w:r>
      <w:r w:rsidR="002978E4" w:rsidRPr="006D176A">
        <w:rPr>
          <w:rFonts w:ascii="Times New Roman" w:hAnsi="Times New Roman" w:cs="Times New Roman"/>
          <w:sz w:val="24"/>
          <w:szCs w:val="24"/>
        </w:rPr>
        <w:t xml:space="preserve">n </w:t>
      </w:r>
      <w:r w:rsidRPr="006D176A">
        <w:rPr>
          <w:rFonts w:ascii="Times New Roman" w:hAnsi="Times New Roman" w:cs="Times New Roman"/>
          <w:sz w:val="24"/>
          <w:szCs w:val="24"/>
        </w:rPr>
        <w:t>a</w:t>
      </w:r>
      <w:r w:rsidR="002978E4" w:rsidRPr="006D176A">
        <w:rPr>
          <w:rFonts w:ascii="Times New Roman" w:hAnsi="Times New Roman" w:cs="Times New Roman"/>
          <w:sz w:val="24"/>
          <w:szCs w:val="24"/>
        </w:rPr>
        <w:t xml:space="preserve"> prospective cohort study</w:t>
      </w:r>
      <w:r w:rsidRPr="006D176A">
        <w:rPr>
          <w:rFonts w:ascii="Times New Roman" w:hAnsi="Times New Roman" w:cs="Times New Roman"/>
          <w:sz w:val="24"/>
          <w:szCs w:val="24"/>
        </w:rPr>
        <w:t>, Haffner SM et al</w:t>
      </w:r>
      <w:r w:rsidR="002978E4" w:rsidRPr="006D176A">
        <w:rPr>
          <w:rFonts w:ascii="Times New Roman" w:hAnsi="Times New Roman" w:cs="Times New Roman"/>
          <w:sz w:val="24"/>
          <w:szCs w:val="24"/>
        </w:rPr>
        <w:t xml:space="preserve"> reported </w:t>
      </w:r>
      <w:r w:rsidRPr="006D176A">
        <w:rPr>
          <w:rFonts w:ascii="Times New Roman" w:hAnsi="Times New Roman" w:cs="Times New Roman"/>
          <w:sz w:val="24"/>
          <w:szCs w:val="24"/>
        </w:rPr>
        <w:t>t</w:t>
      </w:r>
      <w:r w:rsidR="002978E4" w:rsidRPr="006D176A">
        <w:rPr>
          <w:rFonts w:ascii="Times New Roman" w:hAnsi="Times New Roman" w:cs="Times New Roman"/>
          <w:sz w:val="24"/>
          <w:szCs w:val="24"/>
        </w:rPr>
        <w:t>hat hyperinsulinaemia precedes metabolic impairment in the insulin-resistance syndrome, suggesting that insulin resistance could be the cause of various risk fa</w:t>
      </w:r>
      <w:r w:rsidR="00A721A9">
        <w:rPr>
          <w:rFonts w:ascii="Times New Roman" w:hAnsi="Times New Roman" w:cs="Times New Roman"/>
          <w:sz w:val="24"/>
          <w:szCs w:val="24"/>
        </w:rPr>
        <w:t>ctors of the metabolic syndrome</w:t>
      </w:r>
      <w:r w:rsidR="00D64132">
        <w:rPr>
          <w:rFonts w:ascii="Times New Roman" w:hAnsi="Times New Roman" w:cs="Times New Roman"/>
          <w:sz w:val="24"/>
          <w:szCs w:val="24"/>
          <w:vertAlign w:val="superscript"/>
        </w:rPr>
        <w:t xml:space="preserve"> 23</w:t>
      </w:r>
      <w:r w:rsidR="00A721A9">
        <w:rPr>
          <w:rFonts w:ascii="Times New Roman" w:hAnsi="Times New Roman" w:cs="Times New Roman"/>
          <w:sz w:val="24"/>
          <w:szCs w:val="24"/>
        </w:rPr>
        <w:t>.</w:t>
      </w:r>
    </w:p>
    <w:p w:rsidR="00532329" w:rsidRPr="00A721A9" w:rsidRDefault="0053232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Study done by Budak N et al showed low HDL and insulin resistance were the most common criteria for diagnosing metabolic syndrome in 12-19 year adolescents and </w:t>
      </w:r>
      <w:r w:rsidR="00503D25" w:rsidRPr="006D176A">
        <w:rPr>
          <w:rFonts w:ascii="Times New Roman" w:hAnsi="Times New Roman" w:cs="Times New Roman"/>
          <w:sz w:val="24"/>
          <w:szCs w:val="24"/>
        </w:rPr>
        <w:t xml:space="preserve">advocated on the importance of </w:t>
      </w:r>
      <w:r w:rsidRPr="006D176A">
        <w:rPr>
          <w:rFonts w:ascii="Times New Roman" w:hAnsi="Times New Roman" w:cs="Times New Roman"/>
          <w:sz w:val="24"/>
          <w:szCs w:val="24"/>
        </w:rPr>
        <w:t>early detection</w:t>
      </w:r>
      <w:r w:rsidR="00503D25" w:rsidRPr="006D176A">
        <w:rPr>
          <w:rFonts w:ascii="Times New Roman" w:hAnsi="Times New Roman" w:cs="Times New Roman"/>
          <w:sz w:val="24"/>
          <w:szCs w:val="24"/>
        </w:rPr>
        <w:t xml:space="preserve"> as it</w:t>
      </w:r>
      <w:r w:rsidRPr="006D176A">
        <w:rPr>
          <w:rFonts w:ascii="Times New Roman" w:hAnsi="Times New Roman" w:cs="Times New Roman"/>
          <w:sz w:val="24"/>
          <w:szCs w:val="24"/>
        </w:rPr>
        <w:t xml:space="preserve"> helps to prevent diabe</w:t>
      </w:r>
      <w:r w:rsidR="00A721A9">
        <w:rPr>
          <w:rFonts w:ascii="Times New Roman" w:hAnsi="Times New Roman" w:cs="Times New Roman"/>
          <w:sz w:val="24"/>
          <w:szCs w:val="24"/>
        </w:rPr>
        <w:t>tes and cardiovascular diseases</w:t>
      </w:r>
      <w:r w:rsidR="00D64132">
        <w:rPr>
          <w:rFonts w:ascii="Times New Roman" w:hAnsi="Times New Roman" w:cs="Times New Roman"/>
          <w:sz w:val="24"/>
          <w:szCs w:val="24"/>
          <w:vertAlign w:val="superscript"/>
        </w:rPr>
        <w:t xml:space="preserve"> 24</w:t>
      </w:r>
      <w:r w:rsidR="00A721A9">
        <w:rPr>
          <w:rFonts w:ascii="Times New Roman" w:hAnsi="Times New Roman" w:cs="Times New Roman"/>
          <w:sz w:val="24"/>
          <w:szCs w:val="24"/>
        </w:rPr>
        <w:t>.</w:t>
      </w:r>
    </w:p>
    <w:p w:rsidR="00532329" w:rsidRPr="00A721A9" w:rsidRDefault="0053232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Rask-Madsen C et al</w:t>
      </w:r>
      <w:r w:rsidR="00503D25" w:rsidRPr="006D176A">
        <w:rPr>
          <w:rFonts w:ascii="Times New Roman" w:hAnsi="Times New Roman" w:cs="Times New Roman"/>
          <w:sz w:val="24"/>
          <w:szCs w:val="24"/>
        </w:rPr>
        <w:t>, in their study,</w:t>
      </w:r>
      <w:r w:rsidRPr="006D176A">
        <w:rPr>
          <w:rFonts w:ascii="Times New Roman" w:hAnsi="Times New Roman" w:cs="Times New Roman"/>
          <w:sz w:val="24"/>
          <w:szCs w:val="24"/>
        </w:rPr>
        <w:t xml:space="preserve"> showed</w:t>
      </w:r>
      <w:r w:rsidR="00503D25" w:rsidRPr="006D176A">
        <w:rPr>
          <w:rFonts w:ascii="Times New Roman" w:hAnsi="Times New Roman" w:cs="Times New Roman"/>
          <w:sz w:val="24"/>
          <w:szCs w:val="24"/>
        </w:rPr>
        <w:t xml:space="preserve"> that</w:t>
      </w:r>
      <w:r w:rsidRPr="006D176A">
        <w:rPr>
          <w:rFonts w:ascii="Times New Roman" w:hAnsi="Times New Roman" w:cs="Times New Roman"/>
          <w:sz w:val="24"/>
          <w:szCs w:val="24"/>
        </w:rPr>
        <w:t xml:space="preserve"> impaired insulin </w:t>
      </w:r>
      <w:r w:rsidR="00503D25" w:rsidRPr="006D176A">
        <w:rPr>
          <w:rFonts w:ascii="Times New Roman" w:hAnsi="Times New Roman" w:cs="Times New Roman"/>
          <w:sz w:val="24"/>
          <w:szCs w:val="24"/>
        </w:rPr>
        <w:t>signalling</w:t>
      </w:r>
      <w:r w:rsidRPr="006D176A">
        <w:rPr>
          <w:rFonts w:ascii="Times New Roman" w:hAnsi="Times New Roman" w:cs="Times New Roman"/>
          <w:sz w:val="24"/>
          <w:szCs w:val="24"/>
        </w:rPr>
        <w:t xml:space="preserve"> is central to development of the metabolic syndrome and can promote cardiovascular disease indirectly through development of abnormal glucose and lipid metabolism, hypertensi</w:t>
      </w:r>
      <w:r w:rsidR="00A721A9">
        <w:rPr>
          <w:rFonts w:ascii="Times New Roman" w:hAnsi="Times New Roman" w:cs="Times New Roman"/>
          <w:sz w:val="24"/>
          <w:szCs w:val="24"/>
        </w:rPr>
        <w:t>on, and a proinflammatory state</w:t>
      </w:r>
      <w:r w:rsidR="00D64132">
        <w:rPr>
          <w:rFonts w:ascii="Times New Roman" w:hAnsi="Times New Roman" w:cs="Times New Roman"/>
          <w:sz w:val="24"/>
          <w:szCs w:val="24"/>
          <w:vertAlign w:val="superscript"/>
        </w:rPr>
        <w:t xml:space="preserve"> 25</w:t>
      </w:r>
      <w:r w:rsidR="00A721A9">
        <w:rPr>
          <w:rFonts w:ascii="Times New Roman" w:hAnsi="Times New Roman" w:cs="Times New Roman"/>
          <w:sz w:val="24"/>
          <w:szCs w:val="24"/>
        </w:rPr>
        <w:t>.</w:t>
      </w:r>
    </w:p>
    <w:p w:rsidR="004D7C05" w:rsidRPr="006D176A" w:rsidRDefault="00A721A9"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METABOLIC SYNDROME DEFINITION</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Various groups have laid out criteria based on certain clinical, anthropometric and biochemical parameters to define the metabolic syndrome. The</w:t>
      </w:r>
      <w:r w:rsidR="00503D25" w:rsidRPr="006D176A">
        <w:rPr>
          <w:rFonts w:ascii="Times New Roman" w:hAnsi="Times New Roman" w:cs="Times New Roman"/>
          <w:sz w:val="24"/>
          <w:szCs w:val="24"/>
        </w:rPr>
        <w:t xml:space="preserve"> major and commonly used</w:t>
      </w:r>
      <w:r w:rsidRPr="006D176A">
        <w:rPr>
          <w:rFonts w:ascii="Times New Roman" w:hAnsi="Times New Roman" w:cs="Times New Roman"/>
          <w:sz w:val="24"/>
          <w:szCs w:val="24"/>
        </w:rPr>
        <w:t xml:space="preserve"> definitions for metabolic syndrome </w:t>
      </w:r>
      <w:r w:rsidR="00503D25" w:rsidRPr="006D176A">
        <w:rPr>
          <w:rFonts w:ascii="Times New Roman" w:hAnsi="Times New Roman" w:cs="Times New Roman"/>
          <w:sz w:val="24"/>
          <w:szCs w:val="24"/>
        </w:rPr>
        <w:t xml:space="preserve">are </w:t>
      </w:r>
      <w:r w:rsidRPr="006D176A">
        <w:rPr>
          <w:rFonts w:ascii="Times New Roman" w:hAnsi="Times New Roman" w:cs="Times New Roman"/>
          <w:sz w:val="24"/>
          <w:szCs w:val="24"/>
        </w:rPr>
        <w:t>provided by the International Diabetes Federation and the revised National Cholesterol Ed</w:t>
      </w:r>
      <w:r w:rsidR="00F83195" w:rsidRPr="006D176A">
        <w:rPr>
          <w:rFonts w:ascii="Times New Roman" w:hAnsi="Times New Roman" w:cs="Times New Roman"/>
          <w:sz w:val="24"/>
          <w:szCs w:val="24"/>
        </w:rPr>
        <w:t>ucation Prog</w:t>
      </w:r>
      <w:r w:rsidR="00503D25" w:rsidRPr="006D176A">
        <w:rPr>
          <w:rFonts w:ascii="Times New Roman" w:hAnsi="Times New Roman" w:cs="Times New Roman"/>
          <w:sz w:val="24"/>
          <w:szCs w:val="24"/>
        </w:rPr>
        <w:t>ram</w:t>
      </w:r>
      <w:r w:rsidR="00F83195" w:rsidRPr="006D176A">
        <w:rPr>
          <w:rFonts w:ascii="Times New Roman" w:hAnsi="Times New Roman" w:cs="Times New Roman"/>
          <w:sz w:val="24"/>
          <w:szCs w:val="24"/>
          <w:vertAlign w:val="superscript"/>
        </w:rPr>
        <w:t>2</w:t>
      </w:r>
      <w:r w:rsidR="00D64132">
        <w:rPr>
          <w:rFonts w:ascii="Times New Roman" w:hAnsi="Times New Roman" w:cs="Times New Roman"/>
          <w:sz w:val="24"/>
          <w:szCs w:val="24"/>
          <w:vertAlign w:val="superscript"/>
        </w:rPr>
        <w:t>6</w:t>
      </w:r>
      <w:r w:rsidR="00F83195" w:rsidRPr="006D176A">
        <w:rPr>
          <w:rFonts w:ascii="Times New Roman" w:hAnsi="Times New Roman" w:cs="Times New Roman"/>
          <w:sz w:val="24"/>
          <w:szCs w:val="24"/>
        </w:rPr>
        <w:t>.</w:t>
      </w:r>
      <w:r w:rsidR="00503D25"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The </w:t>
      </w:r>
      <w:r w:rsidR="007F5B33" w:rsidRPr="006D176A">
        <w:rPr>
          <w:rFonts w:ascii="Times New Roman" w:hAnsi="Times New Roman" w:cs="Times New Roman"/>
          <w:sz w:val="24"/>
          <w:szCs w:val="24"/>
        </w:rPr>
        <w:t xml:space="preserve">main </w:t>
      </w:r>
      <w:r w:rsidRPr="006D176A">
        <w:rPr>
          <w:rFonts w:ascii="Times New Roman" w:hAnsi="Times New Roman" w:cs="Times New Roman"/>
          <w:sz w:val="24"/>
          <w:szCs w:val="24"/>
        </w:rPr>
        <w:t>differences</w:t>
      </w:r>
      <w:r w:rsidR="007F5B33" w:rsidRPr="006D176A">
        <w:rPr>
          <w:rFonts w:ascii="Times New Roman" w:hAnsi="Times New Roman" w:cs="Times New Roman"/>
          <w:sz w:val="24"/>
          <w:szCs w:val="24"/>
        </w:rPr>
        <w:t xml:space="preserve"> between the two </w:t>
      </w:r>
      <w:r w:rsidR="007F5B33" w:rsidRPr="006D176A">
        <w:rPr>
          <w:rFonts w:ascii="Times New Roman" w:hAnsi="Times New Roman" w:cs="Times New Roman"/>
          <w:sz w:val="24"/>
          <w:szCs w:val="24"/>
        </w:rPr>
        <w:lastRenderedPageBreak/>
        <w:t>definitions</w:t>
      </w:r>
      <w:r w:rsidRPr="006D176A">
        <w:rPr>
          <w:rFonts w:ascii="Times New Roman" w:hAnsi="Times New Roman" w:cs="Times New Roman"/>
          <w:sz w:val="24"/>
          <w:szCs w:val="24"/>
        </w:rPr>
        <w:t xml:space="preserve"> are that</w:t>
      </w:r>
      <w:r w:rsidR="007F5B33" w:rsidRPr="006D176A">
        <w:rPr>
          <w:rFonts w:ascii="Times New Roman" w:hAnsi="Times New Roman" w:cs="Times New Roman"/>
          <w:sz w:val="24"/>
          <w:szCs w:val="24"/>
        </w:rPr>
        <w:t>,</w:t>
      </w:r>
      <w:r w:rsidRPr="006D176A">
        <w:rPr>
          <w:rFonts w:ascii="Times New Roman" w:hAnsi="Times New Roman" w:cs="Times New Roman"/>
          <w:sz w:val="24"/>
          <w:szCs w:val="24"/>
        </w:rPr>
        <w:t xml:space="preserve"> IDF state if BMI&gt;30 kg/m2 central obesity can be assumed and waist circumference does not need to be measured. However, this potentially excludes any subject without increased waist circumference if BMI&lt;30, whereas, in the NCEP definition, metabolic syndrome can be diagnosed based on other criteria and the IDF uses geography-specific cut points for waist circumference, while NCEP uses only one set of cut points for waist circumference regardless of geography. These two definitions are much closer to each other than the original NCEP and WHO definitions.</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In this study definition as per IDF has been considered.   </w:t>
      </w:r>
    </w:p>
    <w:p w:rsidR="00665686" w:rsidRPr="006D176A" w:rsidRDefault="00F83195"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IDF CRITERIA</w:t>
      </w:r>
      <w:r w:rsidR="00D64132">
        <w:rPr>
          <w:rFonts w:ascii="Times New Roman" w:hAnsi="Times New Roman" w:cs="Times New Roman"/>
          <w:sz w:val="24"/>
          <w:szCs w:val="24"/>
          <w:vertAlign w:val="superscript"/>
        </w:rPr>
        <w:t>27</w:t>
      </w:r>
      <w:r w:rsidR="00A721A9">
        <w:rPr>
          <w:rFonts w:ascii="Times New Roman" w:hAnsi="Times New Roman" w:cs="Times New Roman"/>
          <w:sz w:val="24"/>
          <w:szCs w:val="24"/>
        </w:rPr>
        <w:t>:</w:t>
      </w:r>
      <w:r w:rsidR="00665686" w:rsidRPr="006D176A">
        <w:rPr>
          <w:rFonts w:ascii="Times New Roman" w:hAnsi="Times New Roman" w:cs="Times New Roman"/>
          <w:sz w:val="24"/>
          <w:szCs w:val="24"/>
        </w:rPr>
        <w:t xml:space="preserve">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The essential presence of central adiposity defined as waist circumference of &gt;/=90cm in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males and &gt;/=80 in females in the Indian population.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Along with central adiposity two of the following four factors should be present to define </w:t>
      </w:r>
      <w:r w:rsidR="007F5B33" w:rsidRPr="006D176A">
        <w:rPr>
          <w:rFonts w:ascii="Times New Roman" w:hAnsi="Times New Roman" w:cs="Times New Roman"/>
          <w:sz w:val="24"/>
          <w:szCs w:val="24"/>
        </w:rPr>
        <w:t>the</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metabolic syndrome: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1. Fasting triglycerides &gt;150 mg/dl or specific medication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2. HDL cholesterol &lt;40 mg/dl</w:t>
      </w:r>
      <w:r w:rsidR="007F5B33" w:rsidRPr="006D176A">
        <w:rPr>
          <w:rFonts w:ascii="Times New Roman" w:hAnsi="Times New Roman" w:cs="Times New Roman"/>
          <w:sz w:val="24"/>
          <w:szCs w:val="24"/>
        </w:rPr>
        <w:t xml:space="preserve"> for men</w:t>
      </w:r>
      <w:r w:rsidRPr="006D176A">
        <w:rPr>
          <w:rFonts w:ascii="Times New Roman" w:hAnsi="Times New Roman" w:cs="Times New Roman"/>
          <w:sz w:val="24"/>
          <w:szCs w:val="24"/>
        </w:rPr>
        <w:t xml:space="preserve"> and &lt;50 mg/dl for</w:t>
      </w:r>
      <w:r w:rsidR="007F5B33" w:rsidRPr="006D176A">
        <w:rPr>
          <w:rFonts w:ascii="Times New Roman" w:hAnsi="Times New Roman" w:cs="Times New Roman"/>
          <w:sz w:val="24"/>
          <w:szCs w:val="24"/>
        </w:rPr>
        <w:t xml:space="preserve"> women</w:t>
      </w:r>
      <w:r w:rsidRPr="006D176A">
        <w:rPr>
          <w:rFonts w:ascii="Times New Roman" w:hAnsi="Times New Roman" w:cs="Times New Roman"/>
          <w:sz w:val="24"/>
          <w:szCs w:val="24"/>
        </w:rPr>
        <w:t xml:space="preserve">, or specific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medication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3. Blood pressure &gt;130 mm systolic or &gt;85 mm diastolic or previous diagnosis or specific</w:t>
      </w:r>
      <w:r w:rsidR="00A721A9">
        <w:rPr>
          <w:rFonts w:ascii="Times New Roman" w:hAnsi="Times New Roman" w:cs="Times New Roman"/>
          <w:sz w:val="24"/>
          <w:szCs w:val="24"/>
        </w:rPr>
        <w:t xml:space="preserve">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 xml:space="preserve">medication </w:t>
      </w:r>
    </w:p>
    <w:p w:rsidR="00665686" w:rsidRPr="006D176A" w:rsidRDefault="00665686"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4. Fasting plasma glucose 100 mg/dl or previously diagnosed Type 2 diabetes</w:t>
      </w:r>
    </w:p>
    <w:p w:rsidR="00763705" w:rsidRPr="006D176A" w:rsidRDefault="00763705"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NCEP</w:t>
      </w:r>
      <w:r w:rsidR="007F5B33" w:rsidRPr="006D176A">
        <w:rPr>
          <w:rFonts w:ascii="Times New Roman" w:hAnsi="Times New Roman" w:cs="Times New Roman"/>
          <w:sz w:val="24"/>
          <w:szCs w:val="24"/>
        </w:rPr>
        <w:t xml:space="preserve"> CRITERIA</w:t>
      </w:r>
      <w:r w:rsidR="00A721A9">
        <w:rPr>
          <w:rFonts w:ascii="Times New Roman" w:hAnsi="Times New Roman" w:cs="Times New Roman"/>
          <w:sz w:val="24"/>
          <w:szCs w:val="24"/>
        </w:rPr>
        <w:t>:</w:t>
      </w:r>
    </w:p>
    <w:p w:rsidR="00763705" w:rsidRPr="006D176A" w:rsidRDefault="00763705"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US National Cholesterol Education Program Adult Treatment Panel III (2001) requires at least three of the following:</w:t>
      </w:r>
    </w:p>
    <w:p w:rsidR="00763705" w:rsidRPr="006D176A" w:rsidRDefault="00763705"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Central obesity: waist circumference ≥ 102 cm or 40 inches (male), ≥ 88 cm or 36 inches(female) </w:t>
      </w:r>
    </w:p>
    <w:p w:rsidR="00763705" w:rsidRPr="006D176A" w:rsidRDefault="00763705"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Dyslipidaemia: TG ≥ 1.695 mmol/L (150 mg/dl) </w:t>
      </w:r>
    </w:p>
    <w:p w:rsidR="00763705" w:rsidRPr="006D176A" w:rsidRDefault="007F5B33"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Dyslipidaemia: HDL</w:t>
      </w:r>
      <w:r w:rsidR="00763705" w:rsidRPr="006D176A">
        <w:rPr>
          <w:rFonts w:ascii="Times New Roman" w:hAnsi="Times New Roman" w:cs="Times New Roman"/>
          <w:sz w:val="24"/>
          <w:szCs w:val="24"/>
        </w:rPr>
        <w:t xml:space="preserve"> &lt; 40 mg/dL (male), &lt; 50 mg/dL (female) </w:t>
      </w:r>
    </w:p>
    <w:p w:rsidR="00763705" w:rsidRPr="006D176A" w:rsidRDefault="00763705"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Blood pressure ≥ 130/85 mmHg </w:t>
      </w:r>
    </w:p>
    <w:p w:rsidR="00763705" w:rsidRPr="006D176A" w:rsidRDefault="00763705"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Fasting plasma glucose ≥ 6.1 mmol/L (110 mg/dl)</w:t>
      </w:r>
    </w:p>
    <w:p w:rsidR="00853A91" w:rsidRPr="006D176A" w:rsidRDefault="00A721A9"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EPIDEMIOLOGY OF METABOLIC SYNDROME</w:t>
      </w:r>
    </w:p>
    <w:p w:rsidR="00853A91" w:rsidRPr="006D176A" w:rsidRDefault="00853A9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metabolic syndrome</w:t>
      </w:r>
      <w:r w:rsidR="00D02C13" w:rsidRPr="006D176A">
        <w:rPr>
          <w:rFonts w:ascii="Times New Roman" w:hAnsi="Times New Roman" w:cs="Times New Roman"/>
          <w:sz w:val="24"/>
          <w:szCs w:val="24"/>
        </w:rPr>
        <w:t xml:space="preserve"> prevalence </w:t>
      </w:r>
      <w:r w:rsidRPr="006D176A">
        <w:rPr>
          <w:rFonts w:ascii="Times New Roman" w:hAnsi="Times New Roman" w:cs="Times New Roman"/>
          <w:sz w:val="24"/>
          <w:szCs w:val="24"/>
        </w:rPr>
        <w:t>varies</w:t>
      </w:r>
      <w:r w:rsidR="00D02C13" w:rsidRPr="006D176A">
        <w:rPr>
          <w:rFonts w:ascii="Times New Roman" w:hAnsi="Times New Roman" w:cs="Times New Roman"/>
          <w:sz w:val="24"/>
          <w:szCs w:val="24"/>
        </w:rPr>
        <w:t xml:space="preserve"> around the world, the variation reflects</w:t>
      </w:r>
      <w:r w:rsidRPr="006D176A">
        <w:rPr>
          <w:rFonts w:ascii="Times New Roman" w:hAnsi="Times New Roman" w:cs="Times New Roman"/>
          <w:sz w:val="24"/>
          <w:szCs w:val="24"/>
        </w:rPr>
        <w:t xml:space="preserve"> the age</w:t>
      </w:r>
    </w:p>
    <w:p w:rsidR="00853A91" w:rsidRPr="006D176A" w:rsidRDefault="00853A9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and ethnicity of the populations studied and the diagnostic criteria applied. In general, the</w:t>
      </w:r>
    </w:p>
    <w:p w:rsidR="00E77A0B" w:rsidRPr="006D176A" w:rsidRDefault="00853A9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metabolic syndrome</w:t>
      </w:r>
      <w:r w:rsidR="00D02C13" w:rsidRPr="006D176A">
        <w:rPr>
          <w:rFonts w:ascii="Times New Roman" w:hAnsi="Times New Roman" w:cs="Times New Roman"/>
          <w:sz w:val="24"/>
          <w:szCs w:val="24"/>
        </w:rPr>
        <w:t xml:space="preserve"> prevalence</w:t>
      </w:r>
      <w:r w:rsidRPr="006D176A">
        <w:rPr>
          <w:rFonts w:ascii="Times New Roman" w:hAnsi="Times New Roman" w:cs="Times New Roman"/>
          <w:sz w:val="24"/>
          <w:szCs w:val="24"/>
        </w:rPr>
        <w:t xml:space="preserve"> increases with age.</w:t>
      </w:r>
      <w:r w:rsidR="00A721A9">
        <w:rPr>
          <w:rFonts w:ascii="Times New Roman" w:hAnsi="Times New Roman" w:cs="Times New Roman"/>
          <w:sz w:val="24"/>
          <w:szCs w:val="24"/>
        </w:rPr>
        <w:t xml:space="preserve"> </w:t>
      </w:r>
      <w:r w:rsidR="00E77A0B" w:rsidRPr="006D176A">
        <w:rPr>
          <w:rFonts w:ascii="Times New Roman" w:hAnsi="Times New Roman" w:cs="Times New Roman"/>
          <w:sz w:val="24"/>
          <w:szCs w:val="24"/>
        </w:rPr>
        <w:t>Greater industrialization worldwide is associated with increasing rates of obesity, which is</w:t>
      </w:r>
      <w:r w:rsidR="00A721A9">
        <w:rPr>
          <w:rFonts w:ascii="Times New Roman" w:hAnsi="Times New Roman" w:cs="Times New Roman"/>
          <w:sz w:val="24"/>
          <w:szCs w:val="24"/>
        </w:rPr>
        <w:t xml:space="preserve"> </w:t>
      </w:r>
      <w:r w:rsidR="00E77A0B" w:rsidRPr="006D176A">
        <w:rPr>
          <w:rFonts w:ascii="Times New Roman" w:hAnsi="Times New Roman" w:cs="Times New Roman"/>
          <w:sz w:val="24"/>
          <w:szCs w:val="24"/>
        </w:rPr>
        <w:t>anticipated to increase the prevalence of metabolic syndrome markedly, especially as the</w:t>
      </w:r>
      <w:r w:rsidR="00A721A9">
        <w:rPr>
          <w:rFonts w:ascii="Times New Roman" w:hAnsi="Times New Roman" w:cs="Times New Roman"/>
          <w:sz w:val="24"/>
          <w:szCs w:val="24"/>
        </w:rPr>
        <w:t xml:space="preserve"> </w:t>
      </w:r>
      <w:r w:rsidR="00E77A0B" w:rsidRPr="006D176A">
        <w:rPr>
          <w:rFonts w:ascii="Times New Roman" w:hAnsi="Times New Roman" w:cs="Times New Roman"/>
          <w:sz w:val="24"/>
          <w:szCs w:val="24"/>
        </w:rPr>
        <w:t xml:space="preserve">population ages. Moreover, the increasing </w:t>
      </w:r>
      <w:r w:rsidR="00E77A0B" w:rsidRPr="006D176A">
        <w:rPr>
          <w:rFonts w:ascii="Times New Roman" w:hAnsi="Times New Roman" w:cs="Times New Roman"/>
          <w:sz w:val="24"/>
          <w:szCs w:val="24"/>
        </w:rPr>
        <w:lastRenderedPageBreak/>
        <w:t>prevalence and severity of obesity in children is</w:t>
      </w:r>
      <w:r w:rsidR="00A721A9">
        <w:rPr>
          <w:rFonts w:ascii="Times New Roman" w:hAnsi="Times New Roman" w:cs="Times New Roman"/>
          <w:sz w:val="24"/>
          <w:szCs w:val="24"/>
        </w:rPr>
        <w:t xml:space="preserve"> </w:t>
      </w:r>
      <w:r w:rsidR="00E77A0B" w:rsidRPr="006D176A">
        <w:rPr>
          <w:rFonts w:ascii="Times New Roman" w:hAnsi="Times New Roman" w:cs="Times New Roman"/>
          <w:sz w:val="24"/>
          <w:szCs w:val="24"/>
        </w:rPr>
        <w:t>initiating features of metabolic syndrome in a younger population</w:t>
      </w:r>
      <w:r w:rsidR="00D64132">
        <w:rPr>
          <w:rFonts w:ascii="Times New Roman" w:hAnsi="Times New Roman" w:cs="Times New Roman"/>
          <w:sz w:val="24"/>
          <w:szCs w:val="24"/>
          <w:vertAlign w:val="superscript"/>
        </w:rPr>
        <w:t>28</w:t>
      </w:r>
      <w:r w:rsidR="00E77A0B" w:rsidRPr="006D176A">
        <w:rPr>
          <w:rFonts w:ascii="Times New Roman" w:hAnsi="Times New Roman" w:cs="Times New Roman"/>
          <w:sz w:val="24"/>
          <w:szCs w:val="24"/>
        </w:rPr>
        <w:t>.</w:t>
      </w:r>
    </w:p>
    <w:p w:rsidR="00853A91" w:rsidRPr="006D176A" w:rsidRDefault="00D02C13"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Highest prevalence of metabolic syndrome is among the Native Americans</w:t>
      </w:r>
      <w:r w:rsidR="00853A91" w:rsidRPr="006D176A">
        <w:rPr>
          <w:rFonts w:ascii="Times New Roman" w:hAnsi="Times New Roman" w:cs="Times New Roman"/>
          <w:sz w:val="24"/>
          <w:szCs w:val="24"/>
        </w:rPr>
        <w:t>,</w:t>
      </w:r>
      <w:r w:rsidR="003C6B34" w:rsidRPr="006D176A">
        <w:rPr>
          <w:rFonts w:ascii="Times New Roman" w:hAnsi="Times New Roman" w:cs="Times New Roman"/>
          <w:sz w:val="24"/>
          <w:szCs w:val="24"/>
        </w:rPr>
        <w:t xml:space="preserve"> with about </w:t>
      </w:r>
      <w:r w:rsidR="00853A91" w:rsidRPr="006D176A">
        <w:rPr>
          <w:rFonts w:ascii="Times New Roman" w:hAnsi="Times New Roman" w:cs="Times New Roman"/>
          <w:sz w:val="24"/>
          <w:szCs w:val="24"/>
        </w:rPr>
        <w:t>60% of</w:t>
      </w:r>
      <w:r w:rsidR="00A721A9">
        <w:rPr>
          <w:rFonts w:ascii="Times New Roman" w:hAnsi="Times New Roman" w:cs="Times New Roman"/>
          <w:sz w:val="24"/>
          <w:szCs w:val="24"/>
        </w:rPr>
        <w:t xml:space="preserve"> </w:t>
      </w:r>
      <w:r w:rsidRPr="006D176A">
        <w:rPr>
          <w:rFonts w:ascii="Times New Roman" w:hAnsi="Times New Roman" w:cs="Times New Roman"/>
          <w:sz w:val="24"/>
          <w:szCs w:val="24"/>
        </w:rPr>
        <w:t>women aged 45–49 and 45% of men aged</w:t>
      </w:r>
      <w:r w:rsidR="003C6B34" w:rsidRPr="006D176A">
        <w:rPr>
          <w:rFonts w:ascii="Times New Roman" w:hAnsi="Times New Roman" w:cs="Times New Roman"/>
          <w:sz w:val="24"/>
          <w:szCs w:val="24"/>
        </w:rPr>
        <w:t xml:space="preserve"> 45–49 meet the criteria of metabolic syndrome as per the National Cholesterol Education </w:t>
      </w:r>
      <w:r w:rsidR="00853A91" w:rsidRPr="006D176A">
        <w:rPr>
          <w:rFonts w:ascii="Times New Roman" w:hAnsi="Times New Roman" w:cs="Times New Roman"/>
          <w:sz w:val="24"/>
          <w:szCs w:val="24"/>
        </w:rPr>
        <w:t>Program and Adult Treatment Panel III (NCEP:ATPIII).</w:t>
      </w:r>
      <w:r w:rsidR="003C6B34" w:rsidRPr="006D176A">
        <w:rPr>
          <w:rFonts w:ascii="Times New Roman" w:hAnsi="Times New Roman" w:cs="Times New Roman"/>
          <w:sz w:val="24"/>
          <w:szCs w:val="24"/>
        </w:rPr>
        <w:t xml:space="preserve"> </w:t>
      </w:r>
      <w:r w:rsidR="00853A91" w:rsidRPr="006D176A">
        <w:rPr>
          <w:rFonts w:ascii="Times New Roman" w:hAnsi="Times New Roman" w:cs="Times New Roman"/>
          <w:sz w:val="24"/>
          <w:szCs w:val="24"/>
        </w:rPr>
        <w:t>In the United States,</w:t>
      </w:r>
      <w:r w:rsidR="001A6073" w:rsidRPr="006D176A">
        <w:rPr>
          <w:rFonts w:ascii="Times New Roman" w:hAnsi="Times New Roman" w:cs="Times New Roman"/>
          <w:sz w:val="24"/>
          <w:szCs w:val="24"/>
        </w:rPr>
        <w:t xml:space="preserve"> </w:t>
      </w:r>
      <w:r w:rsidR="00853A91" w:rsidRPr="006D176A">
        <w:rPr>
          <w:rFonts w:ascii="Times New Roman" w:hAnsi="Times New Roman" w:cs="Times New Roman"/>
          <w:sz w:val="24"/>
          <w:szCs w:val="24"/>
        </w:rPr>
        <w:t>metabolic syndrome is less common in African-American men and more common in</w:t>
      </w:r>
      <w:r w:rsidR="00A721A9">
        <w:rPr>
          <w:rFonts w:ascii="Times New Roman" w:hAnsi="Times New Roman" w:cs="Times New Roman"/>
          <w:sz w:val="24"/>
          <w:szCs w:val="24"/>
        </w:rPr>
        <w:t xml:space="preserve"> </w:t>
      </w:r>
      <w:r w:rsidR="00853A91" w:rsidRPr="006D176A">
        <w:rPr>
          <w:rFonts w:ascii="Times New Roman" w:hAnsi="Times New Roman" w:cs="Times New Roman"/>
          <w:sz w:val="24"/>
          <w:szCs w:val="24"/>
        </w:rPr>
        <w:t xml:space="preserve">Mexican-American women. </w:t>
      </w:r>
      <w:r w:rsidR="001A6073" w:rsidRPr="006D176A">
        <w:rPr>
          <w:rFonts w:ascii="Times New Roman" w:hAnsi="Times New Roman" w:cs="Times New Roman"/>
          <w:sz w:val="24"/>
          <w:szCs w:val="24"/>
        </w:rPr>
        <w:t>On the basis of data from</w:t>
      </w:r>
      <w:r w:rsidR="00853A91" w:rsidRPr="006D176A">
        <w:rPr>
          <w:rFonts w:ascii="Times New Roman" w:hAnsi="Times New Roman" w:cs="Times New Roman"/>
          <w:sz w:val="24"/>
          <w:szCs w:val="24"/>
        </w:rPr>
        <w:t xml:space="preserve"> National Health and Nutrition</w:t>
      </w:r>
      <w:r w:rsidR="003F45F2" w:rsidRPr="006D176A">
        <w:rPr>
          <w:rFonts w:ascii="Times New Roman" w:hAnsi="Times New Roman" w:cs="Times New Roman"/>
          <w:sz w:val="24"/>
          <w:szCs w:val="24"/>
        </w:rPr>
        <w:t xml:space="preserve"> </w:t>
      </w:r>
      <w:r w:rsidR="00853A91" w:rsidRPr="006D176A">
        <w:rPr>
          <w:rFonts w:ascii="Times New Roman" w:hAnsi="Times New Roman" w:cs="Times New Roman"/>
          <w:sz w:val="24"/>
          <w:szCs w:val="24"/>
        </w:rPr>
        <w:t xml:space="preserve">Examination Survey (NHANES) 1999–2000, </w:t>
      </w:r>
      <w:r w:rsidR="003F45F2" w:rsidRPr="006D176A">
        <w:rPr>
          <w:rFonts w:ascii="Times New Roman" w:hAnsi="Times New Roman" w:cs="Times New Roman"/>
          <w:sz w:val="24"/>
          <w:szCs w:val="24"/>
        </w:rPr>
        <w:t xml:space="preserve">in United States adults who did not have diabetes, </w:t>
      </w:r>
      <w:r w:rsidR="00853A91" w:rsidRPr="006D176A">
        <w:rPr>
          <w:rFonts w:ascii="Times New Roman" w:hAnsi="Times New Roman" w:cs="Times New Roman"/>
          <w:sz w:val="24"/>
          <w:szCs w:val="24"/>
        </w:rPr>
        <w:t>the age-adjusted prevalence of the metabolic syndrome is 28% for men and 30% for</w:t>
      </w:r>
      <w:r w:rsidR="003F45F2" w:rsidRPr="006D176A">
        <w:rPr>
          <w:rFonts w:ascii="Times New Roman" w:hAnsi="Times New Roman" w:cs="Times New Roman"/>
          <w:sz w:val="24"/>
          <w:szCs w:val="24"/>
        </w:rPr>
        <w:t xml:space="preserve"> </w:t>
      </w:r>
      <w:r w:rsidR="00853A91" w:rsidRPr="006D176A">
        <w:rPr>
          <w:rFonts w:ascii="Times New Roman" w:hAnsi="Times New Roman" w:cs="Times New Roman"/>
          <w:sz w:val="24"/>
          <w:szCs w:val="24"/>
        </w:rPr>
        <w:t xml:space="preserve">women. In France, </w:t>
      </w:r>
      <w:r w:rsidR="00C635FF" w:rsidRPr="006D176A">
        <w:rPr>
          <w:rFonts w:ascii="Times New Roman" w:hAnsi="Times New Roman" w:cs="Times New Roman"/>
          <w:sz w:val="24"/>
          <w:szCs w:val="24"/>
        </w:rPr>
        <w:t xml:space="preserve">on evaluation of a </w:t>
      </w:r>
      <w:r w:rsidR="00853A91" w:rsidRPr="006D176A">
        <w:rPr>
          <w:rFonts w:ascii="Times New Roman" w:hAnsi="Times New Roman" w:cs="Times New Roman"/>
          <w:sz w:val="24"/>
          <w:szCs w:val="24"/>
        </w:rPr>
        <w:t xml:space="preserve">cohort </w:t>
      </w:r>
      <w:r w:rsidR="00C635FF" w:rsidRPr="006D176A">
        <w:rPr>
          <w:rFonts w:ascii="Times New Roman" w:hAnsi="Times New Roman" w:cs="Times New Roman"/>
          <w:sz w:val="24"/>
          <w:szCs w:val="24"/>
        </w:rPr>
        <w:t xml:space="preserve">of age </w:t>
      </w:r>
      <w:r w:rsidR="00853A91" w:rsidRPr="006D176A">
        <w:rPr>
          <w:rFonts w:ascii="Times New Roman" w:hAnsi="Times New Roman" w:cs="Times New Roman"/>
          <w:sz w:val="24"/>
          <w:szCs w:val="24"/>
        </w:rPr>
        <w:t>30 to 60 years</w:t>
      </w:r>
      <w:r w:rsidR="00C635FF" w:rsidRPr="006D176A">
        <w:rPr>
          <w:rFonts w:ascii="Times New Roman" w:hAnsi="Times New Roman" w:cs="Times New Roman"/>
          <w:sz w:val="24"/>
          <w:szCs w:val="24"/>
        </w:rPr>
        <w:t xml:space="preserve">, the prevalence of metabolic syndrome for each sex was </w:t>
      </w:r>
      <w:r w:rsidR="00853A91" w:rsidRPr="006D176A">
        <w:rPr>
          <w:rFonts w:ascii="Times New Roman" w:hAnsi="Times New Roman" w:cs="Times New Roman"/>
          <w:sz w:val="24"/>
          <w:szCs w:val="24"/>
        </w:rPr>
        <w:t>&lt;10%,</w:t>
      </w:r>
      <w:r w:rsidR="003F45F2" w:rsidRPr="006D176A">
        <w:rPr>
          <w:rFonts w:ascii="Times New Roman" w:hAnsi="Times New Roman" w:cs="Times New Roman"/>
          <w:sz w:val="24"/>
          <w:szCs w:val="24"/>
        </w:rPr>
        <w:t xml:space="preserve"> </w:t>
      </w:r>
      <w:r w:rsidR="00853A91" w:rsidRPr="006D176A">
        <w:rPr>
          <w:rFonts w:ascii="Times New Roman" w:hAnsi="Times New Roman" w:cs="Times New Roman"/>
          <w:sz w:val="24"/>
          <w:szCs w:val="24"/>
        </w:rPr>
        <w:t xml:space="preserve">although 17.5% are affected in the age range </w:t>
      </w:r>
      <w:r w:rsidR="00C635FF" w:rsidRPr="006D176A">
        <w:rPr>
          <w:rFonts w:ascii="Times New Roman" w:hAnsi="Times New Roman" w:cs="Times New Roman"/>
          <w:sz w:val="24"/>
          <w:szCs w:val="24"/>
        </w:rPr>
        <w:t xml:space="preserve">of </w:t>
      </w:r>
      <w:r w:rsidR="00853A91" w:rsidRPr="006D176A">
        <w:rPr>
          <w:rFonts w:ascii="Times New Roman" w:hAnsi="Times New Roman" w:cs="Times New Roman"/>
          <w:sz w:val="24"/>
          <w:szCs w:val="24"/>
        </w:rPr>
        <w:t>60–64</w:t>
      </w:r>
      <w:r w:rsidR="00C635FF" w:rsidRPr="006D176A">
        <w:rPr>
          <w:rFonts w:ascii="Times New Roman" w:hAnsi="Times New Roman" w:cs="Times New Roman"/>
          <w:sz w:val="24"/>
          <w:szCs w:val="24"/>
        </w:rPr>
        <w:t xml:space="preserve"> years</w:t>
      </w:r>
      <w:r w:rsidR="00D64132">
        <w:rPr>
          <w:rFonts w:ascii="Times New Roman" w:hAnsi="Times New Roman" w:cs="Times New Roman"/>
          <w:sz w:val="24"/>
          <w:szCs w:val="24"/>
          <w:vertAlign w:val="superscript"/>
        </w:rPr>
        <w:t>29</w:t>
      </w:r>
      <w:r w:rsidR="00853A91" w:rsidRPr="006D176A">
        <w:rPr>
          <w:rFonts w:ascii="Times New Roman" w:hAnsi="Times New Roman" w:cs="Times New Roman"/>
          <w:sz w:val="24"/>
          <w:szCs w:val="24"/>
        </w:rPr>
        <w:t>.</w:t>
      </w:r>
    </w:p>
    <w:p w:rsidR="00853A91" w:rsidRPr="006D176A" w:rsidRDefault="00E77A0B"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w:t>
      </w:r>
      <w:r w:rsidR="00853A91" w:rsidRPr="006D176A">
        <w:rPr>
          <w:rFonts w:ascii="Times New Roman" w:hAnsi="Times New Roman" w:cs="Times New Roman"/>
          <w:sz w:val="24"/>
          <w:szCs w:val="24"/>
        </w:rPr>
        <w:t>he prevalence of metabolic syndrome</w:t>
      </w:r>
      <w:r w:rsidRPr="006D176A">
        <w:rPr>
          <w:rFonts w:ascii="Times New Roman" w:hAnsi="Times New Roman" w:cs="Times New Roman"/>
          <w:sz w:val="24"/>
          <w:szCs w:val="24"/>
        </w:rPr>
        <w:t xml:space="preserve"> in the Indian setting has been on the rise,</w:t>
      </w:r>
      <w:r w:rsidR="00853A91" w:rsidRPr="006D176A">
        <w:rPr>
          <w:rFonts w:ascii="Times New Roman" w:hAnsi="Times New Roman" w:cs="Times New Roman"/>
          <w:sz w:val="24"/>
          <w:szCs w:val="24"/>
        </w:rPr>
        <w:t xml:space="preserve"> with a</w:t>
      </w:r>
    </w:p>
    <w:p w:rsidR="00853A91" w:rsidRPr="00D64132" w:rsidRDefault="00853A9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prevalence of 45% in females and 22% in males and</w:t>
      </w:r>
      <w:r w:rsidR="00E77A0B" w:rsidRPr="006D176A">
        <w:rPr>
          <w:rFonts w:ascii="Times New Roman" w:hAnsi="Times New Roman" w:cs="Times New Roman"/>
          <w:sz w:val="24"/>
          <w:szCs w:val="24"/>
        </w:rPr>
        <w:t xml:space="preserve"> the prevalence increasing</w:t>
      </w:r>
      <w:r w:rsidRPr="006D176A">
        <w:rPr>
          <w:rFonts w:ascii="Times New Roman" w:hAnsi="Times New Roman" w:cs="Times New Roman"/>
          <w:sz w:val="24"/>
          <w:szCs w:val="24"/>
        </w:rPr>
        <w:t xml:space="preserve"> with increasing age and </w:t>
      </w:r>
      <w:r w:rsidR="00E77A0B" w:rsidRPr="006D176A">
        <w:rPr>
          <w:rFonts w:ascii="Times New Roman" w:hAnsi="Times New Roman" w:cs="Times New Roman"/>
          <w:sz w:val="24"/>
          <w:szCs w:val="24"/>
        </w:rPr>
        <w:t xml:space="preserve">also </w:t>
      </w:r>
      <w:r w:rsidRPr="006D176A">
        <w:rPr>
          <w:rFonts w:ascii="Times New Roman" w:hAnsi="Times New Roman" w:cs="Times New Roman"/>
          <w:sz w:val="24"/>
          <w:szCs w:val="24"/>
        </w:rPr>
        <w:t>in the</w:t>
      </w:r>
      <w:r w:rsidR="00E77A0B" w:rsidRPr="006D176A">
        <w:rPr>
          <w:rFonts w:ascii="Times New Roman" w:hAnsi="Times New Roman" w:cs="Times New Roman"/>
          <w:sz w:val="24"/>
          <w:szCs w:val="24"/>
        </w:rPr>
        <w:t xml:space="preserve"> </w:t>
      </w:r>
      <w:r w:rsidRPr="006D176A">
        <w:rPr>
          <w:rFonts w:ascii="Times New Roman" w:hAnsi="Times New Roman" w:cs="Times New Roman"/>
          <w:sz w:val="24"/>
          <w:szCs w:val="24"/>
        </w:rPr>
        <w:t>population belonging to the upper socio-economic strata</w:t>
      </w:r>
      <w:r w:rsidR="00D64132">
        <w:rPr>
          <w:rFonts w:ascii="Times New Roman" w:hAnsi="Times New Roman" w:cs="Times New Roman"/>
          <w:sz w:val="24"/>
          <w:szCs w:val="24"/>
          <w:vertAlign w:val="superscript"/>
        </w:rPr>
        <w:t>30</w:t>
      </w:r>
      <w:r w:rsidR="00D64132">
        <w:rPr>
          <w:rFonts w:ascii="Times New Roman" w:hAnsi="Times New Roman" w:cs="Times New Roman"/>
          <w:sz w:val="24"/>
          <w:szCs w:val="24"/>
        </w:rPr>
        <w:t>.</w:t>
      </w:r>
    </w:p>
    <w:p w:rsidR="004D7C05" w:rsidRPr="006D176A" w:rsidRDefault="00A721A9"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PATHOPHYSIOLOGY</w:t>
      </w:r>
      <w:r>
        <w:rPr>
          <w:rFonts w:ascii="Times New Roman" w:hAnsi="Times New Roman" w:cs="Times New Roman"/>
          <w:b/>
          <w:sz w:val="24"/>
          <w:szCs w:val="24"/>
        </w:rPr>
        <w:t xml:space="preserve"> OF METABOLIC SYNDROME</w:t>
      </w:r>
    </w:p>
    <w:p w:rsidR="00763705" w:rsidRPr="00A721A9" w:rsidRDefault="005C4B3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w:t>
      </w:r>
      <w:r w:rsidR="00763705" w:rsidRPr="006D176A">
        <w:rPr>
          <w:rFonts w:ascii="Times New Roman" w:hAnsi="Times New Roman" w:cs="Times New Roman"/>
          <w:sz w:val="24"/>
          <w:szCs w:val="24"/>
        </w:rPr>
        <w:t>he increasing burden of obesity is the driving force behind the rising prevalence of the metabolic syndrome</w:t>
      </w:r>
      <w:r w:rsidRPr="006D176A">
        <w:rPr>
          <w:rFonts w:ascii="Times New Roman" w:hAnsi="Times New Roman" w:cs="Times New Roman"/>
          <w:sz w:val="24"/>
          <w:szCs w:val="24"/>
        </w:rPr>
        <w:t xml:space="preserve"> as per many experts</w:t>
      </w:r>
      <w:r w:rsidR="00A721A9">
        <w:rPr>
          <w:rFonts w:ascii="Times New Roman" w:hAnsi="Times New Roman" w:cs="Times New Roman"/>
          <w:sz w:val="24"/>
          <w:szCs w:val="24"/>
        </w:rPr>
        <w:t xml:space="preserve"> </w:t>
      </w:r>
      <w:r w:rsidR="00D64132">
        <w:rPr>
          <w:rFonts w:ascii="Times New Roman" w:hAnsi="Times New Roman" w:cs="Times New Roman"/>
          <w:sz w:val="24"/>
          <w:szCs w:val="24"/>
          <w:vertAlign w:val="superscript"/>
        </w:rPr>
        <w:t>31</w:t>
      </w:r>
      <w:r w:rsidR="00A721A9">
        <w:rPr>
          <w:rFonts w:ascii="Times New Roman" w:hAnsi="Times New Roman" w:cs="Times New Roman"/>
          <w:sz w:val="24"/>
          <w:szCs w:val="24"/>
        </w:rPr>
        <w:t>.</w:t>
      </w:r>
      <w:r w:rsidR="00763705" w:rsidRPr="006D176A">
        <w:rPr>
          <w:rFonts w:ascii="Times New Roman" w:hAnsi="Times New Roman" w:cs="Times New Roman"/>
          <w:sz w:val="24"/>
          <w:szCs w:val="24"/>
          <w:vertAlign w:val="superscript"/>
        </w:rPr>
        <w:t xml:space="preserve"> </w:t>
      </w:r>
      <w:r w:rsidR="00763705" w:rsidRPr="006D176A">
        <w:rPr>
          <w:rFonts w:ascii="Times New Roman" w:hAnsi="Times New Roman" w:cs="Times New Roman"/>
          <w:sz w:val="24"/>
          <w:szCs w:val="24"/>
        </w:rPr>
        <w:t xml:space="preserve">This view needs to be harmonized with the insulin resistance hypothesis. </w:t>
      </w:r>
      <w:r w:rsidRPr="006D176A">
        <w:rPr>
          <w:rFonts w:ascii="Times New Roman" w:hAnsi="Times New Roman" w:cs="Times New Roman"/>
          <w:sz w:val="24"/>
          <w:szCs w:val="24"/>
        </w:rPr>
        <w:t>The a</w:t>
      </w:r>
      <w:r w:rsidR="00763705" w:rsidRPr="006D176A">
        <w:rPr>
          <w:rFonts w:ascii="Times New Roman" w:hAnsi="Times New Roman" w:cs="Times New Roman"/>
          <w:sz w:val="24"/>
          <w:szCs w:val="24"/>
        </w:rPr>
        <w:t xml:space="preserve">dipose tissue in obese people is </w:t>
      </w:r>
      <w:r w:rsidRPr="006D176A">
        <w:rPr>
          <w:rFonts w:ascii="Times New Roman" w:hAnsi="Times New Roman" w:cs="Times New Roman"/>
          <w:sz w:val="24"/>
          <w:szCs w:val="24"/>
        </w:rPr>
        <w:t xml:space="preserve">found to be </w:t>
      </w:r>
      <w:r w:rsidR="00763705" w:rsidRPr="006D176A">
        <w:rPr>
          <w:rFonts w:ascii="Times New Roman" w:hAnsi="Times New Roman" w:cs="Times New Roman"/>
          <w:sz w:val="24"/>
          <w:szCs w:val="24"/>
        </w:rPr>
        <w:t xml:space="preserve">insulin </w:t>
      </w:r>
      <w:r w:rsidR="00763705" w:rsidRPr="006D176A">
        <w:rPr>
          <w:rFonts w:ascii="Times New Roman" w:hAnsi="Times New Roman" w:cs="Times New Roman"/>
          <w:sz w:val="24"/>
          <w:szCs w:val="24"/>
        </w:rPr>
        <w:lastRenderedPageBreak/>
        <w:t xml:space="preserve">resistant, which raises nonesterified fatty acid levels, </w:t>
      </w:r>
      <w:r w:rsidRPr="006D176A">
        <w:rPr>
          <w:rFonts w:ascii="Times New Roman" w:hAnsi="Times New Roman" w:cs="Times New Roman"/>
          <w:sz w:val="24"/>
          <w:szCs w:val="24"/>
        </w:rPr>
        <w:t xml:space="preserve">thereby </w:t>
      </w:r>
      <w:r w:rsidR="00763705" w:rsidRPr="006D176A">
        <w:rPr>
          <w:rFonts w:ascii="Times New Roman" w:hAnsi="Times New Roman" w:cs="Times New Roman"/>
          <w:sz w:val="24"/>
          <w:szCs w:val="24"/>
        </w:rPr>
        <w:t>worsening insulin resistance in muscle</w:t>
      </w:r>
      <w:r w:rsidR="00F83195" w:rsidRPr="006D176A">
        <w:rPr>
          <w:rFonts w:ascii="Times New Roman" w:hAnsi="Times New Roman" w:cs="Times New Roman"/>
          <w:sz w:val="24"/>
          <w:szCs w:val="24"/>
          <w:vertAlign w:val="superscript"/>
        </w:rPr>
        <w:t>3</w:t>
      </w:r>
      <w:r w:rsidR="00D64132">
        <w:rPr>
          <w:rFonts w:ascii="Times New Roman" w:hAnsi="Times New Roman" w:cs="Times New Roman"/>
          <w:sz w:val="24"/>
          <w:szCs w:val="24"/>
          <w:vertAlign w:val="superscript"/>
        </w:rPr>
        <w:t>2</w:t>
      </w:r>
      <w:r w:rsidR="00763705" w:rsidRPr="006D176A">
        <w:rPr>
          <w:rFonts w:ascii="Times New Roman" w:hAnsi="Times New Roman" w:cs="Times New Roman"/>
          <w:sz w:val="24"/>
          <w:szCs w:val="24"/>
        </w:rPr>
        <w:t xml:space="preserve"> and altering hepatic metabolism; in addition, the adipose tissue of obesity</w:t>
      </w:r>
      <w:r w:rsidRPr="006D176A">
        <w:rPr>
          <w:rFonts w:ascii="Times New Roman" w:hAnsi="Times New Roman" w:cs="Times New Roman"/>
          <w:sz w:val="24"/>
          <w:szCs w:val="24"/>
        </w:rPr>
        <w:t xml:space="preserve"> also</w:t>
      </w:r>
      <w:r w:rsidR="00763705" w:rsidRPr="006D176A">
        <w:rPr>
          <w:rFonts w:ascii="Times New Roman" w:hAnsi="Times New Roman" w:cs="Times New Roman"/>
          <w:sz w:val="24"/>
          <w:szCs w:val="24"/>
        </w:rPr>
        <w:t xml:space="preserve"> exhibits abnormalities in the productio</w:t>
      </w:r>
      <w:r w:rsidRPr="006D176A">
        <w:rPr>
          <w:rFonts w:ascii="Times New Roman" w:hAnsi="Times New Roman" w:cs="Times New Roman"/>
          <w:sz w:val="24"/>
          <w:szCs w:val="24"/>
        </w:rPr>
        <w:t>n of several adipokines that</w:t>
      </w:r>
      <w:r w:rsidR="00763705" w:rsidRPr="006D176A">
        <w:rPr>
          <w:rFonts w:ascii="Times New Roman" w:hAnsi="Times New Roman" w:cs="Times New Roman"/>
          <w:sz w:val="24"/>
          <w:szCs w:val="24"/>
        </w:rPr>
        <w:t xml:space="preserve"> separately </w:t>
      </w:r>
      <w:r w:rsidRPr="006D176A">
        <w:rPr>
          <w:rFonts w:ascii="Times New Roman" w:hAnsi="Times New Roman" w:cs="Times New Roman"/>
          <w:sz w:val="24"/>
          <w:szCs w:val="24"/>
        </w:rPr>
        <w:t>affect insulin resistance and</w:t>
      </w:r>
      <w:r w:rsidR="00763705" w:rsidRPr="006D176A">
        <w:rPr>
          <w:rFonts w:ascii="Times New Roman" w:hAnsi="Times New Roman" w:cs="Times New Roman"/>
          <w:sz w:val="24"/>
          <w:szCs w:val="24"/>
        </w:rPr>
        <w:t xml:space="preserve"> modify</w:t>
      </w:r>
      <w:r w:rsidRPr="006D176A">
        <w:rPr>
          <w:rFonts w:ascii="Times New Roman" w:hAnsi="Times New Roman" w:cs="Times New Roman"/>
          <w:sz w:val="24"/>
          <w:szCs w:val="24"/>
        </w:rPr>
        <w:t xml:space="preserve"> the</w:t>
      </w:r>
      <w:r w:rsidR="00763705" w:rsidRPr="006D176A">
        <w:rPr>
          <w:rFonts w:ascii="Times New Roman" w:hAnsi="Times New Roman" w:cs="Times New Roman"/>
          <w:sz w:val="24"/>
          <w:szCs w:val="24"/>
        </w:rPr>
        <w:t xml:space="preserve"> risk for atheros</w:t>
      </w:r>
      <w:r w:rsidR="00D64132">
        <w:rPr>
          <w:rFonts w:ascii="Times New Roman" w:hAnsi="Times New Roman" w:cs="Times New Roman"/>
          <w:sz w:val="24"/>
          <w:szCs w:val="24"/>
        </w:rPr>
        <w:t>clerotic cardiovascular disease</w:t>
      </w:r>
      <w:r w:rsidR="00D64132">
        <w:rPr>
          <w:rFonts w:ascii="Times New Roman" w:hAnsi="Times New Roman" w:cs="Times New Roman"/>
          <w:sz w:val="24"/>
          <w:szCs w:val="24"/>
          <w:vertAlign w:val="superscript"/>
        </w:rPr>
        <w:t>33</w:t>
      </w:r>
      <w:r w:rsidR="00D64132">
        <w:rPr>
          <w:rFonts w:ascii="Times New Roman" w:hAnsi="Times New Roman" w:cs="Times New Roman"/>
          <w:sz w:val="24"/>
          <w:szCs w:val="24"/>
        </w:rPr>
        <w:t>.</w:t>
      </w:r>
      <w:r w:rsidR="00ED54DA" w:rsidRPr="006D176A">
        <w:rPr>
          <w:rFonts w:ascii="Times New Roman" w:hAnsi="Times New Roman" w:cs="Times New Roman"/>
          <w:sz w:val="24"/>
          <w:szCs w:val="24"/>
        </w:rPr>
        <w:t xml:space="preserve"> These </w:t>
      </w:r>
      <w:r w:rsidR="001F2809" w:rsidRPr="006D176A">
        <w:rPr>
          <w:rFonts w:ascii="Times New Roman" w:hAnsi="Times New Roman" w:cs="Times New Roman"/>
          <w:sz w:val="24"/>
          <w:szCs w:val="24"/>
        </w:rPr>
        <w:t>abn</w:t>
      </w:r>
      <w:r w:rsidRPr="006D176A">
        <w:rPr>
          <w:rFonts w:ascii="Times New Roman" w:hAnsi="Times New Roman" w:cs="Times New Roman"/>
          <w:sz w:val="24"/>
          <w:szCs w:val="24"/>
        </w:rPr>
        <w:t xml:space="preserve">ormalities </w:t>
      </w:r>
      <w:r w:rsidR="00ED54DA" w:rsidRPr="006D176A">
        <w:rPr>
          <w:rFonts w:ascii="Times New Roman" w:hAnsi="Times New Roman" w:cs="Times New Roman"/>
          <w:sz w:val="24"/>
          <w:szCs w:val="24"/>
        </w:rPr>
        <w:t>include increased production of inflammatory cytokines, plasminogen activator inhibitor- 1, and other bioactive products.</w:t>
      </w:r>
      <w:r w:rsidRPr="006D176A">
        <w:rPr>
          <w:rFonts w:ascii="Times New Roman" w:hAnsi="Times New Roman" w:cs="Times New Roman"/>
          <w:sz w:val="24"/>
          <w:szCs w:val="24"/>
        </w:rPr>
        <w:t xml:space="preserve"> At the same time the </w:t>
      </w:r>
      <w:r w:rsidR="00ED54DA" w:rsidRPr="006D176A">
        <w:rPr>
          <w:rFonts w:ascii="Times New Roman" w:hAnsi="Times New Roman" w:cs="Times New Roman"/>
          <w:sz w:val="24"/>
          <w:szCs w:val="24"/>
        </w:rPr>
        <w:t>protecti</w:t>
      </w:r>
      <w:r w:rsidRPr="006D176A">
        <w:rPr>
          <w:rFonts w:ascii="Times New Roman" w:hAnsi="Times New Roman" w:cs="Times New Roman"/>
          <w:sz w:val="24"/>
          <w:szCs w:val="24"/>
        </w:rPr>
        <w:t>ve adipokines like adiponectin,</w:t>
      </w:r>
      <w:r w:rsidR="00ED54DA" w:rsidRPr="006D176A">
        <w:rPr>
          <w:rFonts w:ascii="Times New Roman" w:hAnsi="Times New Roman" w:cs="Times New Roman"/>
          <w:sz w:val="24"/>
          <w:szCs w:val="24"/>
        </w:rPr>
        <w:t>is reduced</w:t>
      </w:r>
      <w:r w:rsidR="00A721A9">
        <w:rPr>
          <w:rFonts w:ascii="Times New Roman" w:hAnsi="Times New Roman" w:cs="Times New Roman"/>
          <w:sz w:val="24"/>
          <w:szCs w:val="24"/>
        </w:rPr>
        <w:t xml:space="preserve"> </w:t>
      </w:r>
      <w:r w:rsidR="00F83195" w:rsidRPr="006D176A">
        <w:rPr>
          <w:rFonts w:ascii="Times New Roman" w:hAnsi="Times New Roman" w:cs="Times New Roman"/>
          <w:sz w:val="24"/>
          <w:szCs w:val="24"/>
          <w:vertAlign w:val="superscript"/>
        </w:rPr>
        <w:t>3</w:t>
      </w:r>
      <w:r w:rsidR="00D64132">
        <w:rPr>
          <w:rFonts w:ascii="Times New Roman" w:hAnsi="Times New Roman" w:cs="Times New Roman"/>
          <w:sz w:val="24"/>
          <w:szCs w:val="24"/>
          <w:vertAlign w:val="superscript"/>
        </w:rPr>
        <w:t>4</w:t>
      </w:r>
      <w:r w:rsidR="00A721A9">
        <w:rPr>
          <w:rFonts w:ascii="Times New Roman" w:hAnsi="Times New Roman" w:cs="Times New Roman"/>
          <w:sz w:val="24"/>
          <w:szCs w:val="24"/>
        </w:rPr>
        <w:t>.</w:t>
      </w:r>
      <w:r w:rsidR="006C4E64" w:rsidRPr="006D176A">
        <w:rPr>
          <w:rFonts w:ascii="Times New Roman" w:hAnsi="Times New Roman" w:cs="Times New Roman"/>
          <w:sz w:val="24"/>
          <w:szCs w:val="24"/>
        </w:rPr>
        <w:t xml:space="preserve"> </w:t>
      </w:r>
      <w:r w:rsidR="00644BB4" w:rsidRPr="006D176A">
        <w:rPr>
          <w:rFonts w:ascii="Times New Roman" w:hAnsi="Times New Roman" w:cs="Times New Roman"/>
          <w:sz w:val="24"/>
          <w:szCs w:val="24"/>
        </w:rPr>
        <w:t xml:space="preserve">Adiponectin, actually reduced with obesity can protect against insulin resistance, metabolic </w:t>
      </w:r>
      <w:r w:rsidR="00A721A9">
        <w:rPr>
          <w:rFonts w:ascii="Times New Roman" w:hAnsi="Times New Roman" w:cs="Times New Roman"/>
          <w:sz w:val="24"/>
          <w:szCs w:val="24"/>
        </w:rPr>
        <w:t>risk factors, and atherogenesis</w:t>
      </w:r>
      <w:r w:rsidR="00644BB4" w:rsidRPr="006D176A">
        <w:rPr>
          <w:rFonts w:ascii="Times New Roman" w:hAnsi="Times New Roman" w:cs="Times New Roman"/>
          <w:sz w:val="24"/>
          <w:szCs w:val="24"/>
        </w:rPr>
        <w:t xml:space="preserve"> </w:t>
      </w:r>
      <w:r w:rsidR="00D64132">
        <w:rPr>
          <w:rFonts w:ascii="Times New Roman" w:hAnsi="Times New Roman" w:cs="Times New Roman"/>
          <w:sz w:val="24"/>
          <w:szCs w:val="24"/>
          <w:vertAlign w:val="superscript"/>
        </w:rPr>
        <w:t>35-38</w:t>
      </w:r>
      <w:r w:rsidR="00A721A9">
        <w:rPr>
          <w:rFonts w:ascii="Times New Roman" w:hAnsi="Times New Roman" w:cs="Times New Roman"/>
          <w:sz w:val="24"/>
          <w:szCs w:val="24"/>
        </w:rPr>
        <w:t>.</w:t>
      </w:r>
      <w:r w:rsidR="006C4E64" w:rsidRPr="006D176A">
        <w:rPr>
          <w:rFonts w:ascii="Times New Roman" w:hAnsi="Times New Roman" w:cs="Times New Roman"/>
          <w:sz w:val="24"/>
          <w:szCs w:val="24"/>
        </w:rPr>
        <w:t xml:space="preserve"> An</w:t>
      </w:r>
      <w:r w:rsidR="001F2809" w:rsidRPr="006D176A">
        <w:rPr>
          <w:rFonts w:ascii="Times New Roman" w:hAnsi="Times New Roman" w:cs="Times New Roman"/>
          <w:sz w:val="24"/>
          <w:szCs w:val="24"/>
        </w:rPr>
        <w:t xml:space="preserve">other </w:t>
      </w:r>
      <w:r w:rsidR="006C4E64" w:rsidRPr="006D176A">
        <w:rPr>
          <w:rFonts w:ascii="Times New Roman" w:hAnsi="Times New Roman" w:cs="Times New Roman"/>
          <w:sz w:val="24"/>
          <w:szCs w:val="24"/>
        </w:rPr>
        <w:t>feature of upper-body obesity is an unusually high release of nonesterified fatty acids from adipose tissue; this contributes to accumulation of lipid in sites other than adipose tissue. Ectopic lipid accumulation in muscle and liver seemingly predisposes to insu</w:t>
      </w:r>
      <w:r w:rsidR="00A721A9">
        <w:rPr>
          <w:rFonts w:ascii="Times New Roman" w:hAnsi="Times New Roman" w:cs="Times New Roman"/>
          <w:sz w:val="24"/>
          <w:szCs w:val="24"/>
        </w:rPr>
        <w:t xml:space="preserve">lin resistance and dyslipidemia </w:t>
      </w:r>
      <w:r w:rsidR="00AF50DE">
        <w:rPr>
          <w:rFonts w:ascii="Times New Roman" w:hAnsi="Times New Roman" w:cs="Times New Roman"/>
          <w:sz w:val="24"/>
          <w:szCs w:val="24"/>
          <w:vertAlign w:val="superscript"/>
        </w:rPr>
        <w:t>39</w:t>
      </w:r>
      <w:r w:rsidR="00A721A9">
        <w:rPr>
          <w:rFonts w:ascii="Times New Roman" w:hAnsi="Times New Roman" w:cs="Times New Roman"/>
          <w:sz w:val="24"/>
          <w:szCs w:val="24"/>
        </w:rPr>
        <w:t>.</w:t>
      </w:r>
    </w:p>
    <w:p w:rsidR="006C4E64" w:rsidRPr="006D176A" w:rsidRDefault="006C4E64" w:rsidP="00A721A9">
      <w:pPr>
        <w:spacing w:line="600" w:lineRule="auto"/>
        <w:jc w:val="both"/>
        <w:rPr>
          <w:rFonts w:ascii="Times New Roman" w:hAnsi="Times New Roman" w:cs="Times New Roman"/>
          <w:sz w:val="24"/>
          <w:szCs w:val="24"/>
        </w:rPr>
      </w:pPr>
      <w:r w:rsidRPr="006D176A">
        <w:rPr>
          <w:rFonts w:ascii="Times New Roman" w:hAnsi="Times New Roman" w:cs="Times New Roman"/>
          <w:noProof/>
          <w:sz w:val="24"/>
          <w:szCs w:val="24"/>
          <w:lang w:eastAsia="en-IN"/>
        </w:rPr>
        <w:lastRenderedPageBreak/>
        <w:drawing>
          <wp:inline distT="0" distB="0" distL="0" distR="0" wp14:anchorId="55D99BF3" wp14:editId="1840A39A">
            <wp:extent cx="5731510" cy="4117992"/>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clrChange>
                        <a:clrFrom>
                          <a:srgbClr val="FFFFFF"/>
                        </a:clrFrom>
                        <a:clrTo>
                          <a:srgbClr val="FFFFFF">
                            <a:alpha val="0"/>
                          </a:srgbClr>
                        </a:clrTo>
                      </a:clrChange>
                    </a:blip>
                    <a:srcRect/>
                    <a:stretch>
                      <a:fillRect/>
                    </a:stretch>
                  </pic:blipFill>
                  <pic:spPr bwMode="auto">
                    <a:xfrm>
                      <a:off x="0" y="0"/>
                      <a:ext cx="5731510" cy="4117992"/>
                    </a:xfrm>
                    <a:prstGeom prst="rect">
                      <a:avLst/>
                    </a:prstGeom>
                    <a:noFill/>
                  </pic:spPr>
                </pic:pic>
              </a:graphicData>
            </a:graphic>
          </wp:inline>
        </w:drawing>
      </w:r>
    </w:p>
    <w:p w:rsidR="00D96824" w:rsidRDefault="00D96824" w:rsidP="00A721A9">
      <w:pPr>
        <w:spacing w:line="600" w:lineRule="auto"/>
        <w:jc w:val="both"/>
        <w:rPr>
          <w:rFonts w:ascii="Times New Roman" w:hAnsi="Times New Roman" w:cs="Times New Roman"/>
          <w:sz w:val="24"/>
          <w:szCs w:val="24"/>
        </w:rPr>
      </w:pPr>
      <w:r w:rsidRPr="00D96824">
        <w:rPr>
          <w:rFonts w:ascii="Times New Roman" w:hAnsi="Times New Roman" w:cs="Times New Roman"/>
          <w:sz w:val="24"/>
          <w:szCs w:val="24"/>
        </w:rPr>
        <w:t>Figure 1.Pathophysiology of</w:t>
      </w:r>
      <w:r>
        <w:rPr>
          <w:rFonts w:ascii="Times New Roman" w:hAnsi="Times New Roman" w:cs="Times New Roman"/>
          <w:sz w:val="24"/>
          <w:szCs w:val="24"/>
        </w:rPr>
        <w:t xml:space="preserve"> Metabolic syndrome. FFA – Free Fatty Acid; TG – Triglyceride.</w:t>
      </w:r>
    </w:p>
    <w:p w:rsidR="008C08D6" w:rsidRPr="006D176A" w:rsidRDefault="008C08D6" w:rsidP="00AF50DE">
      <w:pPr>
        <w:spacing w:line="600" w:lineRule="auto"/>
        <w:ind w:firstLine="720"/>
        <w:jc w:val="both"/>
        <w:rPr>
          <w:rFonts w:ascii="Times New Roman" w:hAnsi="Times New Roman" w:cs="Times New Roman"/>
          <w:sz w:val="24"/>
          <w:szCs w:val="24"/>
        </w:rPr>
      </w:pPr>
      <w:r w:rsidRPr="006D176A">
        <w:rPr>
          <w:rFonts w:ascii="Times New Roman" w:hAnsi="Times New Roman" w:cs="Times New Roman"/>
          <w:sz w:val="24"/>
          <w:szCs w:val="24"/>
        </w:rPr>
        <w:t xml:space="preserve">Free fatty acids </w:t>
      </w:r>
      <w:r w:rsidR="001F2809" w:rsidRPr="006D176A">
        <w:rPr>
          <w:rFonts w:ascii="Times New Roman" w:hAnsi="Times New Roman" w:cs="Times New Roman"/>
          <w:sz w:val="24"/>
          <w:szCs w:val="24"/>
        </w:rPr>
        <w:t>(FFA) are</w:t>
      </w:r>
      <w:r w:rsidRPr="006D176A">
        <w:rPr>
          <w:rFonts w:ascii="Times New Roman" w:hAnsi="Times New Roman" w:cs="Times New Roman"/>
          <w:sz w:val="24"/>
          <w:szCs w:val="24"/>
        </w:rPr>
        <w:t xml:space="preserve"> from an expanded adipose tissue mass. In</w:t>
      </w:r>
      <w:r w:rsidR="001F2809" w:rsidRPr="006D176A">
        <w:rPr>
          <w:rFonts w:ascii="Times New Roman" w:hAnsi="Times New Roman" w:cs="Times New Roman"/>
          <w:sz w:val="24"/>
          <w:szCs w:val="24"/>
        </w:rPr>
        <w:t xml:space="preserve"> </w:t>
      </w:r>
      <w:r w:rsidRPr="006D176A">
        <w:rPr>
          <w:rFonts w:ascii="Times New Roman" w:hAnsi="Times New Roman" w:cs="Times New Roman"/>
          <w:sz w:val="24"/>
          <w:szCs w:val="24"/>
        </w:rPr>
        <w:t>the liver, FFAs result in an inc</w:t>
      </w:r>
      <w:r w:rsidR="001F2809" w:rsidRPr="006D176A">
        <w:rPr>
          <w:rFonts w:ascii="Times New Roman" w:hAnsi="Times New Roman" w:cs="Times New Roman"/>
          <w:sz w:val="24"/>
          <w:szCs w:val="24"/>
        </w:rPr>
        <w:t>reased production of glucose,</w:t>
      </w:r>
      <w:r w:rsidRPr="006D176A">
        <w:rPr>
          <w:rFonts w:ascii="Times New Roman" w:hAnsi="Times New Roman" w:cs="Times New Roman"/>
          <w:sz w:val="24"/>
          <w:szCs w:val="24"/>
        </w:rPr>
        <w:t xml:space="preserve"> triglycerides and secretion</w:t>
      </w:r>
      <w:r w:rsidR="001F2809" w:rsidRPr="006D176A">
        <w:rPr>
          <w:rFonts w:ascii="Times New Roman" w:hAnsi="Times New Roman" w:cs="Times New Roman"/>
          <w:sz w:val="24"/>
          <w:szCs w:val="24"/>
        </w:rPr>
        <w:t xml:space="preserve"> </w:t>
      </w:r>
      <w:r w:rsidRPr="006D176A">
        <w:rPr>
          <w:rFonts w:ascii="Times New Roman" w:hAnsi="Times New Roman" w:cs="Times New Roman"/>
          <w:sz w:val="24"/>
          <w:szCs w:val="24"/>
        </w:rPr>
        <w:t>of very low</w:t>
      </w:r>
      <w:r w:rsidR="00C75AC5" w:rsidRPr="006D176A">
        <w:rPr>
          <w:rFonts w:ascii="Times New Roman" w:hAnsi="Times New Roman" w:cs="Times New Roman"/>
          <w:sz w:val="24"/>
          <w:szCs w:val="24"/>
        </w:rPr>
        <w:t xml:space="preserve"> </w:t>
      </w:r>
      <w:r w:rsidR="001F2809" w:rsidRPr="006D176A">
        <w:rPr>
          <w:rFonts w:ascii="Times New Roman" w:hAnsi="Times New Roman" w:cs="Times New Roman"/>
          <w:sz w:val="24"/>
          <w:szCs w:val="24"/>
        </w:rPr>
        <w:t>density lipoproteins (VLDL</w:t>
      </w:r>
      <w:r w:rsidR="00C75AC5" w:rsidRPr="006D176A">
        <w:rPr>
          <w:rFonts w:ascii="Times New Roman" w:hAnsi="Times New Roman" w:cs="Times New Roman"/>
          <w:sz w:val="24"/>
          <w:szCs w:val="24"/>
        </w:rPr>
        <w:t>)</w:t>
      </w:r>
      <w:r w:rsidRPr="006D176A">
        <w:rPr>
          <w:rFonts w:ascii="Times New Roman" w:hAnsi="Times New Roman" w:cs="Times New Roman"/>
          <w:sz w:val="24"/>
          <w:szCs w:val="24"/>
        </w:rPr>
        <w:t xml:space="preserve">. </w:t>
      </w:r>
      <w:r w:rsidR="00650ED8" w:rsidRPr="006D176A">
        <w:rPr>
          <w:rFonts w:ascii="Times New Roman" w:hAnsi="Times New Roman" w:cs="Times New Roman"/>
          <w:sz w:val="24"/>
          <w:szCs w:val="24"/>
        </w:rPr>
        <w:t>FFAs also reduce insulin sensitivity in muscle by inhibiting insulin-mediated glucose uptake. Associated lipid</w:t>
      </w:r>
      <w:r w:rsidRPr="006D176A">
        <w:rPr>
          <w:rFonts w:ascii="Times New Roman" w:hAnsi="Times New Roman" w:cs="Times New Roman"/>
          <w:sz w:val="24"/>
          <w:szCs w:val="24"/>
        </w:rPr>
        <w:t xml:space="preserve"> abnormalities</w:t>
      </w:r>
      <w:r w:rsidR="001F2809" w:rsidRPr="006D176A">
        <w:rPr>
          <w:rFonts w:ascii="Times New Roman" w:hAnsi="Times New Roman" w:cs="Times New Roman"/>
          <w:sz w:val="24"/>
          <w:szCs w:val="24"/>
        </w:rPr>
        <w:t xml:space="preserve"> </w:t>
      </w:r>
      <w:r w:rsidRPr="006D176A">
        <w:rPr>
          <w:rFonts w:ascii="Times New Roman" w:hAnsi="Times New Roman" w:cs="Times New Roman"/>
          <w:sz w:val="24"/>
          <w:szCs w:val="24"/>
        </w:rPr>
        <w:t>include reductions in high-density lipoprotein (HDL) cholesterol</w:t>
      </w:r>
      <w:r w:rsidR="00650ED8" w:rsidRPr="006D176A">
        <w:rPr>
          <w:rFonts w:ascii="Times New Roman" w:hAnsi="Times New Roman" w:cs="Times New Roman"/>
          <w:sz w:val="24"/>
          <w:szCs w:val="24"/>
        </w:rPr>
        <w:t>,</w:t>
      </w:r>
      <w:r w:rsidRPr="006D176A">
        <w:rPr>
          <w:rFonts w:ascii="Times New Roman" w:hAnsi="Times New Roman" w:cs="Times New Roman"/>
          <w:sz w:val="24"/>
          <w:szCs w:val="24"/>
        </w:rPr>
        <w:t xml:space="preserve"> increased density of</w:t>
      </w:r>
      <w:r w:rsidR="00650ED8" w:rsidRPr="006D176A">
        <w:rPr>
          <w:rFonts w:ascii="Times New Roman" w:hAnsi="Times New Roman" w:cs="Times New Roman"/>
          <w:sz w:val="24"/>
          <w:szCs w:val="24"/>
        </w:rPr>
        <w:t xml:space="preserve"> low-density lipoproteins (LDL)</w:t>
      </w:r>
      <w:r w:rsidRPr="006D176A">
        <w:rPr>
          <w:rFonts w:ascii="Times New Roman" w:hAnsi="Times New Roman" w:cs="Times New Roman"/>
          <w:sz w:val="24"/>
          <w:szCs w:val="24"/>
        </w:rPr>
        <w:t xml:space="preserve"> and increased lipid accumulation in triglyceride (TG).</w:t>
      </w:r>
      <w:r w:rsidR="00650ED8" w:rsidRPr="006D176A">
        <w:rPr>
          <w:rFonts w:ascii="Times New Roman" w:hAnsi="Times New Roman" w:cs="Times New Roman"/>
          <w:sz w:val="24"/>
          <w:szCs w:val="24"/>
        </w:rPr>
        <w:t xml:space="preserve"> The i</w:t>
      </w:r>
      <w:r w:rsidRPr="006D176A">
        <w:rPr>
          <w:rFonts w:ascii="Times New Roman" w:hAnsi="Times New Roman" w:cs="Times New Roman"/>
          <w:sz w:val="24"/>
          <w:szCs w:val="24"/>
        </w:rPr>
        <w:t>ncrease</w:t>
      </w:r>
      <w:r w:rsidR="00650ED8" w:rsidRPr="006D176A">
        <w:rPr>
          <w:rFonts w:ascii="Times New Roman" w:hAnsi="Times New Roman" w:cs="Times New Roman"/>
          <w:sz w:val="24"/>
          <w:szCs w:val="24"/>
        </w:rPr>
        <w:t xml:space="preserve"> in circulating glucose </w:t>
      </w:r>
      <w:r w:rsidRPr="006D176A">
        <w:rPr>
          <w:rFonts w:ascii="Times New Roman" w:hAnsi="Times New Roman" w:cs="Times New Roman"/>
          <w:sz w:val="24"/>
          <w:szCs w:val="24"/>
        </w:rPr>
        <w:t>and FFA, increase pancreatic insulin</w:t>
      </w:r>
      <w:r w:rsidR="00AF50DE">
        <w:rPr>
          <w:rFonts w:ascii="Times New Roman" w:hAnsi="Times New Roman" w:cs="Times New Roman"/>
          <w:sz w:val="24"/>
          <w:szCs w:val="24"/>
        </w:rPr>
        <w:t xml:space="preserve"> </w:t>
      </w:r>
      <w:r w:rsidRPr="006D176A">
        <w:rPr>
          <w:rFonts w:ascii="Times New Roman" w:hAnsi="Times New Roman" w:cs="Times New Roman"/>
          <w:sz w:val="24"/>
          <w:szCs w:val="24"/>
        </w:rPr>
        <w:t xml:space="preserve">secretion, </w:t>
      </w:r>
      <w:r w:rsidR="00650ED8" w:rsidRPr="006D176A">
        <w:rPr>
          <w:rFonts w:ascii="Times New Roman" w:hAnsi="Times New Roman" w:cs="Times New Roman"/>
          <w:sz w:val="24"/>
          <w:szCs w:val="24"/>
        </w:rPr>
        <w:t xml:space="preserve">thereby causing </w:t>
      </w:r>
      <w:r w:rsidRPr="006D176A">
        <w:rPr>
          <w:rFonts w:ascii="Times New Roman" w:hAnsi="Times New Roman" w:cs="Times New Roman"/>
          <w:sz w:val="24"/>
          <w:szCs w:val="24"/>
        </w:rPr>
        <w:t>hyperinsulinemia. Hyperinsulinemia result in enhanced sodium</w:t>
      </w:r>
      <w:r w:rsidR="00AF50DE">
        <w:rPr>
          <w:rFonts w:ascii="Times New Roman" w:hAnsi="Times New Roman" w:cs="Times New Roman"/>
          <w:sz w:val="24"/>
          <w:szCs w:val="24"/>
        </w:rPr>
        <w:t xml:space="preserve"> </w:t>
      </w:r>
      <w:r w:rsidRPr="006D176A">
        <w:rPr>
          <w:rFonts w:ascii="Times New Roman" w:hAnsi="Times New Roman" w:cs="Times New Roman"/>
          <w:sz w:val="24"/>
          <w:szCs w:val="24"/>
        </w:rPr>
        <w:t xml:space="preserve">reabsorption and increased sympathetic nervous system (SNS) activity and </w:t>
      </w:r>
      <w:r w:rsidR="00650ED8" w:rsidRPr="006D176A">
        <w:rPr>
          <w:rFonts w:ascii="Times New Roman" w:hAnsi="Times New Roman" w:cs="Times New Roman"/>
          <w:sz w:val="24"/>
          <w:szCs w:val="24"/>
        </w:rPr>
        <w:t xml:space="preserve">also </w:t>
      </w:r>
      <w:r w:rsidRPr="006D176A">
        <w:rPr>
          <w:rFonts w:ascii="Times New Roman" w:hAnsi="Times New Roman" w:cs="Times New Roman"/>
          <w:sz w:val="24"/>
          <w:szCs w:val="24"/>
        </w:rPr>
        <w:t>contribute to the</w:t>
      </w:r>
      <w:r w:rsidR="00AF50DE">
        <w:rPr>
          <w:rFonts w:ascii="Times New Roman" w:hAnsi="Times New Roman" w:cs="Times New Roman"/>
          <w:sz w:val="24"/>
          <w:szCs w:val="24"/>
        </w:rPr>
        <w:t xml:space="preserve"> </w:t>
      </w:r>
      <w:r w:rsidRPr="006D176A">
        <w:rPr>
          <w:rFonts w:ascii="Times New Roman" w:hAnsi="Times New Roman" w:cs="Times New Roman"/>
          <w:sz w:val="24"/>
          <w:szCs w:val="24"/>
        </w:rPr>
        <w:t>hypertension.</w:t>
      </w:r>
    </w:p>
    <w:p w:rsidR="008C08D6" w:rsidRPr="006D176A" w:rsidRDefault="008C08D6" w:rsidP="00A721A9">
      <w:pPr>
        <w:spacing w:line="600" w:lineRule="auto"/>
        <w:jc w:val="both"/>
        <w:rPr>
          <w:rFonts w:ascii="Times New Roman" w:hAnsi="Times New Roman" w:cs="Times New Roman"/>
          <w:sz w:val="24"/>
          <w:szCs w:val="24"/>
        </w:rPr>
      </w:pPr>
      <w:r w:rsidRPr="006D176A">
        <w:rPr>
          <w:rFonts w:ascii="Times New Roman" w:hAnsi="Times New Roman" w:cs="Times New Roman"/>
          <w:noProof/>
          <w:sz w:val="24"/>
          <w:szCs w:val="24"/>
          <w:lang w:eastAsia="en-IN"/>
        </w:rPr>
        <w:lastRenderedPageBreak/>
        <w:drawing>
          <wp:inline distT="0" distB="0" distL="0" distR="0" wp14:anchorId="02D11B1F" wp14:editId="2B0A3560">
            <wp:extent cx="47117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1700" cy="3324225"/>
                    </a:xfrm>
                    <a:prstGeom prst="rect">
                      <a:avLst/>
                    </a:prstGeom>
                    <a:noFill/>
                    <a:ln>
                      <a:noFill/>
                    </a:ln>
                  </pic:spPr>
                </pic:pic>
              </a:graphicData>
            </a:graphic>
          </wp:inline>
        </w:drawing>
      </w:r>
    </w:p>
    <w:p w:rsidR="00D96824" w:rsidRPr="00D96824" w:rsidRDefault="00D96824" w:rsidP="00A721A9">
      <w:pPr>
        <w:spacing w:line="600" w:lineRule="auto"/>
        <w:jc w:val="both"/>
        <w:rPr>
          <w:rFonts w:ascii="Times New Roman" w:hAnsi="Times New Roman" w:cs="Times New Roman"/>
          <w:sz w:val="24"/>
          <w:szCs w:val="24"/>
        </w:rPr>
      </w:pPr>
      <w:r>
        <w:rPr>
          <w:rFonts w:ascii="Times New Roman" w:hAnsi="Times New Roman" w:cs="Times New Roman"/>
          <w:sz w:val="24"/>
          <w:szCs w:val="24"/>
        </w:rPr>
        <w:t>Figure 2. Interaction between exogenous and endogenous factors in Metabolic syndrome. FFA – Free Fatty Acid; CO</w:t>
      </w:r>
      <w:r>
        <w:rPr>
          <w:rFonts w:ascii="Times New Roman" w:hAnsi="Times New Roman" w:cs="Times New Roman"/>
          <w:sz w:val="24"/>
          <w:szCs w:val="24"/>
          <w:vertAlign w:val="subscript"/>
        </w:rPr>
        <w:t xml:space="preserve">2 </w:t>
      </w:r>
      <w:r>
        <w:rPr>
          <w:rFonts w:ascii="Times New Roman" w:hAnsi="Times New Roman" w:cs="Times New Roman"/>
          <w:sz w:val="24"/>
          <w:szCs w:val="24"/>
        </w:rPr>
        <w:t>– Carbon Dioxide</w:t>
      </w:r>
    </w:p>
    <w:p w:rsidR="0003626D" w:rsidRPr="006D176A" w:rsidRDefault="00276416" w:rsidP="00AF50DE">
      <w:pPr>
        <w:spacing w:line="600" w:lineRule="auto"/>
        <w:ind w:firstLine="720"/>
        <w:jc w:val="both"/>
        <w:rPr>
          <w:rFonts w:ascii="Times New Roman" w:hAnsi="Times New Roman" w:cs="Times New Roman"/>
          <w:sz w:val="24"/>
          <w:szCs w:val="24"/>
        </w:rPr>
      </w:pPr>
      <w:r w:rsidRPr="006D176A">
        <w:rPr>
          <w:rFonts w:ascii="Times New Roman" w:hAnsi="Times New Roman" w:cs="Times New Roman"/>
          <w:sz w:val="24"/>
          <w:szCs w:val="24"/>
        </w:rPr>
        <w:t xml:space="preserve">A simple way to visualize the pathogenesis of metabolic syndrome is illustrated in </w:t>
      </w:r>
      <w:r w:rsidR="005B1225" w:rsidRPr="006D176A">
        <w:rPr>
          <w:rFonts w:ascii="Times New Roman" w:hAnsi="Times New Roman" w:cs="Times New Roman"/>
          <w:sz w:val="24"/>
          <w:szCs w:val="24"/>
        </w:rPr>
        <w:t>the above figure which explains the</w:t>
      </w:r>
      <w:r w:rsidRPr="006D176A">
        <w:rPr>
          <w:rFonts w:ascii="Times New Roman" w:hAnsi="Times New Roman" w:cs="Times New Roman"/>
          <w:sz w:val="24"/>
          <w:szCs w:val="24"/>
        </w:rPr>
        <w:t xml:space="preserve"> interaction between exogenous and endogenous factors. </w:t>
      </w:r>
      <w:r w:rsidR="005B1225" w:rsidRPr="006D176A">
        <w:rPr>
          <w:rFonts w:ascii="Times New Roman" w:hAnsi="Times New Roman" w:cs="Times New Roman"/>
          <w:sz w:val="24"/>
          <w:szCs w:val="24"/>
        </w:rPr>
        <w:t>M</w:t>
      </w:r>
      <w:r w:rsidRPr="006D176A">
        <w:rPr>
          <w:rFonts w:ascii="Times New Roman" w:hAnsi="Times New Roman" w:cs="Times New Roman"/>
          <w:sz w:val="24"/>
          <w:szCs w:val="24"/>
        </w:rPr>
        <w:t>ajor exogenous factor</w:t>
      </w:r>
      <w:r w:rsidR="005B1225" w:rsidRPr="006D176A">
        <w:rPr>
          <w:rFonts w:ascii="Times New Roman" w:hAnsi="Times New Roman" w:cs="Times New Roman"/>
          <w:sz w:val="24"/>
          <w:szCs w:val="24"/>
        </w:rPr>
        <w:t xml:space="preserve"> is obesity</w:t>
      </w:r>
      <w:r w:rsidRPr="006D176A">
        <w:rPr>
          <w:rFonts w:ascii="Times New Roman" w:hAnsi="Times New Roman" w:cs="Times New Roman"/>
          <w:sz w:val="24"/>
          <w:szCs w:val="24"/>
        </w:rPr>
        <w:t>, but physical inactivity and excess dietary factors c</w:t>
      </w:r>
      <w:r w:rsidR="005B1225" w:rsidRPr="006D176A">
        <w:rPr>
          <w:rFonts w:ascii="Times New Roman" w:hAnsi="Times New Roman" w:cs="Times New Roman"/>
          <w:sz w:val="24"/>
          <w:szCs w:val="24"/>
        </w:rPr>
        <w:t>an play a role</w:t>
      </w:r>
      <w:r w:rsidRPr="006D176A">
        <w:rPr>
          <w:rFonts w:ascii="Times New Roman" w:hAnsi="Times New Roman" w:cs="Times New Roman"/>
          <w:sz w:val="24"/>
          <w:szCs w:val="24"/>
        </w:rPr>
        <w:t>.</w:t>
      </w:r>
      <w:r w:rsidR="00AF50DE">
        <w:rPr>
          <w:rFonts w:ascii="Times New Roman" w:hAnsi="Times New Roman" w:cs="Times New Roman"/>
          <w:sz w:val="24"/>
          <w:szCs w:val="24"/>
        </w:rPr>
        <w:t xml:space="preserve"> </w:t>
      </w:r>
      <w:r w:rsidR="005B1225" w:rsidRPr="006D176A">
        <w:rPr>
          <w:rFonts w:ascii="Times New Roman" w:hAnsi="Times New Roman" w:cs="Times New Roman"/>
          <w:sz w:val="24"/>
          <w:szCs w:val="24"/>
        </w:rPr>
        <w:t>The endogenous factors are</w:t>
      </w:r>
      <w:r w:rsidRPr="006D176A">
        <w:rPr>
          <w:rFonts w:ascii="Times New Roman" w:hAnsi="Times New Roman" w:cs="Times New Roman"/>
          <w:sz w:val="24"/>
          <w:szCs w:val="24"/>
        </w:rPr>
        <w:t xml:space="preserve"> inherent insulin resistance, dysfunctional adipose tissue, endocrine disorders, a</w:t>
      </w:r>
      <w:r w:rsidR="005B1225" w:rsidRPr="006D176A">
        <w:rPr>
          <w:rFonts w:ascii="Times New Roman" w:hAnsi="Times New Roman" w:cs="Times New Roman"/>
          <w:sz w:val="24"/>
          <w:szCs w:val="24"/>
        </w:rPr>
        <w:t>nd various genetic aberrations.</w:t>
      </w:r>
      <w:r w:rsidR="00CF3C51" w:rsidRPr="006D176A">
        <w:rPr>
          <w:rFonts w:ascii="Times New Roman" w:hAnsi="Times New Roman" w:cs="Times New Roman"/>
          <w:sz w:val="24"/>
          <w:szCs w:val="24"/>
        </w:rPr>
        <w:t xml:space="preserve"> </w:t>
      </w:r>
    </w:p>
    <w:p w:rsidR="001C64FD" w:rsidRPr="006D176A" w:rsidRDefault="00D96824"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METABOLIC SYNDROME AND CARDIOVASCULAR RISK</w:t>
      </w:r>
    </w:p>
    <w:p w:rsidR="001C64FD" w:rsidRPr="006D176A" w:rsidRDefault="00D9682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LONG-TERM (LIFETIME) RISK  </w:t>
      </w:r>
      <w:r>
        <w:rPr>
          <w:rFonts w:ascii="Times New Roman" w:hAnsi="Times New Roman" w:cs="Times New Roman"/>
          <w:sz w:val="24"/>
          <w:szCs w:val="24"/>
        </w:rPr>
        <w:t>:</w:t>
      </w:r>
    </w:p>
    <w:p w:rsidR="001C64FD" w:rsidRPr="006D176A" w:rsidRDefault="003A4702"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According to many prospective epidemiologic studies, the</w:t>
      </w:r>
      <w:r w:rsidR="001C64FD" w:rsidRPr="006D176A">
        <w:rPr>
          <w:rFonts w:ascii="Times New Roman" w:hAnsi="Times New Roman" w:cs="Times New Roman"/>
          <w:sz w:val="24"/>
          <w:szCs w:val="24"/>
        </w:rPr>
        <w:t xml:space="preserve"> metabolic syndrome is accompanied by an increase in relative risk for</w:t>
      </w:r>
      <w:r w:rsidRPr="006D176A">
        <w:rPr>
          <w:rFonts w:ascii="Times New Roman" w:hAnsi="Times New Roman" w:cs="Times New Roman"/>
          <w:sz w:val="24"/>
          <w:szCs w:val="24"/>
        </w:rPr>
        <w:t xml:space="preserve"> </w:t>
      </w:r>
      <w:r w:rsidR="001C64FD" w:rsidRPr="006D176A">
        <w:rPr>
          <w:rFonts w:ascii="Times New Roman" w:hAnsi="Times New Roman" w:cs="Times New Roman"/>
          <w:sz w:val="24"/>
          <w:szCs w:val="24"/>
        </w:rPr>
        <w:t>ASCVD</w:t>
      </w:r>
      <w:r w:rsidRPr="006D176A">
        <w:rPr>
          <w:rFonts w:ascii="Times New Roman" w:hAnsi="Times New Roman" w:cs="Times New Roman"/>
          <w:sz w:val="24"/>
          <w:szCs w:val="24"/>
        </w:rPr>
        <w:t xml:space="preserve"> in populations at risk and, </w:t>
      </w:r>
      <w:r w:rsidR="001C64FD" w:rsidRPr="006D176A">
        <w:rPr>
          <w:rFonts w:ascii="Times New Roman" w:hAnsi="Times New Roman" w:cs="Times New Roman"/>
          <w:sz w:val="24"/>
          <w:szCs w:val="24"/>
        </w:rPr>
        <w:t xml:space="preserve">the </w:t>
      </w:r>
      <w:r w:rsidR="001C64FD" w:rsidRPr="006D176A">
        <w:rPr>
          <w:rFonts w:ascii="Times New Roman" w:hAnsi="Times New Roman" w:cs="Times New Roman"/>
          <w:sz w:val="24"/>
          <w:szCs w:val="24"/>
        </w:rPr>
        <w:lastRenderedPageBreak/>
        <w:t>relative risk for ASCVD events is</w:t>
      </w:r>
      <w:r w:rsidRPr="006D176A">
        <w:rPr>
          <w:rFonts w:ascii="Times New Roman" w:hAnsi="Times New Roman" w:cs="Times New Roman"/>
          <w:sz w:val="24"/>
          <w:szCs w:val="24"/>
        </w:rPr>
        <w:t xml:space="preserve"> </w:t>
      </w:r>
      <w:r w:rsidR="001C64FD" w:rsidRPr="006D176A">
        <w:rPr>
          <w:rFonts w:ascii="Times New Roman" w:hAnsi="Times New Roman" w:cs="Times New Roman"/>
          <w:sz w:val="24"/>
          <w:szCs w:val="24"/>
        </w:rPr>
        <w:t>essentially doubled</w:t>
      </w:r>
      <w:r w:rsidR="00AF50DE">
        <w:rPr>
          <w:rFonts w:ascii="Times New Roman" w:hAnsi="Times New Roman" w:cs="Times New Roman"/>
          <w:sz w:val="24"/>
          <w:szCs w:val="24"/>
          <w:vertAlign w:val="superscript"/>
        </w:rPr>
        <w:t>40-42</w:t>
      </w:r>
      <w:r w:rsidR="00AF50DE">
        <w:rPr>
          <w:rFonts w:ascii="Times New Roman" w:hAnsi="Times New Roman" w:cs="Times New Roman"/>
          <w:sz w:val="24"/>
          <w:szCs w:val="24"/>
        </w:rPr>
        <w:t xml:space="preserve">. </w:t>
      </w:r>
      <w:r w:rsidR="001C64FD" w:rsidRPr="006D176A">
        <w:rPr>
          <w:rFonts w:ascii="Times New Roman" w:hAnsi="Times New Roman" w:cs="Times New Roman"/>
          <w:sz w:val="24"/>
          <w:szCs w:val="24"/>
        </w:rPr>
        <w:t>It is likely that the twofold increase in risk seen in short-term,</w:t>
      </w:r>
      <w:r w:rsidRPr="006D176A">
        <w:rPr>
          <w:rFonts w:ascii="Times New Roman" w:hAnsi="Times New Roman" w:cs="Times New Roman"/>
          <w:sz w:val="24"/>
          <w:szCs w:val="24"/>
        </w:rPr>
        <w:t xml:space="preserve"> </w:t>
      </w:r>
      <w:r w:rsidR="001C64FD" w:rsidRPr="006D176A">
        <w:rPr>
          <w:rFonts w:ascii="Times New Roman" w:hAnsi="Times New Roman" w:cs="Times New Roman"/>
          <w:sz w:val="24"/>
          <w:szCs w:val="24"/>
        </w:rPr>
        <w:t>prospective studies underestimates the long-term impact of the syndrome</w:t>
      </w:r>
      <w:r w:rsidR="004B36AC" w:rsidRPr="006D176A">
        <w:rPr>
          <w:rFonts w:ascii="Times New Roman" w:hAnsi="Times New Roman" w:cs="Times New Roman"/>
          <w:sz w:val="24"/>
          <w:szCs w:val="24"/>
        </w:rPr>
        <w:t xml:space="preserve"> as the </w:t>
      </w:r>
      <w:r w:rsidR="001C64FD" w:rsidRPr="006D176A">
        <w:rPr>
          <w:rFonts w:ascii="Times New Roman" w:hAnsi="Times New Roman" w:cs="Times New Roman"/>
          <w:sz w:val="24"/>
          <w:szCs w:val="24"/>
        </w:rPr>
        <w:t>metabolic risk factors tend to worsen with time. Consequently, the earlier metabolic syndrome can be detected and managed, the</w:t>
      </w:r>
      <w:r w:rsidR="00D96824">
        <w:rPr>
          <w:rFonts w:ascii="Times New Roman" w:hAnsi="Times New Roman" w:cs="Times New Roman"/>
          <w:sz w:val="24"/>
          <w:szCs w:val="24"/>
        </w:rPr>
        <w:t xml:space="preserve"> </w:t>
      </w:r>
      <w:r w:rsidR="001C64FD" w:rsidRPr="006D176A">
        <w:rPr>
          <w:rFonts w:ascii="Times New Roman" w:hAnsi="Times New Roman" w:cs="Times New Roman"/>
          <w:sz w:val="24"/>
          <w:szCs w:val="24"/>
        </w:rPr>
        <w:t>slower will be the progression.</w:t>
      </w:r>
    </w:p>
    <w:p w:rsidR="001C64FD" w:rsidRPr="006D176A" w:rsidRDefault="00D9682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SHORT-TERM (10-YEAR) RISK</w:t>
      </w:r>
      <w:r>
        <w:rPr>
          <w:rFonts w:ascii="Times New Roman" w:hAnsi="Times New Roman" w:cs="Times New Roman"/>
          <w:sz w:val="24"/>
          <w:szCs w:val="24"/>
        </w:rPr>
        <w:t xml:space="preserve"> :</w:t>
      </w:r>
    </w:p>
    <w:p w:rsidR="004B36AC"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At present, more intense clinical intervention is driven by short-term risk for ASCVD</w:t>
      </w:r>
      <w:r w:rsidR="00AF50DE">
        <w:rPr>
          <w:rFonts w:ascii="Times New Roman" w:hAnsi="Times New Roman" w:cs="Times New Roman"/>
          <w:sz w:val="24"/>
          <w:szCs w:val="24"/>
          <w:vertAlign w:val="superscript"/>
        </w:rPr>
        <w:t>43</w:t>
      </w:r>
      <w:r w:rsidRPr="006D176A">
        <w:rPr>
          <w:rFonts w:ascii="Times New Roman" w:hAnsi="Times New Roman" w:cs="Times New Roman"/>
          <w:sz w:val="24"/>
          <w:szCs w:val="24"/>
        </w:rPr>
        <w:t>. This</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 xml:space="preserve">risk usually is identified as 10- year risk for coronary heart disease (CHD). </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According to</w:t>
      </w:r>
      <w:r w:rsidR="004B36AC"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ATP III guidelines, risk can be </w:t>
      </w:r>
      <w:r w:rsidR="00A404FC">
        <w:rPr>
          <w:rFonts w:ascii="Times New Roman" w:hAnsi="Times New Roman" w:cs="Times New Roman"/>
          <w:sz w:val="24"/>
          <w:szCs w:val="24"/>
        </w:rPr>
        <w:t>stratified into four categories :</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1. High risk </w:t>
      </w:r>
      <w:r w:rsidR="0047452C" w:rsidRPr="006D176A">
        <w:rPr>
          <w:rFonts w:ascii="Times New Roman" w:hAnsi="Times New Roman" w:cs="Times New Roman"/>
          <w:sz w:val="24"/>
          <w:szCs w:val="24"/>
        </w:rPr>
        <w:t>-</w:t>
      </w:r>
      <w:r w:rsidRPr="006D176A">
        <w:rPr>
          <w:rFonts w:ascii="Times New Roman" w:hAnsi="Times New Roman" w:cs="Times New Roman"/>
          <w:sz w:val="24"/>
          <w:szCs w:val="24"/>
        </w:rPr>
        <w:t xml:space="preserve"> 10-year risk for CHD &gt;20 percent and includes patients with clinically</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evident ASCVD, diabetes, or enough other major risk factors to raise the risk to this level.</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2. Moderately high risk </w:t>
      </w:r>
      <w:r w:rsidR="0047452C" w:rsidRPr="006D176A">
        <w:rPr>
          <w:rFonts w:ascii="Times New Roman" w:hAnsi="Times New Roman" w:cs="Times New Roman"/>
          <w:sz w:val="24"/>
          <w:szCs w:val="24"/>
        </w:rPr>
        <w:t>-</w:t>
      </w:r>
      <w:r w:rsidRPr="006D176A">
        <w:rPr>
          <w:rFonts w:ascii="Times New Roman" w:hAnsi="Times New Roman" w:cs="Times New Roman"/>
          <w:sz w:val="24"/>
          <w:szCs w:val="24"/>
        </w:rPr>
        <w:t xml:space="preserve"> </w:t>
      </w:r>
      <w:r w:rsidR="0047452C" w:rsidRPr="006D176A">
        <w:rPr>
          <w:rFonts w:ascii="Times New Roman" w:hAnsi="Times New Roman" w:cs="Times New Roman"/>
          <w:sz w:val="24"/>
          <w:szCs w:val="24"/>
        </w:rPr>
        <w:t>T</w:t>
      </w:r>
      <w:r w:rsidRPr="006D176A">
        <w:rPr>
          <w:rFonts w:ascii="Times New Roman" w:hAnsi="Times New Roman" w:cs="Times New Roman"/>
          <w:sz w:val="24"/>
          <w:szCs w:val="24"/>
        </w:rPr>
        <w:t>wo or more major risk fac</w:t>
      </w:r>
      <w:r w:rsidR="0047452C" w:rsidRPr="006D176A">
        <w:rPr>
          <w:rFonts w:ascii="Times New Roman" w:hAnsi="Times New Roman" w:cs="Times New Roman"/>
          <w:sz w:val="24"/>
          <w:szCs w:val="24"/>
        </w:rPr>
        <w:t>tors and a 10-year risk of 10 - 20 percent.</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3. Moderate risk </w:t>
      </w:r>
      <w:r w:rsidR="0047452C" w:rsidRPr="006D176A">
        <w:rPr>
          <w:rFonts w:ascii="Times New Roman" w:hAnsi="Times New Roman" w:cs="Times New Roman"/>
          <w:sz w:val="24"/>
          <w:szCs w:val="24"/>
        </w:rPr>
        <w:t>-</w:t>
      </w:r>
      <w:r w:rsidRPr="006D176A">
        <w:rPr>
          <w:rFonts w:ascii="Times New Roman" w:hAnsi="Times New Roman" w:cs="Times New Roman"/>
          <w:sz w:val="24"/>
          <w:szCs w:val="24"/>
        </w:rPr>
        <w:t xml:space="preserve"> </w:t>
      </w:r>
      <w:r w:rsidR="0047452C" w:rsidRPr="006D176A">
        <w:rPr>
          <w:rFonts w:ascii="Times New Roman" w:hAnsi="Times New Roman" w:cs="Times New Roman"/>
          <w:sz w:val="24"/>
          <w:szCs w:val="24"/>
        </w:rPr>
        <w:t>T</w:t>
      </w:r>
      <w:r w:rsidRPr="006D176A">
        <w:rPr>
          <w:rFonts w:ascii="Times New Roman" w:hAnsi="Times New Roman" w:cs="Times New Roman"/>
          <w:sz w:val="24"/>
          <w:szCs w:val="24"/>
        </w:rPr>
        <w:t>wo or more risk factors, but a 10-year risk &lt;10 percent.</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4. Lower-risk </w:t>
      </w:r>
      <w:r w:rsidR="0047452C" w:rsidRPr="006D176A">
        <w:rPr>
          <w:rFonts w:ascii="Times New Roman" w:hAnsi="Times New Roman" w:cs="Times New Roman"/>
          <w:sz w:val="24"/>
          <w:szCs w:val="24"/>
        </w:rPr>
        <w:t>-</w:t>
      </w:r>
      <w:r w:rsidRPr="006D176A">
        <w:rPr>
          <w:rFonts w:ascii="Times New Roman" w:hAnsi="Times New Roman" w:cs="Times New Roman"/>
          <w:sz w:val="24"/>
          <w:szCs w:val="24"/>
        </w:rPr>
        <w:t xml:space="preserve"> 0 to 1 risk factor and a 10-year risk &lt;10 percent.</w:t>
      </w:r>
    </w:p>
    <w:p w:rsidR="001C64FD" w:rsidRPr="006D176A" w:rsidRDefault="0047452C"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 </w:t>
      </w:r>
      <w:r w:rsidR="001C64FD" w:rsidRPr="006D176A">
        <w:rPr>
          <w:rFonts w:ascii="Times New Roman" w:hAnsi="Times New Roman" w:cs="Times New Roman"/>
          <w:sz w:val="24"/>
          <w:szCs w:val="24"/>
        </w:rPr>
        <w:t>Framingham risk scoring should be used to estimate 10-year risk in metabolic syndrome</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patients without established ASCVD or type II diabetes mellitus (T2DM)</w:t>
      </w:r>
      <w:r w:rsidR="00AF50DE">
        <w:rPr>
          <w:rFonts w:ascii="Times New Roman" w:hAnsi="Times New Roman" w:cs="Times New Roman"/>
          <w:sz w:val="24"/>
          <w:szCs w:val="24"/>
          <w:vertAlign w:val="superscript"/>
        </w:rPr>
        <w:t>43</w:t>
      </w:r>
      <w:r w:rsidRPr="006D176A">
        <w:rPr>
          <w:rFonts w:ascii="Times New Roman" w:hAnsi="Times New Roman" w:cs="Times New Roman"/>
          <w:sz w:val="24"/>
          <w:szCs w:val="24"/>
        </w:rPr>
        <w:t xml:space="preserve">. </w:t>
      </w:r>
      <w:r w:rsidR="009662FC" w:rsidRPr="006D176A">
        <w:rPr>
          <w:rFonts w:ascii="Times New Roman" w:hAnsi="Times New Roman" w:cs="Times New Roman"/>
          <w:sz w:val="24"/>
          <w:szCs w:val="24"/>
        </w:rPr>
        <w:t>M</w:t>
      </w:r>
      <w:r w:rsidRPr="006D176A">
        <w:rPr>
          <w:rFonts w:ascii="Times New Roman" w:hAnsi="Times New Roman" w:cs="Times New Roman"/>
          <w:sz w:val="24"/>
          <w:szCs w:val="24"/>
        </w:rPr>
        <w:t xml:space="preserve">etabolic syndrome is only one part of overall risk assessment for ASCVD, </w:t>
      </w:r>
      <w:r w:rsidR="009662FC" w:rsidRPr="006D176A">
        <w:rPr>
          <w:rFonts w:ascii="Times New Roman" w:hAnsi="Times New Roman" w:cs="Times New Roman"/>
          <w:sz w:val="24"/>
          <w:szCs w:val="24"/>
        </w:rPr>
        <w:t xml:space="preserve">thus </w:t>
      </w:r>
      <w:r w:rsidRPr="006D176A">
        <w:rPr>
          <w:rFonts w:ascii="Times New Roman" w:hAnsi="Times New Roman" w:cs="Times New Roman"/>
          <w:sz w:val="24"/>
          <w:szCs w:val="24"/>
        </w:rPr>
        <w:t>it is not an</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adequate </w:t>
      </w:r>
      <w:r w:rsidRPr="006D176A">
        <w:rPr>
          <w:rFonts w:ascii="Times New Roman" w:hAnsi="Times New Roman" w:cs="Times New Roman"/>
          <w:sz w:val="24"/>
          <w:szCs w:val="24"/>
        </w:rPr>
        <w:lastRenderedPageBreak/>
        <w:t>tool to estimate 10-year risk for CHD. These patients must be considered to be at</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higher lifetime risk for ASCVD, but metabolic syndrome alone is inadequate to guide</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clinical management for short-term risk reduction.</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Besides the simple clinical measures proposed</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by ATP III, other emerging risk factors are commonly present in patients with metabolic</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syndrome</w:t>
      </w:r>
      <w:r w:rsidRPr="006D176A">
        <w:rPr>
          <w:rFonts w:ascii="Times New Roman" w:hAnsi="Times New Roman" w:cs="Times New Roman"/>
          <w:sz w:val="24"/>
          <w:szCs w:val="24"/>
          <w:vertAlign w:val="superscript"/>
        </w:rPr>
        <w:t xml:space="preserve"> </w:t>
      </w:r>
      <w:r w:rsidRPr="006D176A">
        <w:rPr>
          <w:rFonts w:ascii="Times New Roman" w:hAnsi="Times New Roman" w:cs="Times New Roman"/>
          <w:sz w:val="24"/>
          <w:szCs w:val="24"/>
        </w:rPr>
        <w:t>. Identification of abnormalities in these factors can help to confirm the</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presence of the syndrome. </w:t>
      </w:r>
      <w:r w:rsidR="009662FC" w:rsidRPr="006D176A">
        <w:rPr>
          <w:rFonts w:ascii="Times New Roman" w:hAnsi="Times New Roman" w:cs="Times New Roman"/>
          <w:sz w:val="24"/>
          <w:szCs w:val="24"/>
        </w:rPr>
        <w:t>T</w:t>
      </w:r>
      <w:r w:rsidRPr="006D176A">
        <w:rPr>
          <w:rFonts w:ascii="Times New Roman" w:hAnsi="Times New Roman" w:cs="Times New Roman"/>
          <w:sz w:val="24"/>
          <w:szCs w:val="24"/>
        </w:rPr>
        <w:t xml:space="preserve">hese emerging risk factors are not </w:t>
      </w:r>
      <w:r w:rsidR="009662FC" w:rsidRPr="006D176A">
        <w:rPr>
          <w:rFonts w:ascii="Times New Roman" w:hAnsi="Times New Roman" w:cs="Times New Roman"/>
          <w:sz w:val="24"/>
          <w:szCs w:val="24"/>
        </w:rPr>
        <w:t>necessary</w:t>
      </w:r>
      <w:r w:rsidRPr="006D176A">
        <w:rPr>
          <w:rFonts w:ascii="Times New Roman" w:hAnsi="Times New Roman" w:cs="Times New Roman"/>
          <w:sz w:val="24"/>
          <w:szCs w:val="24"/>
        </w:rPr>
        <w:t xml:space="preserve"> for</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diagnosis, </w:t>
      </w:r>
      <w:r w:rsidR="009662FC" w:rsidRPr="006D176A">
        <w:rPr>
          <w:rFonts w:ascii="Times New Roman" w:hAnsi="Times New Roman" w:cs="Times New Roman"/>
          <w:sz w:val="24"/>
          <w:szCs w:val="24"/>
        </w:rPr>
        <w:t xml:space="preserve">but </w:t>
      </w:r>
      <w:r w:rsidRPr="006D176A">
        <w:rPr>
          <w:rFonts w:ascii="Times New Roman" w:hAnsi="Times New Roman" w:cs="Times New Roman"/>
          <w:sz w:val="24"/>
          <w:szCs w:val="24"/>
        </w:rPr>
        <w:t>the presence of several of them will give strong confirmation of the presence of a</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systemic metabolic disorder</w:t>
      </w:r>
      <w:r w:rsidR="009662FC" w:rsidRPr="006D176A">
        <w:rPr>
          <w:rFonts w:ascii="Times New Roman" w:hAnsi="Times New Roman" w:cs="Times New Roman"/>
          <w:sz w:val="24"/>
          <w:szCs w:val="24"/>
        </w:rPr>
        <w:t xml:space="preserve"> and </w:t>
      </w:r>
      <w:r w:rsidRPr="006D176A">
        <w:rPr>
          <w:rFonts w:ascii="Times New Roman" w:hAnsi="Times New Roman" w:cs="Times New Roman"/>
          <w:sz w:val="24"/>
          <w:szCs w:val="24"/>
        </w:rPr>
        <w:t>confirmation of a higher risk status can be obtained by the finding of significant subclinical</w:t>
      </w:r>
      <w:r w:rsidR="009662FC" w:rsidRPr="006D176A">
        <w:rPr>
          <w:rFonts w:ascii="Times New Roman" w:hAnsi="Times New Roman" w:cs="Times New Roman"/>
          <w:sz w:val="24"/>
          <w:szCs w:val="24"/>
        </w:rPr>
        <w:t xml:space="preserve"> </w:t>
      </w:r>
      <w:r w:rsidRPr="006D176A">
        <w:rPr>
          <w:rFonts w:ascii="Times New Roman" w:hAnsi="Times New Roman" w:cs="Times New Roman"/>
          <w:sz w:val="24"/>
          <w:szCs w:val="24"/>
        </w:rPr>
        <w:t>atherosclerosis.</w:t>
      </w:r>
    </w:p>
    <w:p w:rsidR="007C020C" w:rsidRPr="006D176A" w:rsidRDefault="00A404FC"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ETIOLOGY AND COMPONENTS OF METABOLIC SYNDROME</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OBESITY</w:t>
      </w:r>
    </w:p>
    <w:p w:rsidR="00EC63A9" w:rsidRDefault="00FC1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It is well established that the</w:t>
      </w:r>
      <w:r w:rsidR="001C64FD" w:rsidRPr="006D176A">
        <w:rPr>
          <w:rFonts w:ascii="Times New Roman" w:hAnsi="Times New Roman" w:cs="Times New Roman"/>
          <w:sz w:val="24"/>
          <w:szCs w:val="24"/>
        </w:rPr>
        <w:t xml:space="preserve"> high prevalence of metabolic syndrome worldwide is secondary to a rising prevalence</w:t>
      </w:r>
      <w:r w:rsidRPr="006D176A">
        <w:rPr>
          <w:rFonts w:ascii="Times New Roman" w:hAnsi="Times New Roman" w:cs="Times New Roman"/>
          <w:sz w:val="24"/>
          <w:szCs w:val="24"/>
        </w:rPr>
        <w:t xml:space="preserve"> </w:t>
      </w:r>
      <w:r w:rsidR="001C64FD" w:rsidRPr="006D176A">
        <w:rPr>
          <w:rFonts w:ascii="Times New Roman" w:hAnsi="Times New Roman" w:cs="Times New Roman"/>
          <w:sz w:val="24"/>
          <w:szCs w:val="24"/>
        </w:rPr>
        <w:t>of obesity</w:t>
      </w:r>
      <w:r w:rsidR="0093460D" w:rsidRPr="006D176A">
        <w:rPr>
          <w:rFonts w:ascii="Times New Roman" w:hAnsi="Times New Roman" w:cs="Times New Roman"/>
          <w:sz w:val="24"/>
          <w:szCs w:val="24"/>
        </w:rPr>
        <w:t xml:space="preserve"> and the m</w:t>
      </w:r>
      <w:r w:rsidR="001C64FD" w:rsidRPr="006D176A">
        <w:rPr>
          <w:rFonts w:ascii="Times New Roman" w:hAnsi="Times New Roman" w:cs="Times New Roman"/>
          <w:sz w:val="24"/>
          <w:szCs w:val="24"/>
        </w:rPr>
        <w:t xml:space="preserve">etabolic </w:t>
      </w:r>
      <w:r w:rsidR="0093460D" w:rsidRPr="006D176A">
        <w:rPr>
          <w:rFonts w:ascii="Times New Roman" w:hAnsi="Times New Roman" w:cs="Times New Roman"/>
          <w:sz w:val="24"/>
          <w:szCs w:val="24"/>
        </w:rPr>
        <w:t>s</w:t>
      </w:r>
      <w:r w:rsidR="001C64FD" w:rsidRPr="006D176A">
        <w:rPr>
          <w:rFonts w:ascii="Times New Roman" w:hAnsi="Times New Roman" w:cs="Times New Roman"/>
          <w:sz w:val="24"/>
          <w:szCs w:val="24"/>
        </w:rPr>
        <w:t>yndrome prevalence rises in p</w:t>
      </w:r>
      <w:r w:rsidR="00AF50DE">
        <w:rPr>
          <w:rFonts w:ascii="Times New Roman" w:hAnsi="Times New Roman" w:cs="Times New Roman"/>
          <w:sz w:val="24"/>
          <w:szCs w:val="24"/>
        </w:rPr>
        <w:t>arallel with increasing obesity</w:t>
      </w:r>
      <w:r w:rsidR="00AF50DE">
        <w:rPr>
          <w:rFonts w:ascii="Times New Roman" w:hAnsi="Times New Roman" w:cs="Times New Roman"/>
          <w:sz w:val="24"/>
          <w:szCs w:val="24"/>
          <w:vertAlign w:val="superscript"/>
        </w:rPr>
        <w:t>44-49</w:t>
      </w:r>
      <w:r w:rsidR="00AF50DE">
        <w:rPr>
          <w:rFonts w:ascii="Times New Roman" w:hAnsi="Times New Roman" w:cs="Times New Roman"/>
          <w:sz w:val="24"/>
          <w:szCs w:val="24"/>
        </w:rPr>
        <w:t xml:space="preserve">. </w:t>
      </w:r>
      <w:r w:rsidR="001C64FD" w:rsidRPr="006D176A">
        <w:rPr>
          <w:rFonts w:ascii="Times New Roman" w:hAnsi="Times New Roman" w:cs="Times New Roman"/>
          <w:sz w:val="24"/>
          <w:szCs w:val="24"/>
        </w:rPr>
        <w:t>Physical inactivity also is associated with a higher prevalence of metabolic syndrome</w:t>
      </w:r>
      <w:r w:rsidR="00AF50DE" w:rsidRPr="00AF50DE">
        <w:rPr>
          <w:rFonts w:ascii="Times New Roman" w:hAnsi="Times New Roman" w:cs="Times New Roman"/>
          <w:sz w:val="24"/>
          <w:szCs w:val="24"/>
          <w:vertAlign w:val="superscript"/>
        </w:rPr>
        <w:t>50</w:t>
      </w:r>
      <w:r w:rsidR="00AF50DE">
        <w:rPr>
          <w:rFonts w:ascii="Times New Roman" w:hAnsi="Times New Roman" w:cs="Times New Roman"/>
          <w:sz w:val="24"/>
          <w:szCs w:val="24"/>
        </w:rPr>
        <w:t xml:space="preserve">. </w:t>
      </w:r>
      <w:r w:rsidR="001C64FD" w:rsidRPr="00AF50DE">
        <w:rPr>
          <w:rFonts w:ascii="Times New Roman" w:hAnsi="Times New Roman" w:cs="Times New Roman"/>
          <w:sz w:val="24"/>
          <w:szCs w:val="24"/>
        </w:rPr>
        <w:t>The</w:t>
      </w:r>
      <w:r w:rsidR="001C64FD" w:rsidRPr="006D176A">
        <w:rPr>
          <w:rFonts w:ascii="Times New Roman" w:hAnsi="Times New Roman" w:cs="Times New Roman"/>
          <w:sz w:val="24"/>
          <w:szCs w:val="24"/>
        </w:rPr>
        <w:t xml:space="preserve"> mechanisms whereby obesity results in metabolic syndrome are being increasingly</w:t>
      </w:r>
      <w:r w:rsidR="00A404FC">
        <w:rPr>
          <w:rFonts w:ascii="Times New Roman" w:hAnsi="Times New Roman" w:cs="Times New Roman"/>
          <w:sz w:val="24"/>
          <w:szCs w:val="24"/>
        </w:rPr>
        <w:t xml:space="preserve"> </w:t>
      </w:r>
      <w:r w:rsidR="001C64FD" w:rsidRPr="006D176A">
        <w:rPr>
          <w:rFonts w:ascii="Times New Roman" w:hAnsi="Times New Roman" w:cs="Times New Roman"/>
          <w:sz w:val="24"/>
          <w:szCs w:val="24"/>
        </w:rPr>
        <w:t>understood</w:t>
      </w:r>
      <w:r w:rsidR="00AF50DE">
        <w:rPr>
          <w:rFonts w:ascii="Times New Roman" w:hAnsi="Times New Roman" w:cs="Times New Roman"/>
          <w:sz w:val="24"/>
          <w:szCs w:val="24"/>
          <w:vertAlign w:val="superscript"/>
        </w:rPr>
        <w:t>51</w:t>
      </w:r>
      <w:r w:rsidR="001C64FD" w:rsidRPr="006D176A">
        <w:rPr>
          <w:rFonts w:ascii="Times New Roman" w:hAnsi="Times New Roman" w:cs="Times New Roman"/>
          <w:sz w:val="24"/>
          <w:szCs w:val="24"/>
        </w:rPr>
        <w:t xml:space="preserve">. Adipose tissue releases several products </w:t>
      </w:r>
      <w:r w:rsidR="0093460D" w:rsidRPr="006D176A">
        <w:rPr>
          <w:rFonts w:ascii="Times New Roman" w:hAnsi="Times New Roman" w:cs="Times New Roman"/>
          <w:sz w:val="24"/>
          <w:szCs w:val="24"/>
        </w:rPr>
        <w:t>that appear to worsen metabolic</w:t>
      </w:r>
      <w:r w:rsidR="00A404FC">
        <w:rPr>
          <w:rFonts w:ascii="Times New Roman" w:hAnsi="Times New Roman" w:cs="Times New Roman"/>
          <w:sz w:val="24"/>
          <w:szCs w:val="24"/>
        </w:rPr>
        <w:t xml:space="preserve"> </w:t>
      </w:r>
      <w:r w:rsidR="001C64FD" w:rsidRPr="006D176A">
        <w:rPr>
          <w:rFonts w:ascii="Times New Roman" w:hAnsi="Times New Roman" w:cs="Times New Roman"/>
          <w:sz w:val="24"/>
          <w:szCs w:val="24"/>
        </w:rPr>
        <w:t>syndrome</w:t>
      </w:r>
      <w:r w:rsidR="00AF50DE">
        <w:rPr>
          <w:rFonts w:ascii="Times New Roman" w:hAnsi="Times New Roman" w:cs="Times New Roman"/>
          <w:sz w:val="24"/>
          <w:szCs w:val="24"/>
          <w:vertAlign w:val="superscript"/>
        </w:rPr>
        <w:t>52</w:t>
      </w:r>
      <w:r w:rsidR="001C64FD" w:rsidRPr="006D176A">
        <w:rPr>
          <w:rFonts w:ascii="Times New Roman" w:hAnsi="Times New Roman" w:cs="Times New Roman"/>
          <w:sz w:val="24"/>
          <w:szCs w:val="24"/>
        </w:rPr>
        <w:t xml:space="preserve">. During the fasting state, adipose tissue triglyceride undergoes lipolysis and releases </w:t>
      </w:r>
      <w:r w:rsidR="0093460D" w:rsidRPr="006D176A">
        <w:rPr>
          <w:rFonts w:ascii="Times New Roman" w:hAnsi="Times New Roman" w:cs="Times New Roman"/>
          <w:sz w:val="24"/>
          <w:szCs w:val="24"/>
        </w:rPr>
        <w:t>nonesterified fatty acids (NEFA</w:t>
      </w:r>
      <w:r w:rsidR="009808CC" w:rsidRPr="006D176A">
        <w:rPr>
          <w:rFonts w:ascii="Times New Roman" w:hAnsi="Times New Roman" w:cs="Times New Roman"/>
          <w:sz w:val="24"/>
          <w:szCs w:val="24"/>
        </w:rPr>
        <w:t>).</w:t>
      </w:r>
      <w:r w:rsidR="001C64FD" w:rsidRPr="006D176A">
        <w:rPr>
          <w:rFonts w:ascii="Times New Roman" w:hAnsi="Times New Roman" w:cs="Times New Roman"/>
          <w:sz w:val="24"/>
          <w:szCs w:val="24"/>
        </w:rPr>
        <w:t xml:space="preserve"> But if NEFA supply exceeds needs for energy utilization, they</w:t>
      </w:r>
      <w:r w:rsidR="00A404FC">
        <w:rPr>
          <w:rFonts w:ascii="Times New Roman" w:hAnsi="Times New Roman" w:cs="Times New Roman"/>
          <w:sz w:val="24"/>
          <w:szCs w:val="24"/>
        </w:rPr>
        <w:t xml:space="preserve"> </w:t>
      </w:r>
      <w:r w:rsidR="001C64FD" w:rsidRPr="006D176A">
        <w:rPr>
          <w:rFonts w:ascii="Times New Roman" w:hAnsi="Times New Roman" w:cs="Times New Roman"/>
          <w:sz w:val="24"/>
          <w:szCs w:val="24"/>
        </w:rPr>
        <w:t xml:space="preserve">accumulate in muscle and liver. This accumulation is called </w:t>
      </w:r>
      <w:r w:rsidR="001C64FD" w:rsidRPr="006D176A">
        <w:rPr>
          <w:rFonts w:ascii="Times New Roman" w:hAnsi="Times New Roman" w:cs="Times New Roman"/>
          <w:sz w:val="24"/>
          <w:szCs w:val="24"/>
        </w:rPr>
        <w:lastRenderedPageBreak/>
        <w:t>ectopic fat. When fat</w:t>
      </w:r>
      <w:r w:rsidR="009808CC" w:rsidRPr="006D176A">
        <w:rPr>
          <w:rFonts w:ascii="Times New Roman" w:hAnsi="Times New Roman" w:cs="Times New Roman"/>
          <w:sz w:val="24"/>
          <w:szCs w:val="24"/>
        </w:rPr>
        <w:t xml:space="preserve"> </w:t>
      </w:r>
      <w:r w:rsidR="001C64FD" w:rsidRPr="006D176A">
        <w:rPr>
          <w:rFonts w:ascii="Times New Roman" w:hAnsi="Times New Roman" w:cs="Times New Roman"/>
          <w:sz w:val="24"/>
          <w:szCs w:val="24"/>
        </w:rPr>
        <w:t>accumulates in muscle and the liver, insulin resistance is increased. This change plus other</w:t>
      </w:r>
      <w:r w:rsidR="009808CC" w:rsidRPr="006D176A">
        <w:rPr>
          <w:rFonts w:ascii="Times New Roman" w:hAnsi="Times New Roman" w:cs="Times New Roman"/>
          <w:sz w:val="24"/>
          <w:szCs w:val="24"/>
        </w:rPr>
        <w:t xml:space="preserve"> </w:t>
      </w:r>
      <w:r w:rsidR="001C64FD" w:rsidRPr="006D176A">
        <w:rPr>
          <w:rFonts w:ascii="Times New Roman" w:hAnsi="Times New Roman" w:cs="Times New Roman"/>
          <w:sz w:val="24"/>
          <w:szCs w:val="24"/>
        </w:rPr>
        <w:t>metabolic alterations predisposes to the metabolic syndrome</w:t>
      </w:r>
      <w:r w:rsidR="00EC63A9">
        <w:rPr>
          <w:rFonts w:ascii="Times New Roman" w:hAnsi="Times New Roman" w:cs="Times New Roman"/>
          <w:sz w:val="24"/>
          <w:szCs w:val="24"/>
          <w:vertAlign w:val="superscript"/>
        </w:rPr>
        <w:t>52</w:t>
      </w:r>
      <w:r w:rsidR="009808CC" w:rsidRPr="006D176A">
        <w:rPr>
          <w:rFonts w:ascii="Times New Roman" w:hAnsi="Times New Roman" w:cs="Times New Roman"/>
          <w:sz w:val="24"/>
          <w:szCs w:val="24"/>
        </w:rPr>
        <w:t xml:space="preserve">. </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Only a portion of patients with obesity develop metabolic syndrome. It appears that an</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individual must be metabolically susceptible to developing the syndrome, and when obesity</w:t>
      </w:r>
    </w:p>
    <w:p w:rsidR="00EC63A9"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is acquired,</w:t>
      </w:r>
      <w:r w:rsidR="004A72D6" w:rsidRPr="006D176A">
        <w:rPr>
          <w:rFonts w:ascii="Times New Roman" w:hAnsi="Times New Roman" w:cs="Times New Roman"/>
          <w:sz w:val="24"/>
          <w:szCs w:val="24"/>
        </w:rPr>
        <w:t xml:space="preserve"> the syndrome becomes manifest. </w:t>
      </w:r>
    </w:p>
    <w:p w:rsidR="00EC63A9" w:rsidRPr="00EC63A9"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Insulin is a major regulator of adipose tissue metabolism.</w:t>
      </w:r>
      <w:r w:rsidR="006D0CC4" w:rsidRPr="006D176A">
        <w:rPr>
          <w:rFonts w:ascii="Times New Roman" w:hAnsi="Times New Roman" w:cs="Times New Roman"/>
          <w:sz w:val="24"/>
          <w:szCs w:val="24"/>
        </w:rPr>
        <w:t xml:space="preserve"> Dysfunctional forms of adipose tissue can result from genetic forms of insulin resistance. </w:t>
      </w:r>
      <w:r w:rsidRPr="006D176A">
        <w:rPr>
          <w:rFonts w:ascii="Times New Roman" w:hAnsi="Times New Roman" w:cs="Times New Roman"/>
          <w:sz w:val="24"/>
          <w:szCs w:val="24"/>
        </w:rPr>
        <w:t>When genetic defects</w:t>
      </w:r>
      <w:r w:rsidR="006D0CC4" w:rsidRPr="006D176A">
        <w:rPr>
          <w:rFonts w:ascii="Times New Roman" w:hAnsi="Times New Roman" w:cs="Times New Roman"/>
          <w:sz w:val="24"/>
          <w:szCs w:val="24"/>
        </w:rPr>
        <w:t xml:space="preserve"> </w:t>
      </w:r>
      <w:r w:rsidRPr="006D176A">
        <w:rPr>
          <w:rFonts w:ascii="Times New Roman" w:hAnsi="Times New Roman" w:cs="Times New Roman"/>
          <w:sz w:val="24"/>
          <w:szCs w:val="24"/>
        </w:rPr>
        <w:t>occur in insulin-signaling in adipocytes, suppression of lipolysis and other products is</w:t>
      </w:r>
      <w:r w:rsidR="006D0CC4" w:rsidRPr="006D176A">
        <w:rPr>
          <w:rFonts w:ascii="Times New Roman" w:hAnsi="Times New Roman" w:cs="Times New Roman"/>
          <w:sz w:val="24"/>
          <w:szCs w:val="24"/>
        </w:rPr>
        <w:t xml:space="preserve"> </w:t>
      </w:r>
      <w:r w:rsidRPr="006D176A">
        <w:rPr>
          <w:rFonts w:ascii="Times New Roman" w:hAnsi="Times New Roman" w:cs="Times New Roman"/>
          <w:sz w:val="24"/>
          <w:szCs w:val="24"/>
        </w:rPr>
        <w:t>impaired. In addition, adiponectin release is reduced</w:t>
      </w:r>
      <w:r w:rsidR="00EC63A9">
        <w:rPr>
          <w:rFonts w:ascii="Times New Roman" w:hAnsi="Times New Roman" w:cs="Times New Roman"/>
          <w:sz w:val="24"/>
          <w:szCs w:val="24"/>
          <w:vertAlign w:val="superscript"/>
        </w:rPr>
        <w:t>53</w:t>
      </w:r>
      <w:r w:rsidRPr="006D176A">
        <w:rPr>
          <w:rFonts w:ascii="Times New Roman" w:hAnsi="Times New Roman" w:cs="Times New Roman"/>
          <w:sz w:val="24"/>
          <w:szCs w:val="24"/>
        </w:rPr>
        <w:t>. All of these will accentuate ectopic</w:t>
      </w:r>
      <w:r w:rsidR="00755EF4" w:rsidRPr="006D176A">
        <w:rPr>
          <w:rFonts w:ascii="Times New Roman" w:hAnsi="Times New Roman" w:cs="Times New Roman"/>
          <w:sz w:val="24"/>
          <w:szCs w:val="24"/>
        </w:rPr>
        <w:t xml:space="preserve"> </w:t>
      </w:r>
      <w:r w:rsidRPr="006D176A">
        <w:rPr>
          <w:rFonts w:ascii="Times New Roman" w:hAnsi="Times New Roman" w:cs="Times New Roman"/>
          <w:sz w:val="24"/>
          <w:szCs w:val="24"/>
        </w:rPr>
        <w:t>fat distribution and metabolic syndrome. Moreover, defective insulin signaling in other</w:t>
      </w:r>
      <w:r w:rsidR="00755EF4" w:rsidRPr="006D176A">
        <w:rPr>
          <w:rFonts w:ascii="Times New Roman" w:hAnsi="Times New Roman" w:cs="Times New Roman"/>
          <w:sz w:val="24"/>
          <w:szCs w:val="24"/>
        </w:rPr>
        <w:t xml:space="preserve"> </w:t>
      </w:r>
      <w:r w:rsidRPr="006D176A">
        <w:rPr>
          <w:rFonts w:ascii="Times New Roman" w:hAnsi="Times New Roman" w:cs="Times New Roman"/>
          <w:sz w:val="24"/>
          <w:szCs w:val="24"/>
        </w:rPr>
        <w:t>tissues such as muscle and liver most likely will accentuate metabolic syndrome</w:t>
      </w:r>
      <w:r w:rsidR="00EC63A9">
        <w:rPr>
          <w:rFonts w:ascii="Times New Roman" w:hAnsi="Times New Roman" w:cs="Times New Roman"/>
          <w:sz w:val="24"/>
          <w:szCs w:val="24"/>
          <w:vertAlign w:val="superscript"/>
        </w:rPr>
        <w:t>54,55</w:t>
      </w:r>
      <w:r w:rsidR="00EC63A9">
        <w:rPr>
          <w:rFonts w:ascii="Times New Roman" w:hAnsi="Times New Roman" w:cs="Times New Roman"/>
          <w:sz w:val="24"/>
          <w:szCs w:val="24"/>
        </w:rPr>
        <w:t>.</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DYSLIPIDEMIA</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general, FFA flux to the liver is associated with increased production of apoB-containing,</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triglyceride-rich very low density lipoproteins (VLDLs). </w:t>
      </w:r>
      <w:r w:rsidR="00173F3C" w:rsidRPr="006D176A">
        <w:rPr>
          <w:rFonts w:ascii="Times New Roman" w:hAnsi="Times New Roman" w:cs="Times New Roman"/>
          <w:sz w:val="24"/>
          <w:szCs w:val="24"/>
        </w:rPr>
        <w:t xml:space="preserve">The atherogenic dyslipidemia consists of an aggregation of lipoprotein abnormalities including elevated serum triglyceride and apoB, increased small LDL particles, and a reduced level of HDL-C. Among triglyceride-rich lipoproteins, remnant lipoproteins almost certainly are the most atherogenic. Many studies further suggest that the smallest particles in the LDL fraction carry the greatest </w:t>
      </w:r>
      <w:r w:rsidR="00173F3C" w:rsidRPr="006D176A">
        <w:rPr>
          <w:rFonts w:ascii="Times New Roman" w:hAnsi="Times New Roman" w:cs="Times New Roman"/>
          <w:sz w:val="24"/>
          <w:szCs w:val="24"/>
        </w:rPr>
        <w:lastRenderedPageBreak/>
        <w:t>atherogenicity.</w:t>
      </w:r>
      <w:r w:rsidR="00A404FC">
        <w:rPr>
          <w:rFonts w:ascii="Times New Roman" w:hAnsi="Times New Roman" w:cs="Times New Roman"/>
          <w:sz w:val="24"/>
          <w:szCs w:val="24"/>
        </w:rPr>
        <w:t xml:space="preserve"> </w:t>
      </w:r>
      <w:r w:rsidR="00173F3C" w:rsidRPr="006D176A">
        <w:rPr>
          <w:rFonts w:ascii="Times New Roman" w:hAnsi="Times New Roman" w:cs="Times New Roman"/>
          <w:sz w:val="24"/>
          <w:szCs w:val="24"/>
        </w:rPr>
        <w:t>The atherogenic potential of lipoprotein remnants and small LDL could be confounded in part by their common association with an increased total number of apoB-containing lipoproteins in circulation; this increased number is reflected by a</w:t>
      </w:r>
      <w:r w:rsidR="00EC63A9">
        <w:rPr>
          <w:rFonts w:ascii="Times New Roman" w:hAnsi="Times New Roman" w:cs="Times New Roman"/>
          <w:sz w:val="24"/>
          <w:szCs w:val="24"/>
        </w:rPr>
        <w:t>n elevation of serum total apoB</w:t>
      </w:r>
      <w:r w:rsidR="00EC63A9">
        <w:rPr>
          <w:rFonts w:ascii="Times New Roman" w:hAnsi="Times New Roman" w:cs="Times New Roman"/>
          <w:sz w:val="24"/>
          <w:szCs w:val="24"/>
          <w:vertAlign w:val="superscript"/>
        </w:rPr>
        <w:t>56</w:t>
      </w:r>
      <w:r w:rsidR="00EC63A9">
        <w:rPr>
          <w:rFonts w:ascii="Times New Roman" w:hAnsi="Times New Roman" w:cs="Times New Roman"/>
          <w:sz w:val="24"/>
          <w:szCs w:val="24"/>
        </w:rPr>
        <w:t>.</w:t>
      </w:r>
      <w:r w:rsidR="00173F3C" w:rsidRPr="006D176A">
        <w:rPr>
          <w:rFonts w:ascii="Times New Roman" w:hAnsi="Times New Roman" w:cs="Times New Roman"/>
          <w:sz w:val="24"/>
          <w:szCs w:val="24"/>
        </w:rPr>
        <w:t xml:space="preserve"> Finally, the lipoprotein field widely holds that low levels of HD</w:t>
      </w:r>
      <w:r w:rsidR="00D00531">
        <w:rPr>
          <w:rFonts w:ascii="Times New Roman" w:hAnsi="Times New Roman" w:cs="Times New Roman"/>
          <w:sz w:val="24"/>
          <w:szCs w:val="24"/>
        </w:rPr>
        <w:t xml:space="preserve">L are independently atherogenic </w:t>
      </w:r>
      <w:r w:rsidR="00173F3C" w:rsidRPr="006D176A">
        <w:rPr>
          <w:rFonts w:ascii="Times New Roman" w:hAnsi="Times New Roman" w:cs="Times New Roman"/>
          <w:sz w:val="24"/>
          <w:szCs w:val="24"/>
        </w:rPr>
        <w:t>; multiple mechanisms are implicated to</w:t>
      </w:r>
      <w:r w:rsidR="00D00531">
        <w:rPr>
          <w:rFonts w:ascii="Times New Roman" w:hAnsi="Times New Roman" w:cs="Times New Roman"/>
          <w:sz w:val="24"/>
          <w:szCs w:val="24"/>
        </w:rPr>
        <w:t xml:space="preserve"> explain this relationship</w:t>
      </w:r>
      <w:r w:rsidR="00D00531">
        <w:rPr>
          <w:rFonts w:ascii="Times New Roman" w:hAnsi="Times New Roman" w:cs="Times New Roman"/>
          <w:sz w:val="24"/>
          <w:szCs w:val="24"/>
          <w:vertAlign w:val="superscript"/>
        </w:rPr>
        <w:t>57</w:t>
      </w:r>
      <w:r w:rsidR="00D00531">
        <w:rPr>
          <w:rFonts w:ascii="Times New Roman" w:hAnsi="Times New Roman" w:cs="Times New Roman"/>
          <w:sz w:val="24"/>
          <w:szCs w:val="24"/>
        </w:rPr>
        <w:t xml:space="preserve">. </w:t>
      </w:r>
      <w:r w:rsidRPr="006D176A">
        <w:rPr>
          <w:rFonts w:ascii="Times New Roman" w:hAnsi="Times New Roman" w:cs="Times New Roman"/>
          <w:sz w:val="24"/>
          <w:szCs w:val="24"/>
        </w:rPr>
        <w:t>The effect of insulin on this</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process is complex, but hypertriglyceridemia is an excellent marker of the insulin-resistant</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condition.</w:t>
      </w:r>
      <w:r w:rsidR="00173F3C"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 Subjects</w:t>
      </w:r>
      <w:r w:rsidR="00173F3C" w:rsidRPr="006D176A">
        <w:rPr>
          <w:rFonts w:ascii="Times New Roman" w:hAnsi="Times New Roman" w:cs="Times New Roman"/>
          <w:sz w:val="24"/>
          <w:szCs w:val="24"/>
        </w:rPr>
        <w:t xml:space="preserve"> </w:t>
      </w:r>
      <w:r w:rsidRPr="006D176A">
        <w:rPr>
          <w:rFonts w:ascii="Times New Roman" w:hAnsi="Times New Roman" w:cs="Times New Roman"/>
          <w:sz w:val="24"/>
          <w:szCs w:val="24"/>
        </w:rPr>
        <w:t>with increased small dense LDL particles and hypertriglyceridemia also have increased</w:t>
      </w:r>
      <w:r w:rsidR="00173F3C" w:rsidRPr="006D176A">
        <w:rPr>
          <w:rFonts w:ascii="Times New Roman" w:hAnsi="Times New Roman" w:cs="Times New Roman"/>
          <w:sz w:val="24"/>
          <w:szCs w:val="24"/>
        </w:rPr>
        <w:t xml:space="preserve"> </w:t>
      </w:r>
      <w:r w:rsidRPr="006D176A">
        <w:rPr>
          <w:rFonts w:ascii="Times New Roman" w:hAnsi="Times New Roman" w:cs="Times New Roman"/>
          <w:sz w:val="24"/>
          <w:szCs w:val="24"/>
        </w:rPr>
        <w:t>cholesterol content of both VLDL1 and VLDL2 sub fractions. This relatively cholesterol</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rich</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VLDL particle may contribute to the atherogenic risk in patients with metabolic</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syndrome</w:t>
      </w:r>
      <w:r w:rsidR="00D00531">
        <w:rPr>
          <w:rFonts w:ascii="Times New Roman" w:hAnsi="Times New Roman" w:cs="Times New Roman"/>
          <w:sz w:val="24"/>
          <w:szCs w:val="24"/>
          <w:vertAlign w:val="superscript"/>
        </w:rPr>
        <w:t>58</w:t>
      </w:r>
      <w:r w:rsidRPr="006D176A">
        <w:rPr>
          <w:rFonts w:ascii="Times New Roman" w:hAnsi="Times New Roman" w:cs="Times New Roman"/>
          <w:sz w:val="24"/>
          <w:szCs w:val="24"/>
        </w:rPr>
        <w:t>.</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development of atherosclerosis can be considered to occur in two stages: injury and</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response to injury. The primary injurious agents include LDL and other apolipoprotein B</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(apo B)-containing lipoproteins. The response to injury makes up a process called</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inflammation. Macrophages are a key player in atherogenesis</w:t>
      </w:r>
      <w:r w:rsidR="00D00531">
        <w:rPr>
          <w:rFonts w:ascii="Times New Roman" w:hAnsi="Times New Roman" w:cs="Times New Roman"/>
          <w:sz w:val="24"/>
          <w:szCs w:val="24"/>
          <w:vertAlign w:val="superscript"/>
        </w:rPr>
        <w:t>58</w:t>
      </w:r>
      <w:r w:rsidRPr="006D176A">
        <w:rPr>
          <w:rFonts w:ascii="Times New Roman" w:hAnsi="Times New Roman" w:cs="Times New Roman"/>
          <w:sz w:val="24"/>
          <w:szCs w:val="24"/>
        </w:rPr>
        <w:t>. They first accumulate lipid and then</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undergo apoptosis; releasing their excess lipid into lipid pools.</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Macrophages further produce enzymes, such as metalloproteinases, that degrade the</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extracellular matrix. These latter two</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changes create unstable plaques that are</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prone to rupture and to causation of acute ASCVD events.</w:t>
      </w:r>
    </w:p>
    <w:p w:rsidR="00D00531" w:rsidRDefault="00D00531" w:rsidP="00A721A9">
      <w:pPr>
        <w:spacing w:line="600" w:lineRule="auto"/>
        <w:jc w:val="both"/>
        <w:rPr>
          <w:rFonts w:ascii="Times New Roman" w:hAnsi="Times New Roman" w:cs="Times New Roman"/>
          <w:sz w:val="24"/>
          <w:szCs w:val="24"/>
        </w:rPr>
      </w:pP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GLUCOSE INTOLERANCE</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defects in insulin action lead to impaired suppression of glucose production by the liver</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and kidney and reduced glucose uptake and metabolism in insulin-sensitive tissues, i.e.,</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muscle and adipose tissue. </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To compensate for defects in insulin action, insulin</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secretion and/or clearance must be modified to sustain euglycemia. Ultimately, this</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compensatory mechanism fails, usually because of defects in insulin secretion, resulting in</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progress from IGT to DM.</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HYPERTENSION</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relationship between insulin resistance and hypertension is well established</w:t>
      </w:r>
      <w:r w:rsidR="00D00531">
        <w:rPr>
          <w:rFonts w:ascii="Times New Roman" w:hAnsi="Times New Roman" w:cs="Times New Roman"/>
          <w:sz w:val="24"/>
          <w:szCs w:val="24"/>
          <w:vertAlign w:val="superscript"/>
        </w:rPr>
        <w:t>59</w:t>
      </w:r>
      <w:r w:rsidRPr="006D176A">
        <w:rPr>
          <w:rFonts w:ascii="Times New Roman" w:hAnsi="Times New Roman" w:cs="Times New Roman"/>
          <w:sz w:val="24"/>
          <w:szCs w:val="24"/>
        </w:rPr>
        <w:t>.</w:t>
      </w:r>
      <w:r w:rsidR="00295E9F" w:rsidRPr="006D176A">
        <w:rPr>
          <w:rFonts w:ascii="Times New Roman" w:hAnsi="Times New Roman" w:cs="Times New Roman"/>
          <w:sz w:val="24"/>
          <w:szCs w:val="24"/>
        </w:rPr>
        <w:t xml:space="preserve"> U</w:t>
      </w:r>
      <w:r w:rsidRPr="006D176A">
        <w:rPr>
          <w:rFonts w:ascii="Times New Roman" w:hAnsi="Times New Roman" w:cs="Times New Roman"/>
          <w:sz w:val="24"/>
          <w:szCs w:val="24"/>
        </w:rPr>
        <w:t>nder normal physiologic conditions, insulin is a vasodilator with secondary</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effects on sodium reabsorption in the kidney. However, in the setting of insulin resistance,</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the vasodilatory effect of insulin is lost but the renal effect on sodium reabsorption is</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preserved. Insulin also increases the activity of the sympathetic nervous system, an effect that also may</w:t>
      </w:r>
      <w:r w:rsidR="00295E9F"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be preserved in the setting of the insulin resistance. </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AGING</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The metabolic syndrome affects </w:t>
      </w:r>
      <w:r w:rsidR="00295E9F" w:rsidRPr="006D176A">
        <w:rPr>
          <w:rFonts w:ascii="Times New Roman" w:hAnsi="Times New Roman" w:cs="Times New Roman"/>
          <w:sz w:val="24"/>
          <w:szCs w:val="24"/>
        </w:rPr>
        <w:t xml:space="preserve">about </w:t>
      </w:r>
      <w:r w:rsidRPr="006D176A">
        <w:rPr>
          <w:rFonts w:ascii="Times New Roman" w:hAnsi="Times New Roman" w:cs="Times New Roman"/>
          <w:sz w:val="24"/>
          <w:szCs w:val="24"/>
        </w:rPr>
        <w:t>44% of the population older than age 50. A greater</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percentage of women over age 50 have the syndrome than men. The age dependency of the</w:t>
      </w:r>
      <w:r w:rsidR="00295E9F" w:rsidRPr="006D176A">
        <w:rPr>
          <w:rFonts w:ascii="Times New Roman" w:hAnsi="Times New Roman" w:cs="Times New Roman"/>
          <w:sz w:val="24"/>
          <w:szCs w:val="24"/>
        </w:rPr>
        <w:t xml:space="preserve"> prevalence of metabolic syndrome </w:t>
      </w:r>
      <w:r w:rsidRPr="006D176A">
        <w:rPr>
          <w:rFonts w:ascii="Times New Roman" w:hAnsi="Times New Roman" w:cs="Times New Roman"/>
          <w:sz w:val="24"/>
          <w:szCs w:val="24"/>
        </w:rPr>
        <w:t>is seen in most populations around the world.</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SEDENTARY LIFESTYLE</w:t>
      </w:r>
    </w:p>
    <w:p w:rsidR="001C64FD" w:rsidRPr="006D176A" w:rsidRDefault="001C64F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Physical inactivity is </w:t>
      </w:r>
      <w:r w:rsidR="00295E9F" w:rsidRPr="006D176A">
        <w:rPr>
          <w:rFonts w:ascii="Times New Roman" w:hAnsi="Times New Roman" w:cs="Times New Roman"/>
          <w:sz w:val="24"/>
          <w:szCs w:val="24"/>
        </w:rPr>
        <w:t xml:space="preserve">considered as </w:t>
      </w:r>
      <w:r w:rsidRPr="006D176A">
        <w:rPr>
          <w:rFonts w:ascii="Times New Roman" w:hAnsi="Times New Roman" w:cs="Times New Roman"/>
          <w:sz w:val="24"/>
          <w:szCs w:val="24"/>
        </w:rPr>
        <w:t>a predictor of CVD events and related mortality rate</w:t>
      </w:r>
      <w:r w:rsidRPr="006D176A">
        <w:rPr>
          <w:rFonts w:ascii="Times New Roman" w:hAnsi="Times New Roman" w:cs="Times New Roman"/>
          <w:sz w:val="24"/>
          <w:szCs w:val="24"/>
          <w:vertAlign w:val="superscript"/>
        </w:rPr>
        <w:t>28</w:t>
      </w:r>
      <w:r w:rsidR="00295E9F" w:rsidRPr="006D176A">
        <w:rPr>
          <w:rFonts w:ascii="Times New Roman" w:hAnsi="Times New Roman" w:cs="Times New Roman"/>
          <w:sz w:val="24"/>
          <w:szCs w:val="24"/>
          <w:vertAlign w:val="superscript"/>
        </w:rPr>
        <w:t>H</w:t>
      </w:r>
      <w:r w:rsidRPr="006D176A">
        <w:rPr>
          <w:rFonts w:ascii="Times New Roman" w:hAnsi="Times New Roman" w:cs="Times New Roman"/>
          <w:sz w:val="24"/>
          <w:szCs w:val="24"/>
        </w:rPr>
        <w:t>. Many</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components of the metabolic syndrome are associated with a sedentary lifestyle, including</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increased adipose tissue (predominantly central), reduced HDL cholesterol, and a trend</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toward increased triglycerides, high blood pressure, and increased glucose in the genetically</w:t>
      </w:r>
      <w:r w:rsidR="00A404FC">
        <w:rPr>
          <w:rFonts w:ascii="Times New Roman" w:hAnsi="Times New Roman" w:cs="Times New Roman"/>
          <w:sz w:val="24"/>
          <w:szCs w:val="24"/>
        </w:rPr>
        <w:t xml:space="preserve"> </w:t>
      </w:r>
      <w:r w:rsidRPr="006D176A">
        <w:rPr>
          <w:rFonts w:ascii="Times New Roman" w:hAnsi="Times New Roman" w:cs="Times New Roman"/>
          <w:sz w:val="24"/>
          <w:szCs w:val="24"/>
        </w:rPr>
        <w:t>susceptible</w:t>
      </w:r>
      <w:r w:rsidR="00D00531">
        <w:rPr>
          <w:rFonts w:ascii="Times New Roman" w:hAnsi="Times New Roman" w:cs="Times New Roman"/>
          <w:sz w:val="24"/>
          <w:szCs w:val="24"/>
          <w:vertAlign w:val="superscript"/>
        </w:rPr>
        <w:t>60</w:t>
      </w:r>
      <w:r w:rsidRPr="006D176A">
        <w:rPr>
          <w:rFonts w:ascii="Times New Roman" w:hAnsi="Times New Roman" w:cs="Times New Roman"/>
          <w:sz w:val="24"/>
          <w:szCs w:val="24"/>
        </w:rPr>
        <w:t>.</w:t>
      </w:r>
    </w:p>
    <w:p w:rsidR="00276416" w:rsidRPr="006D176A" w:rsidRDefault="00A404FC" w:rsidP="00A721A9">
      <w:pPr>
        <w:spacing w:line="600" w:lineRule="auto"/>
        <w:jc w:val="both"/>
        <w:rPr>
          <w:rFonts w:ascii="Times New Roman" w:hAnsi="Times New Roman" w:cs="Times New Roman"/>
          <w:sz w:val="24"/>
          <w:szCs w:val="24"/>
        </w:rPr>
      </w:pPr>
      <w:r w:rsidRPr="006D176A">
        <w:rPr>
          <w:rFonts w:ascii="Times New Roman" w:hAnsi="Times New Roman" w:cs="Times New Roman"/>
          <w:b/>
          <w:sz w:val="24"/>
          <w:szCs w:val="24"/>
        </w:rPr>
        <w:t>INSULIN SECRETION, BIOSYNTHESIS, AND ACTION</w:t>
      </w:r>
      <w:r w:rsidR="005D0D43">
        <w:rPr>
          <w:rFonts w:ascii="Times New Roman" w:hAnsi="Times New Roman" w:cs="Times New Roman"/>
          <w:sz w:val="24"/>
          <w:szCs w:val="24"/>
          <w:vertAlign w:val="superscript"/>
        </w:rPr>
        <w:t>61</w:t>
      </w:r>
      <w:r w:rsidR="00276416" w:rsidRPr="006D176A">
        <w:rPr>
          <w:rFonts w:ascii="Times New Roman" w:hAnsi="Times New Roman" w:cs="Times New Roman"/>
          <w:sz w:val="24"/>
          <w:szCs w:val="24"/>
        </w:rPr>
        <w:t>.</w:t>
      </w:r>
    </w:p>
    <w:p w:rsidR="00A404FC" w:rsidRDefault="00A404FC" w:rsidP="00A721A9">
      <w:pPr>
        <w:spacing w:line="600" w:lineRule="auto"/>
        <w:jc w:val="both"/>
        <w:rPr>
          <w:rFonts w:ascii="Times New Roman" w:hAnsi="Times New Roman" w:cs="Times New Roman"/>
          <w:sz w:val="24"/>
          <w:szCs w:val="24"/>
        </w:rPr>
      </w:pPr>
      <w:r w:rsidRPr="00A404FC">
        <w:rPr>
          <w:rFonts w:ascii="Times New Roman" w:hAnsi="Times New Roman" w:cs="Times New Roman"/>
          <w:sz w:val="24"/>
          <w:szCs w:val="24"/>
        </w:rPr>
        <w:t>BIOSYNTHESIS</w:t>
      </w:r>
      <w:r w:rsidR="00C75AC5" w:rsidRPr="006D176A">
        <w:rPr>
          <w:rFonts w:ascii="Times New Roman" w:hAnsi="Times New Roman" w:cs="Times New Roman"/>
          <w:b/>
          <w:sz w:val="24"/>
          <w:szCs w:val="24"/>
        </w:rPr>
        <w:t xml:space="preserve"> </w:t>
      </w:r>
      <w:r w:rsidR="0003626D" w:rsidRPr="006D176A">
        <w:rPr>
          <w:rFonts w:ascii="Times New Roman" w:hAnsi="Times New Roman" w:cs="Times New Roman"/>
          <w:sz w:val="24"/>
          <w:szCs w:val="24"/>
        </w:rPr>
        <w:t>:</w:t>
      </w:r>
      <w:r w:rsidR="00C75AC5" w:rsidRPr="006D176A">
        <w:rPr>
          <w:rFonts w:ascii="Times New Roman" w:hAnsi="Times New Roman" w:cs="Times New Roman"/>
          <w:sz w:val="24"/>
          <w:szCs w:val="24"/>
        </w:rPr>
        <w:t xml:space="preserve">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Insulin is produced in the beta cells of the pancreatic islets. It is initially synthesized as a single-chain 86-amino-acid precursor polypeptide, preproinsulin. Subsequent proteolytic processing removes the amino-terminal signal peptide, giving rise to proinsulin. Proinsulin is structurally related to insulin-like growth factors I and II, which bind weakly to the insulin receptor. Cleavage of an internal 31-residue fragment from proinsulin generates the C peptide and the A (21 amino acids) and B (30 amino acids) chains of insulin, which are connected by disulfide bonds. The mature insulin molecule and C peptide are stored together and co-secreted from secretory granules in the beta cells. Because C peptide is cleared more slowly than insulin, it is a useful marker of insulin secretion and allows discrimination of </w:t>
      </w:r>
      <w:r w:rsidRPr="006D176A">
        <w:rPr>
          <w:rFonts w:ascii="Times New Roman" w:hAnsi="Times New Roman" w:cs="Times New Roman"/>
          <w:sz w:val="24"/>
          <w:szCs w:val="24"/>
        </w:rPr>
        <w:lastRenderedPageBreak/>
        <w:t>endogenous and exogenous sources of insulin in the evaluation of hypoglycemia . Pancreatic beta cells co-secrete islet amyloid polypeptide (IAPP) or amylin, a 37-amino-acid peptide, along with insulin. The role of IAPP in normal physiology is incompletely defined, but it is the major component of the amyloid fibrils found in the islets of patients with type 2 diabetes, and an analogue is sometimes used in treating type 1 and type 2 DM. Human insulin is produced by recombinant DNA technology; structural alterations at one or more amino acid residues modify its physical and pharmacologic characteristics.</w:t>
      </w:r>
    </w:p>
    <w:p w:rsidR="0003626D" w:rsidRPr="006D176A" w:rsidRDefault="00A404FC"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SECRETION</w:t>
      </w:r>
      <w:r>
        <w:rPr>
          <w:rFonts w:ascii="Times New Roman" w:hAnsi="Times New Roman" w:cs="Times New Roman"/>
          <w:sz w:val="24"/>
          <w:szCs w:val="24"/>
        </w:rPr>
        <w:t xml:space="preserve"> :</w:t>
      </w:r>
    </w:p>
    <w:p w:rsidR="0003626D" w:rsidRPr="006D176A" w:rsidRDefault="0003626D" w:rsidP="008E6E6F">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Glucose is the key regulator of insulin secretion by the pancreatic beta cell, although amino acids, ketones, various nutrients, gastrointestinal peptides, and neurotransmitters also influence insulin secretion. Glucose levels &gt;3.9 mmol/L (70 mg/dL) stimulate insulin synthesis, primarily by enhancing protein translation and processing. Glucose stimulation of insulin secretion begins with its transport into the beta cell by a facilitative glucose transporter.Glucose phosphorylation by glucokinase is the rate-limiting step that controls glucose-regulated insulin secretion. Further metabolism of glucose-6-phosphate via glycolysis generates ATP, which inhibits the activity of an ATP-sensitive K+ channel. This channel consists of two separate proteins: one is the binding site for certain oral hypoglycemics (e.g., sulfonyl-ureas, meglitinides); the other is an inwardly rectifying K+ channel protein (Kir6.2). Inhibition of this K+ channel induces beta cell membrane </w:t>
      </w:r>
      <w:r w:rsidRPr="006D176A">
        <w:rPr>
          <w:rFonts w:ascii="Times New Roman" w:hAnsi="Times New Roman" w:cs="Times New Roman"/>
          <w:sz w:val="24"/>
          <w:szCs w:val="24"/>
        </w:rPr>
        <w:lastRenderedPageBreak/>
        <w:t xml:space="preserve">depolarization, which opens voltage-dependent calcium channels (leading to an influx of calcium), and stimulates insulin secretion. </w:t>
      </w:r>
    </w:p>
    <w:p w:rsidR="0003626D" w:rsidRPr="006D176A" w:rsidRDefault="0003626D" w:rsidP="00A721A9">
      <w:pPr>
        <w:spacing w:line="600" w:lineRule="auto"/>
        <w:jc w:val="both"/>
        <w:rPr>
          <w:rFonts w:ascii="Times New Roman" w:hAnsi="Times New Roman" w:cs="Times New Roman"/>
          <w:sz w:val="24"/>
          <w:szCs w:val="24"/>
        </w:rPr>
      </w:pPr>
    </w:p>
    <w:p w:rsidR="0003626D" w:rsidRPr="006D176A" w:rsidRDefault="0003626D" w:rsidP="00A404FC">
      <w:pPr>
        <w:tabs>
          <w:tab w:val="right" w:pos="9026"/>
        </w:tabs>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Figure3: Mechanisms of glucose-stimulated insulin secretion and abnormalities in diabetes</w:t>
      </w:r>
      <w:r w:rsidR="00A404FC">
        <w:rPr>
          <w:rFonts w:ascii="Times New Roman" w:hAnsi="Times New Roman" w:cs="Times New Roman"/>
          <w:sz w:val="24"/>
          <w:szCs w:val="24"/>
        </w:rPr>
        <w:tab/>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noProof/>
          <w:sz w:val="24"/>
          <w:szCs w:val="24"/>
          <w:lang w:eastAsia="en-IN"/>
        </w:rPr>
        <w:drawing>
          <wp:inline distT="0" distB="0" distL="0" distR="0" wp14:anchorId="41AE77CC" wp14:editId="5D36A85F">
            <wp:extent cx="5551170" cy="3808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3808095"/>
                    </a:xfrm>
                    <a:prstGeom prst="rect">
                      <a:avLst/>
                    </a:prstGeom>
                    <a:noFill/>
                    <a:ln>
                      <a:noFill/>
                    </a:ln>
                  </pic:spPr>
                </pic:pic>
              </a:graphicData>
            </a:graphic>
          </wp:inline>
        </w:drawing>
      </w:r>
    </w:p>
    <w:p w:rsidR="00914052" w:rsidRPr="006D176A" w:rsidRDefault="00064D5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INSULIN RESISTANCE</w:t>
      </w:r>
    </w:p>
    <w:p w:rsidR="00532329"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Insulin resistance is defined clinically as the inability of a known quantity of exogenous or endogenous insulin to increase glucose uptake and utilization in an individual as much as it does in a normal population </w:t>
      </w:r>
      <w:r w:rsidR="008E6E6F">
        <w:rPr>
          <w:rFonts w:ascii="Times New Roman" w:hAnsi="Times New Roman" w:cs="Times New Roman"/>
          <w:sz w:val="24"/>
          <w:szCs w:val="24"/>
          <w:vertAlign w:val="superscript"/>
        </w:rPr>
        <w:t>62</w:t>
      </w:r>
      <w:r w:rsidR="00A404FC">
        <w:rPr>
          <w:rFonts w:ascii="Times New Roman" w:hAnsi="Times New Roman" w:cs="Times New Roman"/>
          <w:sz w:val="24"/>
          <w:szCs w:val="24"/>
        </w:rPr>
        <w:t xml:space="preserve">. </w:t>
      </w:r>
      <w:r w:rsidR="00532329" w:rsidRPr="006D176A">
        <w:rPr>
          <w:rFonts w:ascii="Times New Roman" w:hAnsi="Times New Roman" w:cs="Times New Roman"/>
          <w:sz w:val="24"/>
          <w:szCs w:val="24"/>
        </w:rPr>
        <w:t>The most accepted and unifying hypothesis to describe the pathophysiology of the metabolic</w:t>
      </w:r>
      <w:r w:rsidR="00A404FC">
        <w:rPr>
          <w:rFonts w:ascii="Times New Roman" w:hAnsi="Times New Roman" w:cs="Times New Roman"/>
          <w:sz w:val="24"/>
          <w:szCs w:val="24"/>
        </w:rPr>
        <w:t xml:space="preserve"> </w:t>
      </w:r>
      <w:r w:rsidR="00532329" w:rsidRPr="006D176A">
        <w:rPr>
          <w:rFonts w:ascii="Times New Roman" w:hAnsi="Times New Roman" w:cs="Times New Roman"/>
          <w:sz w:val="24"/>
          <w:szCs w:val="24"/>
        </w:rPr>
        <w:t>syndrome is insulin resistance, which is caused by an incompletely understood defect in</w:t>
      </w:r>
      <w:r w:rsidR="00B758DA" w:rsidRPr="006D176A">
        <w:rPr>
          <w:rFonts w:ascii="Times New Roman" w:hAnsi="Times New Roman" w:cs="Times New Roman"/>
          <w:sz w:val="24"/>
          <w:szCs w:val="24"/>
        </w:rPr>
        <w:t xml:space="preserve"> insulin action</w:t>
      </w:r>
      <w:r w:rsidR="008E6E6F">
        <w:rPr>
          <w:rFonts w:ascii="Times New Roman" w:hAnsi="Times New Roman" w:cs="Times New Roman"/>
          <w:sz w:val="24"/>
          <w:szCs w:val="24"/>
          <w:vertAlign w:val="superscript"/>
        </w:rPr>
        <w:t>63</w:t>
      </w:r>
      <w:r w:rsidR="00532329" w:rsidRPr="006D176A">
        <w:rPr>
          <w:rFonts w:ascii="Times New Roman" w:hAnsi="Times New Roman" w:cs="Times New Roman"/>
          <w:sz w:val="24"/>
          <w:szCs w:val="24"/>
        </w:rPr>
        <w:t xml:space="preserve">. The onset of insulin resistance is heralded </w:t>
      </w:r>
      <w:r w:rsidR="00532329" w:rsidRPr="006D176A">
        <w:rPr>
          <w:rFonts w:ascii="Times New Roman" w:hAnsi="Times New Roman" w:cs="Times New Roman"/>
          <w:sz w:val="24"/>
          <w:szCs w:val="24"/>
        </w:rPr>
        <w:lastRenderedPageBreak/>
        <w:t>by postprandial</w:t>
      </w:r>
      <w:r w:rsidR="00B758DA" w:rsidRPr="006D176A">
        <w:rPr>
          <w:rFonts w:ascii="Times New Roman" w:hAnsi="Times New Roman" w:cs="Times New Roman"/>
          <w:sz w:val="24"/>
          <w:szCs w:val="24"/>
        </w:rPr>
        <w:t xml:space="preserve"> </w:t>
      </w:r>
      <w:r w:rsidR="00532329" w:rsidRPr="006D176A">
        <w:rPr>
          <w:rFonts w:ascii="Times New Roman" w:hAnsi="Times New Roman" w:cs="Times New Roman"/>
          <w:sz w:val="24"/>
          <w:szCs w:val="24"/>
        </w:rPr>
        <w:t>hyperinsulinemia, followed by fasting hyperinsulinemia and, ultimately, hyperglycemia</w:t>
      </w:r>
      <w:r w:rsidR="008E6E6F">
        <w:rPr>
          <w:rFonts w:ascii="Times New Roman" w:hAnsi="Times New Roman" w:cs="Times New Roman"/>
          <w:sz w:val="24"/>
          <w:szCs w:val="24"/>
          <w:vertAlign w:val="superscript"/>
        </w:rPr>
        <w:t>64</w:t>
      </w:r>
      <w:r w:rsidR="00532329" w:rsidRPr="006D176A">
        <w:rPr>
          <w:rFonts w:ascii="Times New Roman" w:hAnsi="Times New Roman" w:cs="Times New Roman"/>
          <w:sz w:val="24"/>
          <w:szCs w:val="24"/>
        </w:rPr>
        <w:t>.</w:t>
      </w:r>
    </w:p>
    <w:p w:rsidR="00532329" w:rsidRPr="006D176A" w:rsidRDefault="0053232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An early major contributor to the develop</w:t>
      </w:r>
      <w:r w:rsidR="00B758DA" w:rsidRPr="006D176A">
        <w:rPr>
          <w:rFonts w:ascii="Times New Roman" w:hAnsi="Times New Roman" w:cs="Times New Roman"/>
          <w:sz w:val="24"/>
          <w:szCs w:val="24"/>
        </w:rPr>
        <w:t>ment of insulin resistance is the</w:t>
      </w:r>
      <w:r w:rsidRPr="006D176A">
        <w:rPr>
          <w:rFonts w:ascii="Times New Roman" w:hAnsi="Times New Roman" w:cs="Times New Roman"/>
          <w:sz w:val="24"/>
          <w:szCs w:val="24"/>
        </w:rPr>
        <w:t xml:space="preserve"> overabundance of</w:t>
      </w:r>
    </w:p>
    <w:p w:rsidR="00532329" w:rsidRPr="006D176A" w:rsidRDefault="0053232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circulating fatty acids. Plasma albumin-bound free fatty acids (FFAs) are derived</w:t>
      </w:r>
    </w:p>
    <w:p w:rsidR="00532329" w:rsidRPr="006D176A" w:rsidRDefault="0053232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predominantly from adipose tissue triglyceride stores released by lipolytic enzymes lipase.</w:t>
      </w:r>
    </w:p>
    <w:p w:rsidR="00532329" w:rsidRPr="006D176A" w:rsidRDefault="0053232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Fatty acids are also derived from the lipolysis of triglyceride-rich lipoproteins in tissues by</w:t>
      </w:r>
    </w:p>
    <w:p w:rsidR="007F0C63" w:rsidRPr="006D176A" w:rsidRDefault="00532329"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lipoprotein lipase (LPL).</w:t>
      </w:r>
      <w:r w:rsidR="007F0C63" w:rsidRPr="006D176A">
        <w:rPr>
          <w:rFonts w:ascii="Times New Roman" w:hAnsi="Times New Roman" w:cs="Times New Roman"/>
          <w:sz w:val="24"/>
          <w:szCs w:val="24"/>
        </w:rPr>
        <w:t xml:space="preserve"> </w:t>
      </w:r>
      <w:r w:rsidR="00B758DA" w:rsidRPr="006D176A">
        <w:rPr>
          <w:rFonts w:ascii="Times New Roman" w:hAnsi="Times New Roman" w:cs="Times New Roman"/>
          <w:sz w:val="24"/>
          <w:szCs w:val="24"/>
        </w:rPr>
        <w:t>T</w:t>
      </w:r>
      <w:r w:rsidR="007F0C63" w:rsidRPr="006D176A">
        <w:rPr>
          <w:rFonts w:ascii="Times New Roman" w:hAnsi="Times New Roman" w:cs="Times New Roman"/>
          <w:sz w:val="24"/>
          <w:szCs w:val="24"/>
        </w:rPr>
        <w:t>he inhibition of lipolysis in adipose tissue is the most sensitive</w:t>
      </w:r>
    </w:p>
    <w:p w:rsidR="007F0C63" w:rsidRPr="006D176A" w:rsidRDefault="007F0C63"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pathway of insulin action. Thus, when insulin resistance develops, increased lipolysis</w:t>
      </w:r>
    </w:p>
    <w:p w:rsidR="007F0C63" w:rsidRPr="006D176A" w:rsidRDefault="007F0C63"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produces more fatty acids, which further decrease the antilipolytic effect of insulin.</w:t>
      </w:r>
    </w:p>
    <w:p w:rsidR="007F0C63" w:rsidRPr="006D176A" w:rsidRDefault="007F0C63"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Excessive fatty acids enhance substrate availability and create insulin resistance by modifying downstream signaling. Fatty acids impair insulin-mediated glucose uptake and</w:t>
      </w:r>
      <w:r w:rsidR="00B758DA" w:rsidRPr="006D176A">
        <w:rPr>
          <w:rFonts w:ascii="Times New Roman" w:hAnsi="Times New Roman" w:cs="Times New Roman"/>
          <w:sz w:val="24"/>
          <w:szCs w:val="24"/>
        </w:rPr>
        <w:t xml:space="preserve"> </w:t>
      </w:r>
      <w:r w:rsidRPr="006D176A">
        <w:rPr>
          <w:rFonts w:ascii="Times New Roman" w:hAnsi="Times New Roman" w:cs="Times New Roman"/>
          <w:sz w:val="24"/>
          <w:szCs w:val="24"/>
        </w:rPr>
        <w:t>accumulate as triglycerides in both skeletal and cardiac muscle, whereas increased glucose</w:t>
      </w:r>
      <w:r w:rsidR="00B758DA" w:rsidRPr="006D176A">
        <w:rPr>
          <w:rFonts w:ascii="Times New Roman" w:hAnsi="Times New Roman" w:cs="Times New Roman"/>
          <w:sz w:val="24"/>
          <w:szCs w:val="24"/>
        </w:rPr>
        <w:t xml:space="preserve"> </w:t>
      </w:r>
      <w:r w:rsidRPr="006D176A">
        <w:rPr>
          <w:rFonts w:ascii="Times New Roman" w:hAnsi="Times New Roman" w:cs="Times New Roman"/>
          <w:sz w:val="24"/>
          <w:szCs w:val="24"/>
        </w:rPr>
        <w:t>production and triglyceride accumulation are seen in liver. The accumulation of lipids in muscle is</w:t>
      </w:r>
      <w:r w:rsidR="00B758DA" w:rsidRPr="006D176A">
        <w:rPr>
          <w:rFonts w:ascii="Times New Roman" w:hAnsi="Times New Roman" w:cs="Times New Roman"/>
          <w:sz w:val="24"/>
          <w:szCs w:val="24"/>
        </w:rPr>
        <w:t xml:space="preserve"> </w:t>
      </w:r>
      <w:r w:rsidRPr="006D176A">
        <w:rPr>
          <w:rFonts w:ascii="Times New Roman" w:hAnsi="Times New Roman" w:cs="Times New Roman"/>
          <w:sz w:val="24"/>
          <w:szCs w:val="24"/>
        </w:rPr>
        <w:t xml:space="preserve">associated with insulin resistance. </w:t>
      </w:r>
    </w:p>
    <w:p w:rsidR="001E330C" w:rsidRPr="006D176A" w:rsidRDefault="001E330C"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effects of insulin resistance in adipose tissue provides the most direct evidence for the</w:t>
      </w:r>
    </w:p>
    <w:p w:rsidR="001E330C" w:rsidRPr="006D176A" w:rsidRDefault="001E330C"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mechanism linking </w:t>
      </w:r>
      <w:r w:rsidR="00987B30" w:rsidRPr="006D176A">
        <w:rPr>
          <w:rFonts w:ascii="Times New Roman" w:hAnsi="Times New Roman" w:cs="Times New Roman"/>
          <w:sz w:val="24"/>
          <w:szCs w:val="24"/>
        </w:rPr>
        <w:t xml:space="preserve">insulin </w:t>
      </w:r>
      <w:r w:rsidRPr="006D176A">
        <w:rPr>
          <w:rFonts w:ascii="Times New Roman" w:hAnsi="Times New Roman" w:cs="Times New Roman"/>
          <w:sz w:val="24"/>
          <w:szCs w:val="24"/>
        </w:rPr>
        <w:t>resistance to metabolic syndrome. Nevertheless, it is certainly</w:t>
      </w:r>
    </w:p>
    <w:p w:rsidR="001E330C" w:rsidRPr="006D176A" w:rsidRDefault="001E330C"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possible that widespread metabolic disturbance contributes beyond adipose tissue</w:t>
      </w:r>
    </w:p>
    <w:p w:rsidR="00434B0B" w:rsidRPr="006D176A" w:rsidRDefault="003728B3"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abnormalities</w:t>
      </w:r>
      <w:r w:rsidRPr="006D176A">
        <w:rPr>
          <w:rFonts w:ascii="Times New Roman" w:hAnsi="Times New Roman" w:cs="Times New Roman"/>
          <w:sz w:val="24"/>
          <w:szCs w:val="24"/>
          <w:vertAlign w:val="superscript"/>
        </w:rPr>
        <w:t>40</w:t>
      </w:r>
      <w:r w:rsidR="001E330C" w:rsidRPr="006D176A">
        <w:rPr>
          <w:rFonts w:ascii="Times New Roman" w:hAnsi="Times New Roman" w:cs="Times New Roman"/>
          <w:sz w:val="24"/>
          <w:szCs w:val="24"/>
        </w:rPr>
        <w:t xml:space="preserve">. </w:t>
      </w:r>
      <w:r w:rsidR="00987B30" w:rsidRPr="006D176A">
        <w:rPr>
          <w:rFonts w:ascii="Times New Roman" w:hAnsi="Times New Roman" w:cs="Times New Roman"/>
          <w:sz w:val="24"/>
          <w:szCs w:val="24"/>
        </w:rPr>
        <w:t xml:space="preserve">The </w:t>
      </w:r>
      <w:r w:rsidR="001E330C" w:rsidRPr="006D176A">
        <w:rPr>
          <w:rFonts w:ascii="Times New Roman" w:hAnsi="Times New Roman" w:cs="Times New Roman"/>
          <w:sz w:val="24"/>
          <w:szCs w:val="24"/>
        </w:rPr>
        <w:t>insulin resistance can be a</w:t>
      </w:r>
      <w:r w:rsidR="00987B30" w:rsidRPr="006D176A">
        <w:rPr>
          <w:rFonts w:ascii="Times New Roman" w:hAnsi="Times New Roman" w:cs="Times New Roman"/>
          <w:sz w:val="24"/>
          <w:szCs w:val="24"/>
        </w:rPr>
        <w:t xml:space="preserve"> </w:t>
      </w:r>
      <w:r w:rsidR="001E330C" w:rsidRPr="006D176A">
        <w:rPr>
          <w:rFonts w:ascii="Times New Roman" w:hAnsi="Times New Roman" w:cs="Times New Roman"/>
          <w:sz w:val="24"/>
          <w:szCs w:val="24"/>
        </w:rPr>
        <w:t>particularly important contributor to the syndrome if it is present in conjunction with</w:t>
      </w:r>
      <w:r w:rsidR="00987B30" w:rsidRPr="006D176A">
        <w:rPr>
          <w:rFonts w:ascii="Times New Roman" w:hAnsi="Times New Roman" w:cs="Times New Roman"/>
          <w:sz w:val="24"/>
          <w:szCs w:val="24"/>
        </w:rPr>
        <w:t xml:space="preserve"> </w:t>
      </w:r>
      <w:r w:rsidR="001E330C" w:rsidRPr="006D176A">
        <w:rPr>
          <w:rFonts w:ascii="Times New Roman" w:hAnsi="Times New Roman" w:cs="Times New Roman"/>
          <w:sz w:val="24"/>
          <w:szCs w:val="24"/>
        </w:rPr>
        <w:t>obesity</w:t>
      </w:r>
      <w:r w:rsidR="008E6E6F">
        <w:rPr>
          <w:rFonts w:ascii="Times New Roman" w:hAnsi="Times New Roman" w:cs="Times New Roman"/>
          <w:sz w:val="24"/>
          <w:szCs w:val="24"/>
          <w:vertAlign w:val="superscript"/>
        </w:rPr>
        <w:t>64</w:t>
      </w:r>
      <w:r w:rsidR="00A404FC">
        <w:rPr>
          <w:rFonts w:ascii="Times New Roman" w:hAnsi="Times New Roman" w:cs="Times New Roman"/>
          <w:sz w:val="24"/>
          <w:szCs w:val="24"/>
        </w:rPr>
        <w:t xml:space="preserve">. </w:t>
      </w:r>
      <w:r w:rsidR="00434B0B" w:rsidRPr="006D176A">
        <w:rPr>
          <w:rFonts w:ascii="Times New Roman" w:hAnsi="Times New Roman" w:cs="Times New Roman"/>
          <w:sz w:val="24"/>
          <w:szCs w:val="24"/>
        </w:rPr>
        <w:t>Based upon the changes in beta-cell mass, phenotype, and function observed as a patient moves toward the development of  T2DM, a stepwise model has been proposed. It is postulated that the third stage in this model correlates to prediabetes in the early phase and to the manifestation of diabetes in the later phases.</w:t>
      </w:r>
      <w:r w:rsidR="008E6E6F">
        <w:rPr>
          <w:rFonts w:ascii="Times New Roman" w:hAnsi="Times New Roman" w:cs="Times New Roman"/>
          <w:sz w:val="24"/>
          <w:szCs w:val="24"/>
          <w:vertAlign w:val="superscript"/>
        </w:rPr>
        <w:t>65</w:t>
      </w:r>
    </w:p>
    <w:p w:rsidR="00434B0B" w:rsidRPr="006D176A" w:rsidRDefault="00434B0B"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Metabolic changes during the development of type 2 diabetes mellitus: Insulin secretion and insulin sensitivity are related, and as an individual becomes more insulin resistant insulin secretion increases. A failure to compensate by increasing the insulin secretion results initially in impaired glucose tolerance.</w:t>
      </w:r>
      <w:r w:rsidR="008E6E6F">
        <w:rPr>
          <w:rFonts w:ascii="Times New Roman" w:hAnsi="Times New Roman" w:cs="Times New Roman"/>
          <w:sz w:val="24"/>
          <w:szCs w:val="24"/>
          <w:vertAlign w:val="superscript"/>
        </w:rPr>
        <w:t>65</w:t>
      </w:r>
    </w:p>
    <w:p w:rsidR="00434B0B" w:rsidRPr="006D176A" w:rsidRDefault="00A404FC" w:rsidP="00A721A9">
      <w:pPr>
        <w:tabs>
          <w:tab w:val="left" w:pos="1169"/>
        </w:tabs>
        <w:spacing w:line="600" w:lineRule="auto"/>
        <w:jc w:val="both"/>
        <w:rPr>
          <w:rFonts w:ascii="Times New Roman" w:hAnsi="Times New Roman" w:cs="Times New Roman"/>
          <w:sz w:val="24"/>
          <w:szCs w:val="24"/>
        </w:rPr>
      </w:pPr>
      <w:r>
        <w:rPr>
          <w:rFonts w:ascii="Times New Roman" w:hAnsi="Times New Roman" w:cs="Times New Roman"/>
          <w:b/>
          <w:sz w:val="24"/>
          <w:szCs w:val="24"/>
        </w:rPr>
        <w:t xml:space="preserve">TABLE 1. </w:t>
      </w:r>
      <w:r w:rsidRPr="006D176A">
        <w:rPr>
          <w:rFonts w:ascii="Times New Roman" w:hAnsi="Times New Roman" w:cs="Times New Roman"/>
          <w:b/>
          <w:sz w:val="24"/>
          <w:szCs w:val="24"/>
        </w:rPr>
        <w:t>STAGES OF BETA CELL DYSFUNCTION</w:t>
      </w:r>
      <w:r w:rsidR="00434B0B" w:rsidRPr="006D176A">
        <w:rPr>
          <w:rFonts w:ascii="Times New Roman" w:hAnsi="Times New Roman" w:cs="Times New Roman"/>
          <w:b/>
          <w:sz w:val="24"/>
          <w:szCs w:val="24"/>
        </w:rPr>
        <w:t>:</w:t>
      </w:r>
      <w:r w:rsidR="008E6E6F">
        <w:rPr>
          <w:rFonts w:ascii="Times New Roman" w:hAnsi="Times New Roman" w:cs="Times New Roman"/>
          <w:sz w:val="24"/>
          <w:szCs w:val="24"/>
          <w:vertAlign w:val="superscript"/>
        </w:rPr>
        <w:t>65</w:t>
      </w:r>
    </w:p>
    <w:tbl>
      <w:tblPr>
        <w:tblStyle w:val="TableGrid"/>
        <w:tblW w:w="0" w:type="auto"/>
        <w:tblLook w:val="04A0" w:firstRow="1" w:lastRow="0" w:firstColumn="1" w:lastColumn="0" w:noHBand="0" w:noVBand="1"/>
      </w:tblPr>
      <w:tblGrid>
        <w:gridCol w:w="4621"/>
        <w:gridCol w:w="4621"/>
      </w:tblGrid>
      <w:tr w:rsidR="00434B0B" w:rsidRPr="006D176A" w:rsidTr="00434B0B">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STAGE</w:t>
            </w:r>
          </w:p>
        </w:tc>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DESCRIPTION</w:t>
            </w:r>
          </w:p>
        </w:tc>
      </w:tr>
      <w:tr w:rsidR="00434B0B" w:rsidRPr="006D176A" w:rsidTr="00434B0B">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Stage 1:Compensation</w:t>
            </w:r>
          </w:p>
        </w:tc>
        <w:tc>
          <w:tcPr>
            <w:tcW w:w="4621" w:type="dxa"/>
            <w:hideMark/>
          </w:tcPr>
          <w:p w:rsidR="00434B0B" w:rsidRPr="006D176A" w:rsidRDefault="00987B30"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Associated with</w:t>
            </w:r>
            <w:r w:rsidR="00434B0B" w:rsidRPr="006D176A">
              <w:rPr>
                <w:rFonts w:ascii="Times New Roman" w:hAnsi="Times New Roman" w:cs="Times New Roman"/>
                <w:sz w:val="24"/>
                <w:szCs w:val="24"/>
              </w:rPr>
              <w:t xml:space="preserve"> higher  overall rates of insul</w:t>
            </w:r>
            <w:r w:rsidRPr="006D176A">
              <w:rPr>
                <w:rFonts w:ascii="Times New Roman" w:hAnsi="Times New Roman" w:cs="Times New Roman"/>
                <w:sz w:val="24"/>
                <w:szCs w:val="24"/>
              </w:rPr>
              <w:t>in secretion to reduced insulin</w:t>
            </w:r>
            <w:r w:rsidR="00434B0B" w:rsidRPr="006D176A">
              <w:rPr>
                <w:rFonts w:ascii="Times New Roman" w:hAnsi="Times New Roman" w:cs="Times New Roman"/>
                <w:sz w:val="24"/>
                <w:szCs w:val="24"/>
              </w:rPr>
              <w:t xml:space="preserve"> sensitivity,thereby maintaining normal blood glucose levels.</w:t>
            </w:r>
          </w:p>
        </w:tc>
      </w:tr>
      <w:tr w:rsidR="00434B0B" w:rsidRPr="006D176A" w:rsidTr="00434B0B">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Stage 2: Stable adaptation.</w:t>
            </w:r>
          </w:p>
        </w:tc>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While beta cells attempt to compensate  to reduced insulin sensitivity blood glucose still rises b/n  5-6.5 mmol/lt.Beta cell mass is lost and normal function of beta cells is disrupted.</w:t>
            </w:r>
          </w:p>
        </w:tc>
      </w:tr>
      <w:tr w:rsidR="00434B0B" w:rsidRPr="006D176A" w:rsidTr="00434B0B">
        <w:tc>
          <w:tcPr>
            <w:tcW w:w="4621" w:type="dxa"/>
          </w:tcPr>
          <w:p w:rsidR="00434B0B" w:rsidRPr="006D176A" w:rsidRDefault="00434B0B" w:rsidP="00A721A9">
            <w:pPr>
              <w:autoSpaceDE w:val="0"/>
              <w:autoSpaceDN w:val="0"/>
              <w:adjustRightInd w:val="0"/>
              <w:spacing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lastRenderedPageBreak/>
              <w:t>Stage 3:Unstable -early decompensation.</w:t>
            </w:r>
          </w:p>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p>
        </w:tc>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During this transient stage glucose levels raise to those levels see in stage 4.Associated with reduced beta cell mass, this stage progresses to stage 4 rapidly.</w:t>
            </w:r>
          </w:p>
        </w:tc>
      </w:tr>
      <w:tr w:rsidR="00434B0B" w:rsidRPr="006D176A" w:rsidTr="00434B0B">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Stage4:Stable decompensation.</w:t>
            </w:r>
          </w:p>
        </w:tc>
        <w:tc>
          <w:tcPr>
            <w:tcW w:w="4621" w:type="dxa"/>
            <w:hideMark/>
          </w:tcPr>
          <w:p w:rsidR="00434B0B" w:rsidRPr="006D176A" w:rsidRDefault="00434B0B" w:rsidP="00A721A9">
            <w:pPr>
              <w:autoSpaceDE w:val="0"/>
              <w:autoSpaceDN w:val="0"/>
              <w:adjustRightInd w:val="0"/>
              <w:spacing w:after="200" w:line="480" w:lineRule="auto"/>
              <w:jc w:val="both"/>
              <w:rPr>
                <w:rFonts w:ascii="Times New Roman" w:hAnsi="Times New Roman" w:cs="Times New Roman"/>
                <w:sz w:val="24"/>
                <w:szCs w:val="24"/>
                <w:lang w:val="en-US"/>
              </w:rPr>
            </w:pPr>
            <w:r w:rsidRPr="006D176A">
              <w:rPr>
                <w:rFonts w:ascii="Times New Roman" w:hAnsi="Times New Roman" w:cs="Times New Roman"/>
                <w:sz w:val="24"/>
                <w:szCs w:val="24"/>
              </w:rPr>
              <w:t>Type 2 diabetic patients remain in this stage for rest of their lives while some will progress to stage5.</w:t>
            </w:r>
          </w:p>
        </w:tc>
      </w:tr>
    </w:tbl>
    <w:p w:rsidR="00532329" w:rsidRPr="006D176A" w:rsidRDefault="007F0C63"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 </w:t>
      </w:r>
    </w:p>
    <w:p w:rsidR="004D7C05" w:rsidRPr="006D176A" w:rsidRDefault="00A404FC"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EVALUATION AND CALCULATION OF INSULIN RESISTANCE</w:t>
      </w:r>
    </w:p>
    <w:p w:rsidR="00A404FC" w:rsidRPr="00A404FC" w:rsidRDefault="00A404FC" w:rsidP="00A404FC">
      <w:pPr>
        <w:pStyle w:val="ListParagraph"/>
        <w:numPr>
          <w:ilvl w:val="0"/>
          <w:numId w:val="10"/>
        </w:numPr>
        <w:spacing w:line="600" w:lineRule="auto"/>
        <w:jc w:val="both"/>
        <w:rPr>
          <w:rFonts w:ascii="Times New Roman" w:hAnsi="Times New Roman" w:cs="Times New Roman"/>
          <w:sz w:val="24"/>
          <w:szCs w:val="24"/>
        </w:rPr>
      </w:pPr>
      <w:r w:rsidRPr="00A404FC">
        <w:rPr>
          <w:rFonts w:ascii="Times New Roman" w:hAnsi="Times New Roman" w:cs="Times New Roman"/>
          <w:sz w:val="24"/>
          <w:szCs w:val="24"/>
        </w:rPr>
        <w:t xml:space="preserve">DIRECT MEASURES OF INSULIN SENSITIVITY : </w:t>
      </w:r>
    </w:p>
    <w:p w:rsidR="0003626D" w:rsidRPr="00A404FC" w:rsidRDefault="00A404FC" w:rsidP="00A404FC">
      <w:pPr>
        <w:pStyle w:val="ListParagraph"/>
        <w:spacing w:line="600" w:lineRule="auto"/>
        <w:jc w:val="both"/>
        <w:rPr>
          <w:rFonts w:ascii="Times New Roman" w:hAnsi="Times New Roman" w:cs="Times New Roman"/>
          <w:sz w:val="24"/>
          <w:szCs w:val="24"/>
        </w:rPr>
      </w:pPr>
      <w:r w:rsidRPr="00A404FC">
        <w:rPr>
          <w:rFonts w:ascii="Times New Roman" w:hAnsi="Times New Roman" w:cs="Times New Roman"/>
          <w:sz w:val="24"/>
          <w:szCs w:val="24"/>
        </w:rPr>
        <w:t>HYPERINSULINEMIC EUGLYCEMIC GLUCOSE CLAMP</w:t>
      </w:r>
    </w:p>
    <w:p w:rsidR="00A404FC" w:rsidRDefault="00A404FC" w:rsidP="00A721A9">
      <w:pPr>
        <w:spacing w:line="600" w:lineRule="auto"/>
        <w:jc w:val="both"/>
        <w:rPr>
          <w:rFonts w:ascii="Times New Roman" w:hAnsi="Times New Roman" w:cs="Times New Roman"/>
          <w:sz w:val="24"/>
          <w:szCs w:val="24"/>
        </w:rPr>
      </w:pPr>
      <w:r w:rsidRPr="00A404FC">
        <w:rPr>
          <w:rFonts w:ascii="Times New Roman" w:hAnsi="Times New Roman" w:cs="Times New Roman"/>
          <w:sz w:val="24"/>
          <w:szCs w:val="24"/>
        </w:rPr>
        <w:t>PROCEDURE</w:t>
      </w:r>
      <w:r>
        <w:rPr>
          <w:rFonts w:ascii="Times New Roman" w:hAnsi="Times New Roman" w:cs="Times New Roman"/>
          <w:sz w:val="24"/>
          <w:szCs w:val="24"/>
        </w:rPr>
        <w:t xml:space="preserve">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glucose clamp technique, originally developed by DeFronzo et al</w:t>
      </w:r>
      <w:r w:rsidR="008E6E6F">
        <w:rPr>
          <w:rFonts w:ascii="Times New Roman" w:hAnsi="Times New Roman" w:cs="Times New Roman"/>
          <w:sz w:val="24"/>
          <w:szCs w:val="24"/>
          <w:vertAlign w:val="superscript"/>
        </w:rPr>
        <w:t>66</w:t>
      </w:r>
      <w:r w:rsidRPr="006D176A">
        <w:rPr>
          <w:rFonts w:ascii="Times New Roman" w:hAnsi="Times New Roman" w:cs="Times New Roman"/>
          <w:sz w:val="24"/>
          <w:szCs w:val="24"/>
        </w:rPr>
        <w:t>, is widely accepted as the reference standard for directly determining metabolic insulin sensitivity in humans. After an overnight fast, insulin is infused intravenously at a constant rate that may range from 5 to 120 mU/m2/min (dose per body surface area per minute). This constant insulin infusion results in a new steady state insulin level that is above the fasting level (hyperinsulinemic).</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As a consequence, glucose disposal in skeletal muscle and adipose tissue is increased, whereas HGP (hepatic glucose production) is suppressed. Under these conditions, a bedside glucose analyzer is used to frequently monitor blood glucose levels at 5- to 10-min intervals </w:t>
      </w:r>
      <w:r w:rsidRPr="006D176A">
        <w:rPr>
          <w:rFonts w:ascii="Times New Roman" w:hAnsi="Times New Roman" w:cs="Times New Roman"/>
          <w:sz w:val="24"/>
          <w:szCs w:val="24"/>
        </w:rPr>
        <w:lastRenderedPageBreak/>
        <w:t>while 20% dextrose is given intravenously at a variable rate to “clamp” blood glucose concentrations in the normal range (euglycemic). An infusion of potassium phosphate is also given to prevent hypokalemia resulting from hyperinsulinemia and increased glucose disposal.</w:t>
      </w:r>
    </w:p>
    <w:p w:rsidR="0003626D" w:rsidRPr="00A404FC" w:rsidRDefault="00A404FC" w:rsidP="00A721A9">
      <w:pPr>
        <w:spacing w:line="600" w:lineRule="auto"/>
        <w:jc w:val="both"/>
        <w:rPr>
          <w:rFonts w:ascii="Times New Roman" w:hAnsi="Times New Roman" w:cs="Times New Roman"/>
          <w:sz w:val="24"/>
          <w:szCs w:val="24"/>
        </w:rPr>
      </w:pPr>
      <w:r w:rsidRPr="00A404FC">
        <w:rPr>
          <w:rFonts w:ascii="Times New Roman" w:hAnsi="Times New Roman" w:cs="Times New Roman"/>
          <w:sz w:val="24"/>
          <w:szCs w:val="24"/>
        </w:rPr>
        <w:t xml:space="preserve">LIMITATIONS </w:t>
      </w:r>
      <w:r>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main limitations of the glucose clamp approach are that it is time consuming, labor intensive, expensive, and requires an experienced operator to manage the technical difficulties. Thus, for epidemiological studies, large clinical investigations, or routine clinical applications (e.g., following changes in insulin resistance after therapeutic intervention in individual patients) the glucose clamp is not appropriate. In addition, if measuring insulin sensitivity/resistance is not a primary study outcome, then the cost/benefit ratio for the glucose clamp may not be favorable. Another limitation is that the clamp utilizes steady-state insulin levels that may be supra-physiological. This results in a reversal of the normal portal to peripheral insulin gradient. Thus, the glucose clamp may not accurately reflect insulin action and glucose dynamics under physiological conditions that a dynamic test such as an oral meal or oral glucose load may determine.</w:t>
      </w:r>
    </w:p>
    <w:p w:rsidR="008E6E6F" w:rsidRDefault="008E6E6F" w:rsidP="00A721A9">
      <w:pPr>
        <w:spacing w:line="600" w:lineRule="auto"/>
        <w:jc w:val="both"/>
        <w:rPr>
          <w:rFonts w:ascii="Times New Roman" w:hAnsi="Times New Roman" w:cs="Times New Roman"/>
          <w:sz w:val="24"/>
          <w:szCs w:val="24"/>
        </w:rPr>
      </w:pPr>
    </w:p>
    <w:p w:rsidR="008E6E6F" w:rsidRDefault="008E6E6F" w:rsidP="00A721A9">
      <w:pPr>
        <w:spacing w:line="600" w:lineRule="auto"/>
        <w:jc w:val="both"/>
        <w:rPr>
          <w:rFonts w:ascii="Times New Roman" w:hAnsi="Times New Roman" w:cs="Times New Roman"/>
          <w:sz w:val="24"/>
          <w:szCs w:val="24"/>
        </w:rPr>
      </w:pPr>
    </w:p>
    <w:p w:rsidR="008E6E6F" w:rsidRDefault="008E6E6F" w:rsidP="00A721A9">
      <w:pPr>
        <w:spacing w:line="600" w:lineRule="auto"/>
        <w:jc w:val="both"/>
        <w:rPr>
          <w:rFonts w:ascii="Times New Roman" w:hAnsi="Times New Roman" w:cs="Times New Roman"/>
          <w:sz w:val="24"/>
          <w:szCs w:val="24"/>
        </w:rPr>
      </w:pP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lastRenderedPageBreak/>
        <w:t>INSULIN SUPPRESSION TEST</w:t>
      </w:r>
      <w:r>
        <w:rPr>
          <w:rFonts w:ascii="Times New Roman" w:hAnsi="Times New Roman" w:cs="Times New Roman"/>
          <w:sz w:val="24"/>
          <w:szCs w:val="24"/>
        </w:rPr>
        <w:t xml:space="preserve">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Procedure The insulin suppression test (IST), another method that directly measures metabolic insulin sensitivity/ resistance, was introduced by Shen et al45  in 1970 and subsequently modified by Harano et al </w:t>
      </w:r>
      <w:r w:rsidR="008E6E6F">
        <w:rPr>
          <w:rFonts w:ascii="Times New Roman" w:hAnsi="Times New Roman" w:cs="Times New Roman"/>
          <w:sz w:val="24"/>
          <w:szCs w:val="24"/>
          <w:vertAlign w:val="superscript"/>
        </w:rPr>
        <w:t>67</w:t>
      </w:r>
      <w:r w:rsidRPr="006D176A">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 After an overnight fast, somatostatin analog octreotide (25 mcg bolus, followed by 0.5 mcg/min) is intravenously infused to suppress endogenous secretion of insulin and glucagon. Simultaneously, insulin (25 mU/m2/min) and glucose (240 mg/m2/min) are infused into the same antecubital vein for 3 hours. From the contralateral arm, blood samples for glucose and insulin determinations are taken every 30 min for 2.5 hours and then at 10-min intervals from 150 to 180 min of the IST. The constant infusions of insulin and glucose will determine steady-state plasma insulin (SSPI) and glucose (SSPG) concentrations. The steady-state period is assumed to be from 150 to 180 min after initiation of the IST. SSPI concentrations are generally similar among subjects. Therefore, the SSPG concentration will be higher in insulin-resistant subjects and lower in insulin-sensitive subjects; i.e., SSPG values are inversely related to insulin sensitivity. The IST provides a direct measure of the ability of exogenous insulin to mediate disposal of an intravenous glucose load under steady-state conditions where endogenous insulin secretion is suppressed.</w:t>
      </w:r>
      <w:r w:rsidR="00403141" w:rsidRPr="006D176A">
        <w:rPr>
          <w:rFonts w:ascii="Times New Roman" w:hAnsi="Times New Roman" w:cs="Times New Roman"/>
          <w:sz w:val="24"/>
          <w:szCs w:val="24"/>
        </w:rPr>
        <w:t xml:space="preserve"> </w:t>
      </w:r>
      <w:r w:rsidR="00F05203" w:rsidRPr="006D176A">
        <w:rPr>
          <w:rFonts w:ascii="Times New Roman" w:hAnsi="Times New Roman" w:cs="Times New Roman"/>
          <w:sz w:val="24"/>
          <w:szCs w:val="24"/>
        </w:rPr>
        <w:t xml:space="preserve"> </w:t>
      </w:r>
      <w:r w:rsidR="00B758DA" w:rsidRPr="006D176A">
        <w:rPr>
          <w:rFonts w:ascii="Times New Roman" w:hAnsi="Times New Roman" w:cs="Times New Roman"/>
          <w:sz w:val="24"/>
          <w:szCs w:val="24"/>
        </w:rPr>
        <w:t xml:space="preserve"> </w:t>
      </w:r>
    </w:p>
    <w:p w:rsidR="008E6E6F" w:rsidRDefault="008E6E6F" w:rsidP="00A721A9">
      <w:pPr>
        <w:spacing w:line="600" w:lineRule="auto"/>
        <w:jc w:val="both"/>
        <w:rPr>
          <w:rFonts w:ascii="Times New Roman" w:hAnsi="Times New Roman" w:cs="Times New Roman"/>
          <w:sz w:val="24"/>
          <w:szCs w:val="24"/>
        </w:rPr>
      </w:pPr>
    </w:p>
    <w:p w:rsidR="008E6E6F" w:rsidRDefault="008E6E6F" w:rsidP="00A721A9">
      <w:pPr>
        <w:spacing w:line="600" w:lineRule="auto"/>
        <w:jc w:val="both"/>
        <w:rPr>
          <w:rFonts w:ascii="Times New Roman" w:hAnsi="Times New Roman" w:cs="Times New Roman"/>
          <w:sz w:val="24"/>
          <w:szCs w:val="24"/>
        </w:rPr>
      </w:pP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lastRenderedPageBreak/>
        <w:t>LIMITATIONS</w:t>
      </w:r>
      <w:r>
        <w:rPr>
          <w:rFonts w:ascii="Times New Roman" w:hAnsi="Times New Roman" w:cs="Times New Roman"/>
          <w:sz w:val="24"/>
          <w:szCs w:val="24"/>
        </w:rPr>
        <w:t xml:space="preserve">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Many of the limitations of the IST are similar to those described above for the  glucose clamp (with the exception that the IST is less technically demanding). Thus, it is impractical to apply the IST in large epidemiological studies or in the clinical care setting. In exquisitely insulin-sensitive individuals, it is possible that subjects may become hypoglycemic during the IST. In individuals with type 2 diabetes, hyperglycemia may lead to glycosuria and underestimation of insulin resistance by SSPG. The infusion of somatostatin during the IST may independently modulate splanchnic blood flow and peripheral glucose clearance. This may potentially affect estimates of insulin resistance determined by SSPG. Finally, SSPG under ideal conditions determines primarily skeletal muscle insulin sensitivity and is not designed to reflect hepatic insulin sensitivity.</w:t>
      </w: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2. INDIRECT MEASURES OF INSULIN SENSITIVITY</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Minimal Model Analysis of Frequently Sampled Intravenous Glucose Tolerance Test (FSIVGTT)</w:t>
      </w: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 xml:space="preserve">PROCEDURE </w:t>
      </w:r>
      <w:r>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minimal model, dev</w:t>
      </w:r>
      <w:r w:rsidR="0046782F" w:rsidRPr="006D176A">
        <w:rPr>
          <w:rFonts w:ascii="Times New Roman" w:hAnsi="Times New Roman" w:cs="Times New Roman"/>
          <w:sz w:val="24"/>
          <w:szCs w:val="24"/>
        </w:rPr>
        <w:t>eloped by Bergman et al</w:t>
      </w:r>
      <w:r w:rsidR="008E6E6F">
        <w:rPr>
          <w:rFonts w:ascii="Times New Roman" w:hAnsi="Times New Roman" w:cs="Times New Roman"/>
          <w:sz w:val="24"/>
          <w:szCs w:val="24"/>
          <w:vertAlign w:val="superscript"/>
        </w:rPr>
        <w:t>68</w:t>
      </w:r>
      <w:r w:rsidRPr="006D176A">
        <w:rPr>
          <w:rFonts w:ascii="Times New Roman" w:hAnsi="Times New Roman" w:cs="Times New Roman"/>
          <w:sz w:val="24"/>
          <w:szCs w:val="24"/>
        </w:rPr>
        <w:t xml:space="preserve"> in 1979, provides an indirect measurement of metabolic insulin sensitivity/resistance on the basis of glucose and insulin data obtained during a frequently sampled intravenous glucose tolerance test (FSIVGTT).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After an overnight fast, an intravenous bolus of glucose (0.3 g/kg body wt) is infused over 2 min starting at time 0. Currently, a modified FSIVGTT is used where exogenous insulin (4 mU/kg/ min) is also infused over 5 min beginning 20 min after the intravenous glucose bolus. Some studies use Tolbutamide instead of insulin in the modified FSIVGTT to stimulate endogenous insulin secretion at this time. Blood samples are taken for plasma glucose and insulin measurements at  -20,-10, 0, 2, 3, 4, 5, 6, 8, 10, 12,14, 16, 19, 22, 23, 24, 25, 27, 30, 35, 40,50, 60, 70, 80, 90, 100, 120, 140, 160,and 180 min (relative to glucose administration), i.e., standard time points for 3 h after glucose injection.</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These data are then subjected to minimal model analysis using the computer program MINMOD  to generate an index of   “insulin sensitivity” (SI).</w:t>
      </w:r>
    </w:p>
    <w:p w:rsid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LIMITATIONS</w:t>
      </w:r>
      <w:r>
        <w:rPr>
          <w:rFonts w:ascii="Times New Roman" w:hAnsi="Times New Roman" w:cs="Times New Roman"/>
          <w:sz w:val="24"/>
          <w:szCs w:val="24"/>
        </w:rPr>
        <w:t xml:space="preserve"> </w:t>
      </w:r>
      <w:r w:rsidR="0003626D" w:rsidRPr="006D176A">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minimal model approach is simpler than direct methods for determining insulin sensitivity. Nevertheless, it still involves intravenous infusions with multiple blood sampling over a 3 hour period that are nearly as labor intensive as the glucose clamp or IST.</w:t>
      </w: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ORAL GLUCOSE TOLERANCE TEST/MEAL TOLERANCE TEST</w:t>
      </w:r>
      <w:r>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oral glucose tolerance test (OGTT) is a simple test widely used in clinical practice to diagnose glucose intolerance and type 2 Diabetes Mellitus. After overnight fast, blood samples for determinations of glucose and insulin concentrations are taken at 0, 30, 60, and 120 min following a standard oral glucose load (75 g) or a standard meal.</w:t>
      </w: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lastRenderedPageBreak/>
        <w:t>3. SIMPLE SURROGATE INDEXES FOR INSULIN SENSITIVITY/RESISTANCE</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Surrogates derived from fasting steady-state conditions</w:t>
      </w:r>
    </w:p>
    <w:p w:rsidR="00A466AC" w:rsidRDefault="00A466AC" w:rsidP="00A721A9">
      <w:pPr>
        <w:spacing w:line="600" w:lineRule="auto"/>
        <w:jc w:val="both"/>
        <w:rPr>
          <w:rFonts w:ascii="Times New Roman" w:hAnsi="Times New Roman" w:cs="Times New Roman"/>
          <w:sz w:val="24"/>
          <w:szCs w:val="24"/>
        </w:rPr>
      </w:pPr>
    </w:p>
    <w:p w:rsidR="0003626D" w:rsidRPr="006D176A" w:rsidRDefault="00A466AC"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PROCEDURE</w:t>
      </w:r>
      <w:r>
        <w:rPr>
          <w:rFonts w:ascii="Times New Roman" w:hAnsi="Times New Roman" w:cs="Times New Roman"/>
          <w:sz w:val="24"/>
          <w:szCs w:val="24"/>
        </w:rPr>
        <w:t>:</w:t>
      </w:r>
      <w:r w:rsidR="0003626D" w:rsidRPr="006D176A">
        <w:rPr>
          <w:rFonts w:ascii="Times New Roman" w:hAnsi="Times New Roman" w:cs="Times New Roman"/>
          <w:sz w:val="24"/>
          <w:szCs w:val="24"/>
        </w:rPr>
        <w:t xml:space="preserve">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After an overnight fast, a single blood sample is taken for determination of blood glucose and plasma insulin. In healthy humans, the fasting condition represents a basal steady state where glucose is homeostatically maintained in the normal range such that insulin levels are not significantly changing and hepatic glucose production(HGP) is constant; i.e., basal insulin secretion by pancreatic beta cells determines a relatively constant level of insulinemia that will be lower or higher in accordance with insulin sensitivity/resistance such that HGP matches whole body glucose disposal under fasting conditions.</w:t>
      </w: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1/FASTING INSULIN</w:t>
      </w:r>
      <w:r>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healthy subjects, elevations in fasting insulin levels (with normal fasting glucose levels) correspond to increased insulin resistance. Indeed, in nondiabetic subjects, 1/(fasting insulin) is a well-known proxy for insulin sensitivity that decreases as subjects become more insulin resistant (and fasting insulin levels rise).</w:t>
      </w:r>
    </w:p>
    <w:p w:rsidR="003554B9" w:rsidRDefault="003554B9" w:rsidP="00A721A9">
      <w:pPr>
        <w:spacing w:line="600" w:lineRule="auto"/>
        <w:jc w:val="both"/>
        <w:rPr>
          <w:rFonts w:ascii="Times New Roman" w:hAnsi="Times New Roman" w:cs="Times New Roman"/>
          <w:sz w:val="24"/>
          <w:szCs w:val="24"/>
        </w:rPr>
      </w:pPr>
    </w:p>
    <w:p w:rsidR="003554B9" w:rsidRDefault="003554B9" w:rsidP="00A721A9">
      <w:pPr>
        <w:spacing w:line="600" w:lineRule="auto"/>
        <w:jc w:val="both"/>
        <w:rPr>
          <w:rFonts w:ascii="Times New Roman" w:hAnsi="Times New Roman" w:cs="Times New Roman"/>
          <w:sz w:val="24"/>
          <w:szCs w:val="24"/>
        </w:rPr>
      </w:pPr>
    </w:p>
    <w:p w:rsidR="0046782F"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lastRenderedPageBreak/>
        <w:t>GLUCOSE/INSULIN RATIO:</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 number of studies have used the fasting glucose/insulin ratio (G/I ratio) as an index of insulin resistance. In the case of non-diabetic subjects, the G/I ratio is essentially functionally equivalent to 1/(fasting insulin) since fasting glucose levels are all in the normal range .</w:t>
      </w:r>
    </w:p>
    <w:p w:rsidR="00A466AC" w:rsidRDefault="00A466AC" w:rsidP="00A721A9">
      <w:pPr>
        <w:spacing w:line="600" w:lineRule="auto"/>
        <w:jc w:val="both"/>
        <w:rPr>
          <w:rFonts w:ascii="Times New Roman" w:hAnsi="Times New Roman" w:cs="Times New Roman"/>
          <w:b/>
          <w:sz w:val="24"/>
          <w:szCs w:val="24"/>
        </w:rPr>
      </w:pP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 xml:space="preserve">HOMEOSTASIS MODEL ASSESSMENT (HOMA) </w:t>
      </w:r>
      <w:r>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HOMA is a model of interactions between glucose and insulin dynamics that is used to predict fasting steady-state glucose and insulin concentrations for a wide range of possible combinations of insulin resistance and beta-cell function.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It was first described by Matthews et al. in 1985 </w:t>
      </w:r>
      <w:r w:rsidR="003554B9">
        <w:rPr>
          <w:rFonts w:ascii="Times New Roman" w:hAnsi="Times New Roman" w:cs="Times New Roman"/>
          <w:sz w:val="24"/>
          <w:szCs w:val="24"/>
          <w:vertAlign w:val="superscript"/>
        </w:rPr>
        <w:t>69</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 Homeostasis model of insulin resistance (HOMA-IR)  =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{[fasting insulin (U/ml)] X[fasting glucose (mmol/l)]} / 22.5.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The denominator of 22.5 is </w:t>
      </w:r>
      <w:r w:rsidR="00A466AC">
        <w:rPr>
          <w:rFonts w:ascii="Times New Roman" w:hAnsi="Times New Roman" w:cs="Times New Roman"/>
          <w:sz w:val="24"/>
          <w:szCs w:val="24"/>
        </w:rPr>
        <w:t xml:space="preserve">a normalizing factor; i.e., </w:t>
      </w:r>
      <w:r w:rsidRPr="006D176A">
        <w:rPr>
          <w:rFonts w:ascii="Times New Roman" w:hAnsi="Times New Roman" w:cs="Times New Roman"/>
          <w:sz w:val="24"/>
          <w:szCs w:val="24"/>
        </w:rPr>
        <w:t>product of normal fasting plasma insulin of 5 U/ml and normal fasting plasma glucose of 4.5 mmol</w:t>
      </w:r>
      <w:r w:rsidR="00A466AC">
        <w:rPr>
          <w:rFonts w:ascii="Times New Roman" w:hAnsi="Times New Roman" w:cs="Times New Roman"/>
          <w:sz w:val="24"/>
          <w:szCs w:val="24"/>
        </w:rPr>
        <w:t>/l typical of a normal</w:t>
      </w:r>
      <w:r w:rsidRPr="006D176A">
        <w:rPr>
          <w:rFonts w:ascii="Times New Roman" w:hAnsi="Times New Roman" w:cs="Times New Roman"/>
          <w:sz w:val="24"/>
          <w:szCs w:val="24"/>
        </w:rPr>
        <w:t xml:space="preserve"> healthy</w:t>
      </w:r>
      <w:r w:rsidR="00A466AC">
        <w:rPr>
          <w:rFonts w:ascii="Times New Roman" w:hAnsi="Times New Roman" w:cs="Times New Roman"/>
          <w:sz w:val="24"/>
          <w:szCs w:val="24"/>
        </w:rPr>
        <w:t xml:space="preserve"> individual</w:t>
      </w:r>
      <w:r w:rsidRPr="006D176A">
        <w:rPr>
          <w:rFonts w:ascii="Times New Roman" w:hAnsi="Times New Roman" w:cs="Times New Roman"/>
          <w:sz w:val="24"/>
          <w:szCs w:val="24"/>
        </w:rPr>
        <w:t>.Therefore,</w:t>
      </w:r>
      <w:r w:rsidR="00A466AC">
        <w:rPr>
          <w:rFonts w:ascii="Times New Roman" w:hAnsi="Times New Roman" w:cs="Times New Roman"/>
          <w:sz w:val="24"/>
          <w:szCs w:val="24"/>
        </w:rPr>
        <w:t xml:space="preserve"> for an individual with normal</w:t>
      </w:r>
      <w:r w:rsidRPr="006D176A">
        <w:rPr>
          <w:rFonts w:ascii="Times New Roman" w:hAnsi="Times New Roman" w:cs="Times New Roman"/>
          <w:sz w:val="24"/>
          <w:szCs w:val="24"/>
        </w:rPr>
        <w:t xml:space="preserve"> insulin sensitivity, HOMA-IR =1.</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HOMA-IR has a reasonable linear correlation with glucose clamp and minimal model estimates of insulin sensitivity/resistance in several studies of distinct populations.</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Dr.D.R.Matthews et al</w:t>
      </w:r>
      <w:r w:rsidR="003554B9">
        <w:rPr>
          <w:rFonts w:ascii="Times New Roman" w:hAnsi="Times New Roman" w:cs="Times New Roman"/>
          <w:sz w:val="24"/>
          <w:szCs w:val="24"/>
          <w:vertAlign w:val="superscript"/>
        </w:rPr>
        <w:t>69</w:t>
      </w:r>
      <w:r w:rsidRPr="006D176A">
        <w:rPr>
          <w:rFonts w:ascii="Times New Roman" w:hAnsi="Times New Roman" w:cs="Times New Roman"/>
          <w:sz w:val="24"/>
          <w:szCs w:val="24"/>
        </w:rPr>
        <w:t xml:space="preserve"> compared HOMA assessment of insulin resistance with other estimates of insulin resistance. They found that the estimate of insulin resistance obtained by HOMA correlated with estimates obtained by u</w:t>
      </w:r>
      <w:r w:rsidR="00A466AC">
        <w:rPr>
          <w:rFonts w:ascii="Times New Roman" w:hAnsi="Times New Roman" w:cs="Times New Roman"/>
          <w:sz w:val="24"/>
          <w:szCs w:val="24"/>
        </w:rPr>
        <w:t>se of euglycemic camp (</w:t>
      </w:r>
      <w:r w:rsidRPr="006D176A">
        <w:rPr>
          <w:rFonts w:ascii="Times New Roman" w:hAnsi="Times New Roman" w:cs="Times New Roman"/>
          <w:sz w:val="24"/>
          <w:szCs w:val="24"/>
        </w:rPr>
        <w:t xml:space="preserve"> p&lt; 0.0001), the fasting in</w:t>
      </w:r>
      <w:r w:rsidR="00A466AC">
        <w:rPr>
          <w:rFonts w:ascii="Times New Roman" w:hAnsi="Times New Roman" w:cs="Times New Roman"/>
          <w:sz w:val="24"/>
          <w:szCs w:val="24"/>
        </w:rPr>
        <w:t>sulin concentration ( p&lt; 0.0001) and the hyperglycemic clamp (</w:t>
      </w:r>
      <w:r w:rsidRPr="006D176A">
        <w:rPr>
          <w:rFonts w:ascii="Times New Roman" w:hAnsi="Times New Roman" w:cs="Times New Roman"/>
          <w:sz w:val="24"/>
          <w:szCs w:val="24"/>
        </w:rPr>
        <w:t xml:space="preserve"> p&lt; 0.01).</w:t>
      </w:r>
    </w:p>
    <w:p w:rsidR="0003626D" w:rsidRPr="00A466AC" w:rsidRDefault="0003626D"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 xml:space="preserve">QUICKI </w:t>
      </w:r>
      <w:r w:rsidR="00A466AC">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It is the reciprocal of HOMA-IR, known as quantitative insulin sensitivity check index (QUICKI) and increasingly used. The quantitative insulin sensitivity check index (QUICKI) is derived using the inverse of the sum of the logarithms of the fasting insulin and fasting glucose: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QUICKI = 1 / (log(fasting insulin U/mL) + log(fasting glucose mg/dL))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This index correlates well with glucose clamp studies (r = 0.78), and is useful for measuring insulin sensitivity (IS), which is the inverse of insulin resistance</w:t>
      </w:r>
      <w:r w:rsidR="003554B9">
        <w:rPr>
          <w:rFonts w:ascii="Times New Roman" w:hAnsi="Times New Roman" w:cs="Times New Roman"/>
          <w:sz w:val="24"/>
          <w:szCs w:val="24"/>
          <w:vertAlign w:val="superscript"/>
        </w:rPr>
        <w:t>70</w:t>
      </w:r>
      <w:r w:rsidRPr="006D176A">
        <w:rPr>
          <w:rFonts w:ascii="Times New Roman" w:hAnsi="Times New Roman" w:cs="Times New Roman"/>
          <w:sz w:val="24"/>
          <w:szCs w:val="24"/>
        </w:rPr>
        <w:t>. It also can be obtained from a fasting blood sample, and is the preferred method for certain types of clinical research.</w:t>
      </w:r>
    </w:p>
    <w:p w:rsidR="0003626D"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 xml:space="preserve">MCAULEY INDEX </w:t>
      </w:r>
      <w:r>
        <w:rPr>
          <w:rFonts w:ascii="Times New Roman" w:hAnsi="Times New Roman" w:cs="Times New Roman"/>
          <w:sz w:val="24"/>
          <w:szCs w:val="24"/>
        </w:rPr>
        <w:t>:</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Recently, McAuley et al.proposed another index, which uses fasting insulin and triglyceride values, to be a strong predictor of clamp-derived Insulin Sensitivity</w:t>
      </w:r>
      <w:r w:rsidR="003554B9">
        <w:rPr>
          <w:rFonts w:ascii="Times New Roman" w:hAnsi="Times New Roman" w:cs="Times New Roman"/>
          <w:sz w:val="24"/>
          <w:szCs w:val="24"/>
          <w:vertAlign w:val="superscript"/>
        </w:rPr>
        <w:t>71,72</w:t>
      </w:r>
      <w:r w:rsidRPr="006D176A">
        <w:rPr>
          <w:rFonts w:ascii="Times New Roman" w:hAnsi="Times New Roman" w:cs="Times New Roman"/>
          <w:sz w:val="24"/>
          <w:szCs w:val="24"/>
        </w:rPr>
        <w:t xml:space="preserve">. </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McAuley Index = Exp [2.63-028 ln (Insulin in Mu/l)-0.31ln (triglyceride in mmol/l).</w:t>
      </w:r>
    </w:p>
    <w:p w:rsidR="003554B9" w:rsidRDefault="003554B9" w:rsidP="00A721A9">
      <w:pPr>
        <w:spacing w:line="600" w:lineRule="auto"/>
        <w:jc w:val="both"/>
        <w:rPr>
          <w:rFonts w:ascii="Times New Roman" w:hAnsi="Times New Roman" w:cs="Times New Roman"/>
          <w:b/>
          <w:sz w:val="24"/>
          <w:szCs w:val="24"/>
        </w:rPr>
      </w:pPr>
    </w:p>
    <w:p w:rsidR="00A56A21" w:rsidRPr="006D176A" w:rsidRDefault="00A466AC"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lastRenderedPageBreak/>
        <w:t xml:space="preserve">GAMMA GLUTAMYL TRANSFERASE </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Gamma-glutamyl transferase (GGT) is a cell-surface protein contributing to the extracellular</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catabolism of glutathione (GSH)</w:t>
      </w:r>
      <w:r w:rsidR="003554B9">
        <w:rPr>
          <w:rFonts w:ascii="Times New Roman" w:hAnsi="Times New Roman" w:cs="Times New Roman"/>
          <w:sz w:val="24"/>
          <w:szCs w:val="24"/>
          <w:vertAlign w:val="superscript"/>
        </w:rPr>
        <w:t>73</w:t>
      </w:r>
      <w:r w:rsidRPr="006D176A">
        <w:rPr>
          <w:rFonts w:ascii="Times New Roman" w:hAnsi="Times New Roman" w:cs="Times New Roman"/>
          <w:sz w:val="24"/>
          <w:szCs w:val="24"/>
        </w:rPr>
        <w:t>. The enzyme is produced in many tissues, but most GGT</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serum is derived from the liver. In the serum, GGT is carried primarily with lipoproteins</w:t>
      </w:r>
    </w:p>
    <w:p w:rsidR="00A56A21" w:rsidRPr="003554B9" w:rsidRDefault="003554B9" w:rsidP="00A721A9">
      <w:pPr>
        <w:spacing w:line="600" w:lineRule="auto"/>
        <w:jc w:val="both"/>
        <w:rPr>
          <w:rFonts w:ascii="Times New Roman" w:hAnsi="Times New Roman" w:cs="Times New Roman"/>
          <w:sz w:val="24"/>
          <w:szCs w:val="24"/>
        </w:rPr>
      </w:pPr>
      <w:r>
        <w:rPr>
          <w:rFonts w:ascii="Times New Roman" w:hAnsi="Times New Roman" w:cs="Times New Roman"/>
          <w:sz w:val="24"/>
          <w:szCs w:val="24"/>
        </w:rPr>
        <w:t>and albumi</w:t>
      </w:r>
      <w:r>
        <w:rPr>
          <w:rFonts w:ascii="Times New Roman" w:hAnsi="Times New Roman" w:cs="Times New Roman"/>
          <w:sz w:val="24"/>
          <w:szCs w:val="24"/>
          <w:vertAlign w:val="superscript"/>
        </w:rPr>
        <w:t>74</w:t>
      </w:r>
      <w:r w:rsidR="00A56A21" w:rsidRPr="006D176A">
        <w:rPr>
          <w:rFonts w:ascii="Times New Roman" w:hAnsi="Times New Roman" w:cs="Times New Roman"/>
          <w:sz w:val="24"/>
          <w:szCs w:val="24"/>
        </w:rPr>
        <w:t>. Serum levels of GGT are determined by several factors: alcohol intake, body fat content, plasma lipid/lipoproteins and glucose levels, and various medications</w:t>
      </w:r>
      <w:r>
        <w:rPr>
          <w:rFonts w:ascii="Times New Roman" w:hAnsi="Times New Roman" w:cs="Times New Roman"/>
          <w:sz w:val="24"/>
          <w:szCs w:val="24"/>
          <w:vertAlign w:val="superscript"/>
        </w:rPr>
        <w:t>75,76</w:t>
      </w:r>
      <w:r>
        <w:rPr>
          <w:rFonts w:ascii="Times New Roman" w:hAnsi="Times New Roman" w:cs="Times New Roman"/>
          <w:sz w:val="24"/>
          <w:szCs w:val="24"/>
        </w:rPr>
        <w:t>.</w:t>
      </w:r>
    </w:p>
    <w:p w:rsidR="00A56A21" w:rsidRPr="006D176A" w:rsidRDefault="00A466AC"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ASSOCIATION OF GGT WITH INSULIN RESISTANCE AND METABOLIC SYNDROME</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High levels of GGT have been associated in populations with increased risk of</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atherosclerotic cardiovascular disease (CVD)</w:t>
      </w:r>
      <w:r w:rsidR="003554B9">
        <w:rPr>
          <w:rFonts w:ascii="Times New Roman" w:hAnsi="Times New Roman" w:cs="Times New Roman"/>
          <w:sz w:val="24"/>
          <w:szCs w:val="24"/>
          <w:vertAlign w:val="superscript"/>
        </w:rPr>
        <w:t>77,78</w:t>
      </w:r>
      <w:r w:rsidRPr="006D176A">
        <w:rPr>
          <w:rFonts w:ascii="Times New Roman" w:hAnsi="Times New Roman" w:cs="Times New Roman"/>
          <w:sz w:val="24"/>
          <w:szCs w:val="24"/>
        </w:rPr>
        <w:t>. Lee et al</w:t>
      </w:r>
      <w:r w:rsidR="003554B9">
        <w:rPr>
          <w:rFonts w:ascii="Times New Roman" w:hAnsi="Times New Roman" w:cs="Times New Roman"/>
          <w:sz w:val="24"/>
          <w:szCs w:val="24"/>
          <w:vertAlign w:val="superscript"/>
        </w:rPr>
        <w:t>79</w:t>
      </w:r>
      <w:r w:rsidRPr="006D176A">
        <w:rPr>
          <w:rFonts w:ascii="Times New Roman" w:hAnsi="Times New Roman" w:cs="Times New Roman"/>
          <w:sz w:val="24"/>
          <w:szCs w:val="24"/>
        </w:rPr>
        <w:t xml:space="preserve"> report that in 3451</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Framingham Study participants (mean age 44 years, 52% women) an increased serum</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GGT predicted the onset of metabolic syndrome and the occurrence of CVD and death;</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moreover, the highest GGT quartile experienced a 67% increase in CVD incidence. In this</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study the association of GGT concentrations with CVD and mortality remained significant</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after adjustment for traditional cardiac risk factors and C-reactive protein (CRP).</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One hypothesis for the relation of GGT levels and CVD holds that GGT itself is</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Proatherogenic. GGT has been reported toccur in atherosclerotic plaques</w:t>
      </w:r>
      <w:r w:rsidR="003554B9">
        <w:rPr>
          <w:rFonts w:ascii="Times New Roman" w:hAnsi="Times New Roman" w:cs="Times New Roman"/>
          <w:sz w:val="24"/>
          <w:szCs w:val="24"/>
          <w:vertAlign w:val="superscript"/>
        </w:rPr>
        <w:t>80</w:t>
      </w:r>
      <w:r w:rsidRPr="006D176A">
        <w:rPr>
          <w:rFonts w:ascii="Times New Roman" w:hAnsi="Times New Roman" w:cs="Times New Roman"/>
          <w:sz w:val="24"/>
          <w:szCs w:val="24"/>
        </w:rPr>
        <w:t>, which might</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support this hypothesis. The origins of GGT in plaques could be through influx of</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lipoproteins that carry it into lesions. One of the products of GSH hydrolysis produced by</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GGT is cysteinyl-glyceine, which can generate superoxide anion radicals through its</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interaction with free iron</w:t>
      </w:r>
      <w:r w:rsidR="003554B9">
        <w:rPr>
          <w:rFonts w:ascii="Times New Roman" w:hAnsi="Times New Roman" w:cs="Times New Roman"/>
          <w:sz w:val="24"/>
          <w:szCs w:val="24"/>
          <w:vertAlign w:val="superscript"/>
        </w:rPr>
        <w:t>81</w:t>
      </w:r>
      <w:r w:rsidRPr="006D176A">
        <w:rPr>
          <w:rFonts w:ascii="Times New Roman" w:hAnsi="Times New Roman" w:cs="Times New Roman"/>
          <w:sz w:val="24"/>
          <w:szCs w:val="24"/>
        </w:rPr>
        <w:t>. This effect could promote atherogenesis via LDL oxidation. At</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present the postulated pathogenic pathways remain hypothetical and are yet to be</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substantiated.</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An alternative hypothesis that appears to be consistent with the findings of Lee et al</w:t>
      </w:r>
      <w:r w:rsidR="00BB589B">
        <w:rPr>
          <w:rFonts w:ascii="Times New Roman" w:hAnsi="Times New Roman" w:cs="Times New Roman"/>
          <w:sz w:val="24"/>
          <w:szCs w:val="24"/>
          <w:vertAlign w:val="superscript"/>
        </w:rPr>
        <w:t>79</w:t>
      </w:r>
      <w:r w:rsidRPr="006D176A">
        <w:rPr>
          <w:rFonts w:ascii="Times New Roman" w:hAnsi="Times New Roman" w:cs="Times New Roman"/>
          <w:sz w:val="24"/>
          <w:szCs w:val="24"/>
        </w:rPr>
        <w:t xml:space="preserve"> is</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that elevations of GGT are a marker of the presence of the metabolic syndrome. Other</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workers have reported that high levels of GGT are associated with fatty liver, insulin</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resistance, type 2 diabetes, obesity and other metabolic risk factors. There is growing</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evidence that the liver, which is the primary source of circulating GGT, is a key target organ</w:t>
      </w:r>
    </w:p>
    <w:p w:rsidR="00A56A21" w:rsidRPr="006D176A" w:rsidRDefault="00A56A21"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for the development of the metabolic syndrome.</w:t>
      </w:r>
    </w:p>
    <w:p w:rsidR="009B3A87" w:rsidRPr="00A466AC" w:rsidRDefault="009B3A87" w:rsidP="00A721A9">
      <w:pPr>
        <w:spacing w:line="600" w:lineRule="auto"/>
        <w:jc w:val="both"/>
        <w:rPr>
          <w:rFonts w:ascii="Times New Roman" w:hAnsi="Times New Roman" w:cs="Times New Roman"/>
          <w:b/>
          <w:sz w:val="24"/>
          <w:szCs w:val="24"/>
        </w:rPr>
      </w:pPr>
      <w:r w:rsidRPr="00A466AC">
        <w:rPr>
          <w:rFonts w:ascii="Times New Roman" w:hAnsi="Times New Roman" w:cs="Times New Roman"/>
          <w:b/>
          <w:sz w:val="24"/>
          <w:szCs w:val="24"/>
        </w:rPr>
        <w:t>DIAGNOSIS</w:t>
      </w:r>
      <w:r w:rsidR="00692944" w:rsidRPr="00A466AC">
        <w:rPr>
          <w:rFonts w:ascii="Times New Roman" w:hAnsi="Times New Roman" w:cs="Times New Roman"/>
          <w:b/>
          <w:sz w:val="24"/>
          <w:szCs w:val="24"/>
        </w:rPr>
        <w:t xml:space="preserve"> OF METABOLIC SYNDROME</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diagnosis of the metabolic syndrome relies on satisfyi</w:t>
      </w:r>
      <w:r w:rsidR="0093346F" w:rsidRPr="006D176A">
        <w:rPr>
          <w:rFonts w:ascii="Times New Roman" w:hAnsi="Times New Roman" w:cs="Times New Roman"/>
          <w:sz w:val="24"/>
          <w:szCs w:val="24"/>
        </w:rPr>
        <w:t>ng the criteria listed above by</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using tools at the bedside and in the laboratory. The medical history should include</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evaluation of symptoms for OSA in all patients and PCOS in premenopausal women.</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Family history will help determine risk for CVD and DM. Blood pressure and waist</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circumference measurements provide information necessary for the diagnosis.</w:t>
      </w:r>
    </w:p>
    <w:p w:rsidR="00A466AC" w:rsidRDefault="00A466AC" w:rsidP="00A721A9">
      <w:pPr>
        <w:spacing w:line="600" w:lineRule="auto"/>
        <w:jc w:val="both"/>
        <w:rPr>
          <w:rFonts w:ascii="Times New Roman" w:hAnsi="Times New Roman" w:cs="Times New Roman"/>
          <w:sz w:val="24"/>
          <w:szCs w:val="24"/>
        </w:rPr>
      </w:pPr>
    </w:p>
    <w:p w:rsidR="00692944" w:rsidRPr="00A466AC" w:rsidRDefault="00A466AC" w:rsidP="00A721A9">
      <w:pPr>
        <w:spacing w:line="600" w:lineRule="auto"/>
        <w:jc w:val="both"/>
        <w:rPr>
          <w:rFonts w:ascii="Times New Roman" w:hAnsi="Times New Roman" w:cs="Times New Roman"/>
          <w:b/>
          <w:sz w:val="24"/>
          <w:szCs w:val="24"/>
        </w:rPr>
      </w:pPr>
      <w:r>
        <w:rPr>
          <w:rFonts w:ascii="Times New Roman" w:hAnsi="Times New Roman" w:cs="Times New Roman"/>
          <w:b/>
          <w:sz w:val="24"/>
          <w:szCs w:val="24"/>
        </w:rPr>
        <w:t>LABORATORY EVALUATION</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Fasting lipids and glucose are needed to determine if the metabolic syndrome is present. The</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measurement of additional biomarkers associated with insulin resistance can be</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individualized. Such tests might include apoB, high-sensitivity CRP, fibrinogen, uric acid,</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urinary microalbumin, and liver function tests. A sleep study should be performed if</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symptoms of OSA are present. If PCOS is suspected on the basis of clinical features and</w:t>
      </w:r>
    </w:p>
    <w:p w:rsidR="009B3A87"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anovulation, testosterone, luteinizing hormone, and follicle-stimulating hormone should be</w:t>
      </w:r>
    </w:p>
    <w:p w:rsidR="00064D59" w:rsidRPr="006D176A" w:rsidRDefault="009B3A87"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measured.</w:t>
      </w:r>
    </w:p>
    <w:p w:rsidR="00692944" w:rsidRPr="00A466AC" w:rsidRDefault="00F403B3" w:rsidP="00A721A9">
      <w:pPr>
        <w:spacing w:line="600" w:lineRule="auto"/>
        <w:jc w:val="both"/>
        <w:rPr>
          <w:rFonts w:ascii="Times New Roman" w:hAnsi="Times New Roman" w:cs="Times New Roman"/>
          <w:b/>
          <w:sz w:val="24"/>
          <w:szCs w:val="24"/>
        </w:rPr>
      </w:pPr>
      <w:r w:rsidRPr="00A466AC">
        <w:rPr>
          <w:rFonts w:ascii="Times New Roman" w:hAnsi="Times New Roman" w:cs="Times New Roman"/>
          <w:b/>
          <w:sz w:val="24"/>
          <w:szCs w:val="24"/>
        </w:rPr>
        <w:t>MANAGEMENT</w:t>
      </w:r>
      <w:r w:rsidR="005E4BA8">
        <w:rPr>
          <w:rFonts w:ascii="Times New Roman" w:hAnsi="Times New Roman" w:cs="Times New Roman"/>
          <w:b/>
          <w:sz w:val="24"/>
          <w:szCs w:val="24"/>
        </w:rPr>
        <w:t xml:space="preserve"> OF METABOLIC SYNDROME</w:t>
      </w:r>
    </w:p>
    <w:p w:rsidR="00692944" w:rsidRPr="006D176A" w:rsidRDefault="007C64FB"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Lifestyle modification is the first line treatment </w:t>
      </w:r>
      <w:r w:rsidR="00692944" w:rsidRPr="006D176A">
        <w:rPr>
          <w:rFonts w:ascii="Times New Roman" w:hAnsi="Times New Roman" w:cs="Times New Roman"/>
          <w:sz w:val="24"/>
          <w:szCs w:val="24"/>
        </w:rPr>
        <w:t xml:space="preserve">(i.e., caloric restriction and physical activity). However, drug treatment is frequently required. Generally, the individual disorders that comprise the metabolic syndrome are treated separately. Diuretics and ACE inhibitors may be used to treat hypertension. Cholesterol lowering drugs may be used to lower LDL </w:t>
      </w:r>
      <w:r w:rsidR="00692944" w:rsidRPr="006D176A">
        <w:rPr>
          <w:rFonts w:ascii="Times New Roman" w:hAnsi="Times New Roman" w:cs="Times New Roman"/>
          <w:sz w:val="24"/>
          <w:szCs w:val="24"/>
        </w:rPr>
        <w:lastRenderedPageBreak/>
        <w:t>cholesterol and triglyceride levels, if they are elevated, and to raise HDL levels if they are low. A 2003 study indicated that cardiovascular exercise was therapeutic in approximately 31% of cases. The most probable benefit was to triglyceride levels, with 43% showing improvement; but fasting plasma glucose and insulin resistance of 91% of test subjects did not improve. Many other studies have supported the value of increased physical activity and restricted caloric intake (exercise and diet) to treat metabolic syndrome.</w:t>
      </w:r>
    </w:p>
    <w:p w:rsidR="00692944" w:rsidRPr="00A466AC" w:rsidRDefault="00A466AC" w:rsidP="00A721A9">
      <w:pPr>
        <w:spacing w:line="600" w:lineRule="auto"/>
        <w:jc w:val="both"/>
        <w:rPr>
          <w:rFonts w:ascii="Times New Roman" w:hAnsi="Times New Roman" w:cs="Times New Roman"/>
          <w:b/>
          <w:sz w:val="24"/>
          <w:szCs w:val="24"/>
        </w:rPr>
      </w:pPr>
      <w:r w:rsidRPr="00A466AC">
        <w:rPr>
          <w:rFonts w:ascii="Times New Roman" w:hAnsi="Times New Roman" w:cs="Times New Roman"/>
          <w:b/>
          <w:sz w:val="24"/>
          <w:szCs w:val="24"/>
        </w:rPr>
        <w:t>IDF RECOMMENDED TREATMENT OF THE INDIVIDUAL COMPONENTS OF THE METABOLIC SYNDROME</w:t>
      </w:r>
    </w:p>
    <w:p w:rsidR="00A466AC" w:rsidRDefault="00A466AC" w:rsidP="00A721A9">
      <w:pPr>
        <w:spacing w:line="600" w:lineRule="auto"/>
        <w:jc w:val="both"/>
        <w:rPr>
          <w:rFonts w:ascii="Times New Roman" w:hAnsi="Times New Roman" w:cs="Times New Roman"/>
          <w:sz w:val="24"/>
          <w:szCs w:val="24"/>
        </w:rPr>
      </w:pPr>
      <w:r>
        <w:rPr>
          <w:rFonts w:ascii="Times New Roman" w:hAnsi="Times New Roman" w:cs="Times New Roman"/>
          <w:sz w:val="24"/>
          <w:szCs w:val="24"/>
        </w:rPr>
        <w:t>ATHEROGENIC DYSLIPIDAEMIA :</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Primary aims for therapy:</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Lower TG (as well as lowering ApoB and non-HDL cholesterol&lt;130mg/dl.)</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Raise HDL-c levels</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Reduce LDL-c levels  &lt;100mg/dl.(elevated levels represent a high risk in the metabolic syndrome)</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Options</w:t>
      </w:r>
      <w:r w:rsidR="00A466AC">
        <w:rPr>
          <w:rFonts w:ascii="Times New Roman" w:hAnsi="Times New Roman" w:cs="Times New Roman"/>
          <w:sz w:val="24"/>
          <w:szCs w:val="24"/>
        </w:rPr>
        <w:t xml:space="preserve"> </w:t>
      </w:r>
      <w:r w:rsidRPr="006D176A">
        <w:rPr>
          <w:rFonts w:ascii="Times New Roman" w:hAnsi="Times New Roman" w:cs="Times New Roman"/>
          <w:sz w:val="24"/>
          <w:szCs w:val="24"/>
        </w:rPr>
        <w:t>:</w:t>
      </w:r>
      <w:r w:rsidR="00A466AC">
        <w:rPr>
          <w:rFonts w:ascii="Times New Roman" w:hAnsi="Times New Roman" w:cs="Times New Roman"/>
          <w:sz w:val="24"/>
          <w:szCs w:val="24"/>
        </w:rPr>
        <w:t xml:space="preserve"> </w:t>
      </w:r>
      <w:r w:rsidRPr="006D176A">
        <w:rPr>
          <w:rFonts w:ascii="Times New Roman" w:hAnsi="Times New Roman" w:cs="Times New Roman"/>
          <w:sz w:val="24"/>
          <w:szCs w:val="24"/>
        </w:rPr>
        <w:t>Statins,ezetimibe,niacin derivatives,fibric acid derivatives,omega-3fatty acid derivatives.</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Fibrates (PPAR alpha agonists) improve all components of atherogenic dyslipidaemia and appear to reduce the risk for CVD in people with metabolic syndrome. The Veterans Affairs </w:t>
      </w:r>
      <w:r w:rsidRPr="006D176A">
        <w:rPr>
          <w:rFonts w:ascii="Times New Roman" w:hAnsi="Times New Roman" w:cs="Times New Roman"/>
          <w:sz w:val="24"/>
          <w:szCs w:val="24"/>
        </w:rPr>
        <w:lastRenderedPageBreak/>
        <w:t>High-Density Lipoprotein Intervention Trial (VA-HIT) showed that raising HDL-c concentrations using a fibrate in patients with well-established CHD and low LDL-c level will significantly reduce the incidence of major coronary eventsSeveral clinical studies have confirmed the benefits of statin therapy</w:t>
      </w:r>
      <w:r w:rsidR="00BB589B">
        <w:rPr>
          <w:rFonts w:ascii="Times New Roman" w:hAnsi="Times New Roman" w:cs="Times New Roman"/>
          <w:sz w:val="24"/>
          <w:szCs w:val="24"/>
          <w:vertAlign w:val="superscript"/>
        </w:rPr>
        <w:t>82</w:t>
      </w:r>
      <w:r w:rsidRPr="006D176A">
        <w:rPr>
          <w:rFonts w:ascii="Times New Roman" w:hAnsi="Times New Roman" w:cs="Times New Roman"/>
          <w:sz w:val="24"/>
          <w:szCs w:val="24"/>
        </w:rPr>
        <w:t>.</w:t>
      </w:r>
    </w:p>
    <w:p w:rsidR="00692944" w:rsidRPr="00A466AC" w:rsidRDefault="00A466AC" w:rsidP="00A721A9">
      <w:pPr>
        <w:spacing w:line="600" w:lineRule="auto"/>
        <w:jc w:val="both"/>
        <w:rPr>
          <w:rFonts w:ascii="Times New Roman" w:hAnsi="Times New Roman" w:cs="Times New Roman"/>
          <w:sz w:val="24"/>
          <w:szCs w:val="24"/>
        </w:rPr>
      </w:pPr>
      <w:r w:rsidRPr="00A466AC">
        <w:rPr>
          <w:rFonts w:ascii="Times New Roman" w:hAnsi="Times New Roman" w:cs="Times New Roman"/>
          <w:sz w:val="24"/>
          <w:szCs w:val="24"/>
        </w:rPr>
        <w:t>ELEVATED BLOOD PRESSURE</w:t>
      </w:r>
      <w:r>
        <w:rPr>
          <w:rFonts w:ascii="Times New Roman" w:hAnsi="Times New Roman" w:cs="Times New Roman"/>
          <w:sz w:val="24"/>
          <w:szCs w:val="24"/>
        </w:rPr>
        <w:t xml:space="preserve"> :</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Hypertension (BP ≥ 140/≥ 90 mm Hg) should be treated37. In patients with established diabetes, antihypertensive therapy should be introduced at BP ≥ 130/≥ 80 mm Hg.</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Options:</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Angiotensin converting enzyme inhibitors and angiotensin receptor blockers are useful antihypertensive drugs, with some clinical trials (but not all) suggesting they carry advantages over other drugs in people with diabetes. At this time, however, the majority of clinical trials suggest that the risk reduction associated with antihypertensive drugs is the result of blood pressure lowering per se and not due to a particular type of drug.</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No particular agents have been identified as being preferable for hypertensive patients who also have the metabolic syndrome.</w:t>
      </w:r>
    </w:p>
    <w:p w:rsidR="00692944" w:rsidRPr="005E4BA8" w:rsidRDefault="005E4BA8" w:rsidP="00A721A9">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 xml:space="preserve">INSULIN RESISTANCE AND HYPERGLYCAEMIA </w:t>
      </w:r>
      <w:r>
        <w:rPr>
          <w:rFonts w:ascii="Times New Roman" w:hAnsi="Times New Roman" w:cs="Times New Roman"/>
          <w:sz w:val="24"/>
          <w:szCs w:val="24"/>
        </w:rPr>
        <w:t>:</w:t>
      </w:r>
    </w:p>
    <w:p w:rsidR="00692944" w:rsidRPr="006D176A" w:rsidRDefault="00692944"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There is growing interest in the possibility that drugs that reduce insulin resistance will delay the onset of type 2 diabetes and will reduce CVD risk when metabolic syndrome is present. </w:t>
      </w:r>
      <w:r w:rsidRPr="006D176A">
        <w:rPr>
          <w:rFonts w:ascii="Times New Roman" w:hAnsi="Times New Roman" w:cs="Times New Roman"/>
          <w:sz w:val="24"/>
          <w:szCs w:val="24"/>
        </w:rPr>
        <w:lastRenderedPageBreak/>
        <w:t>The Diabetes Prevention Program (DPP) showed that metformin therapy in people with prediabetes will prevent or delay the development of diabetes and recent thiazolidinedione studies have also demonstrated efficacy in delaying or preventing type 2 diabetes in people with impaired glucose tolerance (IGT) and insulin resistance. Similarly, other studies have shown that both acarbose and orlistat can be used to delay the development of type 2 diabetes in people with IGT.</w:t>
      </w:r>
    </w:p>
    <w:p w:rsidR="0003626D" w:rsidRPr="006D176A" w:rsidRDefault="005E4BA8" w:rsidP="00A721A9">
      <w:pPr>
        <w:spacing w:line="600" w:lineRule="auto"/>
        <w:jc w:val="both"/>
        <w:rPr>
          <w:rFonts w:ascii="Times New Roman" w:hAnsi="Times New Roman" w:cs="Times New Roman"/>
          <w:b/>
          <w:sz w:val="24"/>
          <w:szCs w:val="24"/>
        </w:rPr>
      </w:pPr>
      <w:r w:rsidRPr="006D176A">
        <w:rPr>
          <w:rFonts w:ascii="Times New Roman" w:hAnsi="Times New Roman" w:cs="Times New Roman"/>
          <w:b/>
          <w:sz w:val="24"/>
          <w:szCs w:val="24"/>
        </w:rPr>
        <w:t>PREVENTION</w:t>
      </w:r>
      <w:r>
        <w:rPr>
          <w:rFonts w:ascii="Times New Roman" w:hAnsi="Times New Roman" w:cs="Times New Roman"/>
          <w:b/>
          <w:sz w:val="24"/>
          <w:szCs w:val="24"/>
        </w:rPr>
        <w:t xml:space="preserve"> OF METABOLIC SYNDROME</w:t>
      </w:r>
    </w:p>
    <w:p w:rsidR="0003626D" w:rsidRPr="006D176A"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Various strategies have been proposed to prevent the development of metabolic syndrome. These include increased physical activity (such as walking 30 minutes every day), and a healthy, reduced calorie diet. There are many studies that support the value of a healthy lifestyle as above</w:t>
      </w:r>
      <w:r w:rsidR="00BB589B">
        <w:rPr>
          <w:rFonts w:ascii="Times New Roman" w:hAnsi="Times New Roman" w:cs="Times New Roman"/>
          <w:sz w:val="24"/>
          <w:szCs w:val="24"/>
          <w:vertAlign w:val="superscript"/>
        </w:rPr>
        <w:t>83</w:t>
      </w:r>
      <w:r w:rsidRPr="006D176A">
        <w:rPr>
          <w:rFonts w:ascii="Times New Roman" w:hAnsi="Times New Roman" w:cs="Times New Roman"/>
          <w:sz w:val="24"/>
          <w:szCs w:val="24"/>
        </w:rPr>
        <w:t>. However; one study stated that these measures are effective in only a minority of people, primarily due to a lack of compliance with lifestyle and diet changes. The International Obesity Taskforce states that interventions on a sociopolitical level are required to reduce development of the metabolic syndrome in populations.</w:t>
      </w:r>
    </w:p>
    <w:p w:rsidR="0003626D" w:rsidRPr="00BB589B" w:rsidRDefault="0003626D"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 study of 2,375 male subjects over 20 years suggested that daily intake of a pint of milk or equivalent dairy products more than halved</w:t>
      </w:r>
      <w:r w:rsidR="00BB589B">
        <w:rPr>
          <w:rFonts w:ascii="Times New Roman" w:hAnsi="Times New Roman" w:cs="Times New Roman"/>
          <w:sz w:val="24"/>
          <w:szCs w:val="24"/>
        </w:rPr>
        <w:t xml:space="preserve"> the risk of metabolic syndrome</w:t>
      </w:r>
      <w:r w:rsidR="00BB589B">
        <w:rPr>
          <w:rFonts w:ascii="Times New Roman" w:hAnsi="Times New Roman" w:cs="Times New Roman"/>
          <w:sz w:val="24"/>
          <w:szCs w:val="24"/>
          <w:vertAlign w:val="superscript"/>
        </w:rPr>
        <w:t>84</w:t>
      </w:r>
      <w:r w:rsidR="00BB589B">
        <w:rPr>
          <w:rFonts w:ascii="Times New Roman" w:hAnsi="Times New Roman" w:cs="Times New Roman"/>
          <w:sz w:val="24"/>
          <w:szCs w:val="24"/>
        </w:rPr>
        <w:t>.</w:t>
      </w:r>
    </w:p>
    <w:p w:rsidR="005E4BA8" w:rsidRDefault="005E4BA8" w:rsidP="00A721A9">
      <w:pPr>
        <w:spacing w:line="600" w:lineRule="auto"/>
        <w:jc w:val="both"/>
        <w:rPr>
          <w:rFonts w:ascii="Times New Roman" w:hAnsi="Times New Roman" w:cs="Times New Roman"/>
          <w:b/>
          <w:sz w:val="24"/>
          <w:szCs w:val="24"/>
        </w:rPr>
      </w:pPr>
    </w:p>
    <w:p w:rsidR="005E4BA8" w:rsidRDefault="005E4BA8" w:rsidP="00A721A9">
      <w:pPr>
        <w:spacing w:line="600" w:lineRule="auto"/>
        <w:jc w:val="both"/>
        <w:rPr>
          <w:rFonts w:ascii="Times New Roman" w:hAnsi="Times New Roman" w:cs="Times New Roman"/>
          <w:b/>
          <w:sz w:val="24"/>
          <w:szCs w:val="24"/>
        </w:rPr>
      </w:pPr>
    </w:p>
    <w:p w:rsidR="005E4BA8" w:rsidRDefault="005E4BA8" w:rsidP="00A721A9">
      <w:pPr>
        <w:spacing w:line="600" w:lineRule="auto"/>
        <w:jc w:val="both"/>
        <w:rPr>
          <w:rFonts w:ascii="Times New Roman" w:hAnsi="Times New Roman" w:cs="Times New Roman"/>
          <w:b/>
          <w:sz w:val="24"/>
          <w:szCs w:val="24"/>
        </w:rPr>
      </w:pPr>
    </w:p>
    <w:p w:rsidR="00914052" w:rsidRPr="005E4BA8" w:rsidRDefault="005E4BA8" w:rsidP="005E4BA8">
      <w:pPr>
        <w:spacing w:line="600" w:lineRule="auto"/>
        <w:jc w:val="center"/>
        <w:rPr>
          <w:rFonts w:ascii="Times New Roman" w:hAnsi="Times New Roman" w:cs="Times New Roman"/>
          <w:b/>
          <w:sz w:val="28"/>
          <w:szCs w:val="24"/>
        </w:rPr>
      </w:pPr>
      <w:r w:rsidRPr="005E4BA8">
        <w:rPr>
          <w:rFonts w:ascii="Times New Roman" w:hAnsi="Times New Roman" w:cs="Times New Roman"/>
          <w:b/>
          <w:sz w:val="28"/>
          <w:szCs w:val="24"/>
        </w:rPr>
        <w:lastRenderedPageBreak/>
        <w:t xml:space="preserve">4. </w:t>
      </w:r>
      <w:r w:rsidR="00692944" w:rsidRPr="005E4BA8">
        <w:rPr>
          <w:rFonts w:ascii="Times New Roman" w:hAnsi="Times New Roman" w:cs="Times New Roman"/>
          <w:b/>
          <w:sz w:val="28"/>
          <w:szCs w:val="24"/>
        </w:rPr>
        <w:t>MATERIALS AND METHODS</w:t>
      </w:r>
    </w:p>
    <w:p w:rsidR="00692944" w:rsidRPr="005E4BA8" w:rsidRDefault="00692944" w:rsidP="00A721A9">
      <w:pPr>
        <w:spacing w:line="480" w:lineRule="auto"/>
        <w:jc w:val="both"/>
        <w:rPr>
          <w:rFonts w:ascii="Times New Roman" w:hAnsi="Times New Roman" w:cs="Times New Roman"/>
          <w:sz w:val="24"/>
          <w:szCs w:val="24"/>
        </w:rPr>
      </w:pPr>
      <w:r w:rsidRPr="005E4BA8">
        <w:rPr>
          <w:rFonts w:ascii="Times New Roman" w:eastAsia="Times New Roman" w:hAnsi="Times New Roman" w:cs="Times New Roman"/>
          <w:b/>
          <w:sz w:val="24"/>
          <w:szCs w:val="24"/>
        </w:rPr>
        <w:t>Source of data</w:t>
      </w:r>
    </w:p>
    <w:p w:rsidR="00692944" w:rsidRPr="006D176A" w:rsidRDefault="00CF118E"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Patients attending OPD and admitted in the department of medicine of Victoria hospital, and Bowring and Lady Curzon hospital, attached to Bangalore Medical College and Research Institute</w:t>
      </w:r>
    </w:p>
    <w:p w:rsidR="00CF118E" w:rsidRPr="006D176A" w:rsidRDefault="00CF118E" w:rsidP="00A721A9">
      <w:pPr>
        <w:jc w:val="both"/>
        <w:rPr>
          <w:rFonts w:ascii="Times New Roman" w:hAnsi="Times New Roman" w:cs="Times New Roman"/>
          <w:sz w:val="24"/>
          <w:szCs w:val="24"/>
        </w:rPr>
      </w:pPr>
      <w:r w:rsidRPr="006D176A">
        <w:rPr>
          <w:rFonts w:ascii="Times New Roman" w:eastAsia="Times New Roman" w:hAnsi="Times New Roman" w:cs="Times New Roman"/>
          <w:b/>
          <w:sz w:val="24"/>
          <w:szCs w:val="24"/>
        </w:rPr>
        <w:t>Methods of collection of data:</w:t>
      </w:r>
    </w:p>
    <w:p w:rsidR="00CF118E" w:rsidRPr="005E4BA8" w:rsidRDefault="00CF118E" w:rsidP="005E4BA8">
      <w:pPr>
        <w:jc w:val="both"/>
        <w:rPr>
          <w:rFonts w:ascii="Times New Roman" w:hAnsi="Times New Roman" w:cs="Times New Roman"/>
          <w:sz w:val="24"/>
          <w:szCs w:val="24"/>
        </w:rPr>
      </w:pPr>
      <w:r w:rsidRPr="005E4BA8">
        <w:rPr>
          <w:rFonts w:ascii="Times New Roman" w:eastAsia="Times New Roman" w:hAnsi="Times New Roman" w:cs="Times New Roman"/>
          <w:b/>
          <w:sz w:val="24"/>
          <w:szCs w:val="24"/>
        </w:rPr>
        <w:t>Study design:</w:t>
      </w:r>
    </w:p>
    <w:p w:rsidR="00CF118E" w:rsidRPr="006D176A" w:rsidRDefault="00CF118E" w:rsidP="00A721A9">
      <w:pPr>
        <w:jc w:val="both"/>
        <w:rPr>
          <w:rFonts w:ascii="Times New Roman" w:hAnsi="Times New Roman" w:cs="Times New Roman"/>
          <w:sz w:val="24"/>
          <w:szCs w:val="24"/>
        </w:rPr>
      </w:pPr>
      <w:r w:rsidRPr="006D176A">
        <w:rPr>
          <w:rFonts w:ascii="Times New Roman" w:eastAsia="Times New Roman" w:hAnsi="Times New Roman" w:cs="Times New Roman"/>
          <w:sz w:val="24"/>
          <w:szCs w:val="24"/>
        </w:rPr>
        <w:t>Cross sectional study</w:t>
      </w:r>
    </w:p>
    <w:p w:rsidR="00CF118E" w:rsidRPr="006D176A" w:rsidRDefault="00CF118E" w:rsidP="00A721A9">
      <w:pPr>
        <w:jc w:val="both"/>
        <w:rPr>
          <w:rFonts w:ascii="Times New Roman" w:hAnsi="Times New Roman" w:cs="Times New Roman"/>
          <w:sz w:val="24"/>
          <w:szCs w:val="24"/>
        </w:rPr>
      </w:pPr>
    </w:p>
    <w:p w:rsidR="00CF118E" w:rsidRPr="005E4BA8" w:rsidRDefault="00CF118E" w:rsidP="005E4BA8">
      <w:pPr>
        <w:jc w:val="both"/>
        <w:rPr>
          <w:rFonts w:ascii="Times New Roman" w:hAnsi="Times New Roman" w:cs="Times New Roman"/>
          <w:sz w:val="24"/>
          <w:szCs w:val="24"/>
        </w:rPr>
      </w:pPr>
      <w:r w:rsidRPr="005E4BA8">
        <w:rPr>
          <w:rFonts w:ascii="Times New Roman" w:eastAsia="Times New Roman" w:hAnsi="Times New Roman" w:cs="Times New Roman"/>
          <w:b/>
          <w:sz w:val="24"/>
          <w:szCs w:val="24"/>
        </w:rPr>
        <w:t>Study period:</w:t>
      </w:r>
    </w:p>
    <w:p w:rsidR="00CF118E" w:rsidRPr="006D176A" w:rsidRDefault="00CF118E" w:rsidP="00A721A9">
      <w:pPr>
        <w:jc w:val="both"/>
        <w:rPr>
          <w:rFonts w:ascii="Times New Roman" w:hAnsi="Times New Roman" w:cs="Times New Roman"/>
          <w:sz w:val="24"/>
          <w:szCs w:val="24"/>
        </w:rPr>
      </w:pPr>
      <w:r w:rsidRPr="006D176A">
        <w:rPr>
          <w:rFonts w:ascii="Times New Roman" w:eastAsia="Times New Roman" w:hAnsi="Times New Roman" w:cs="Times New Roman"/>
          <w:sz w:val="24"/>
          <w:szCs w:val="24"/>
        </w:rPr>
        <w:t>November 2014 to November 2016</w:t>
      </w:r>
    </w:p>
    <w:p w:rsidR="00CF118E" w:rsidRPr="006D176A" w:rsidRDefault="00CF118E" w:rsidP="00A721A9">
      <w:pPr>
        <w:jc w:val="both"/>
        <w:rPr>
          <w:rFonts w:ascii="Times New Roman" w:hAnsi="Times New Roman" w:cs="Times New Roman"/>
          <w:sz w:val="24"/>
          <w:szCs w:val="24"/>
        </w:rPr>
      </w:pPr>
    </w:p>
    <w:p w:rsidR="00CF118E" w:rsidRPr="005E4BA8" w:rsidRDefault="00CF118E" w:rsidP="005E4BA8">
      <w:pPr>
        <w:jc w:val="both"/>
        <w:rPr>
          <w:rFonts w:ascii="Times New Roman" w:hAnsi="Times New Roman" w:cs="Times New Roman"/>
          <w:sz w:val="24"/>
          <w:szCs w:val="24"/>
        </w:rPr>
      </w:pPr>
      <w:r w:rsidRPr="005E4BA8">
        <w:rPr>
          <w:rFonts w:ascii="Times New Roman" w:eastAsia="Times New Roman" w:hAnsi="Times New Roman" w:cs="Times New Roman"/>
          <w:b/>
          <w:sz w:val="24"/>
          <w:szCs w:val="24"/>
        </w:rPr>
        <w:t xml:space="preserve">Place of study: </w:t>
      </w:r>
    </w:p>
    <w:p w:rsidR="00CF118E" w:rsidRPr="006D176A" w:rsidRDefault="00CF118E" w:rsidP="00A721A9">
      <w:pPr>
        <w:jc w:val="both"/>
        <w:rPr>
          <w:rFonts w:ascii="Times New Roman" w:hAnsi="Times New Roman" w:cs="Times New Roman"/>
          <w:sz w:val="24"/>
          <w:szCs w:val="24"/>
        </w:rPr>
      </w:pPr>
      <w:r w:rsidRPr="006D176A">
        <w:rPr>
          <w:rFonts w:ascii="Times New Roman" w:eastAsia="Times New Roman" w:hAnsi="Times New Roman" w:cs="Times New Roman"/>
          <w:sz w:val="24"/>
          <w:szCs w:val="24"/>
        </w:rPr>
        <w:t>Victoria and Bowring and Lady Curzon hospitals attached to BMCRI,   Bangalore.</w:t>
      </w:r>
    </w:p>
    <w:p w:rsidR="00CF118E" w:rsidRPr="006D176A" w:rsidRDefault="00CF118E" w:rsidP="00A721A9">
      <w:pPr>
        <w:jc w:val="both"/>
        <w:rPr>
          <w:rFonts w:ascii="Times New Roman" w:hAnsi="Times New Roman" w:cs="Times New Roman"/>
          <w:sz w:val="24"/>
          <w:szCs w:val="24"/>
        </w:rPr>
      </w:pPr>
    </w:p>
    <w:p w:rsidR="00CF118E" w:rsidRPr="005E4BA8" w:rsidRDefault="00CF118E" w:rsidP="005E4BA8">
      <w:pPr>
        <w:jc w:val="both"/>
        <w:rPr>
          <w:rFonts w:ascii="Times New Roman" w:hAnsi="Times New Roman" w:cs="Times New Roman"/>
          <w:sz w:val="24"/>
          <w:szCs w:val="24"/>
        </w:rPr>
      </w:pPr>
      <w:r w:rsidRPr="005E4BA8">
        <w:rPr>
          <w:rFonts w:ascii="Times New Roman" w:eastAsia="Times New Roman" w:hAnsi="Times New Roman" w:cs="Times New Roman"/>
          <w:b/>
          <w:sz w:val="24"/>
          <w:szCs w:val="24"/>
        </w:rPr>
        <w:t>Sample size:</w:t>
      </w:r>
    </w:p>
    <w:p w:rsidR="00CF118E" w:rsidRPr="006D176A" w:rsidRDefault="00CF118E" w:rsidP="00A721A9">
      <w:pPr>
        <w:spacing w:line="480" w:lineRule="auto"/>
        <w:jc w:val="both"/>
        <w:rPr>
          <w:rFonts w:ascii="Times New Roman" w:hAnsi="Times New Roman" w:cs="Times New Roman"/>
          <w:sz w:val="24"/>
          <w:szCs w:val="24"/>
        </w:rPr>
      </w:pPr>
      <w:r w:rsidRPr="006D176A">
        <w:rPr>
          <w:rFonts w:ascii="Times New Roman" w:eastAsia="Times New Roman" w:hAnsi="Times New Roman" w:cs="Times New Roman"/>
          <w:sz w:val="24"/>
          <w:szCs w:val="24"/>
        </w:rPr>
        <w:t>100 cases based on the inclusion and exclusion criteria will be taken in to the study</w:t>
      </w:r>
    </w:p>
    <w:p w:rsidR="00CF118E" w:rsidRPr="005E4BA8" w:rsidRDefault="00CF118E" w:rsidP="005E4BA8">
      <w:pPr>
        <w:spacing w:line="480" w:lineRule="auto"/>
        <w:jc w:val="both"/>
        <w:rPr>
          <w:rFonts w:ascii="Times New Roman" w:hAnsi="Times New Roman" w:cs="Times New Roman"/>
          <w:sz w:val="24"/>
          <w:szCs w:val="24"/>
        </w:rPr>
      </w:pPr>
      <w:r w:rsidRPr="005E4BA8">
        <w:rPr>
          <w:rFonts w:ascii="Times New Roman" w:eastAsia="Times New Roman" w:hAnsi="Times New Roman" w:cs="Times New Roman"/>
          <w:b/>
          <w:sz w:val="24"/>
          <w:szCs w:val="24"/>
        </w:rPr>
        <w:t>Inclusion criteria</w:t>
      </w:r>
    </w:p>
    <w:p w:rsidR="00CF118E" w:rsidRPr="006D176A" w:rsidRDefault="00CF118E" w:rsidP="00A721A9">
      <w:pPr>
        <w:spacing w:line="360" w:lineRule="auto"/>
        <w:jc w:val="both"/>
        <w:rPr>
          <w:rFonts w:ascii="Times New Roman" w:hAnsi="Times New Roman" w:cs="Times New Roman"/>
          <w:sz w:val="24"/>
          <w:szCs w:val="24"/>
        </w:rPr>
      </w:pPr>
      <w:r w:rsidRPr="006D176A">
        <w:rPr>
          <w:rFonts w:ascii="Times New Roman" w:eastAsia="Times New Roman" w:hAnsi="Times New Roman" w:cs="Times New Roman"/>
          <w:sz w:val="24"/>
          <w:szCs w:val="24"/>
        </w:rPr>
        <w:t>Patients aged&gt; 18 years.</w:t>
      </w:r>
    </w:p>
    <w:p w:rsidR="00CF118E" w:rsidRPr="006D176A" w:rsidRDefault="00CF118E" w:rsidP="00A721A9">
      <w:pPr>
        <w:spacing w:line="360" w:lineRule="auto"/>
        <w:ind w:left="360"/>
        <w:jc w:val="both"/>
        <w:rPr>
          <w:rFonts w:ascii="Times New Roman" w:hAnsi="Times New Roman" w:cs="Times New Roman"/>
          <w:sz w:val="24"/>
          <w:szCs w:val="24"/>
        </w:rPr>
      </w:pPr>
      <w:r w:rsidRPr="006D176A">
        <w:rPr>
          <w:rFonts w:ascii="Times New Roman" w:eastAsia="Times New Roman" w:hAnsi="Times New Roman" w:cs="Times New Roman"/>
          <w:sz w:val="24"/>
          <w:szCs w:val="24"/>
        </w:rPr>
        <w:t>Patients fulfilling the criteria of metabolic syndrome - IDF [International Diabetes Federation] guidelines:</w:t>
      </w:r>
    </w:p>
    <w:p w:rsidR="00CF118E" w:rsidRPr="006D176A" w:rsidRDefault="00CF118E" w:rsidP="00A721A9">
      <w:pPr>
        <w:numPr>
          <w:ilvl w:val="1"/>
          <w:numId w:val="5"/>
        </w:numPr>
        <w:spacing w:line="360" w:lineRule="auto"/>
        <w:ind w:hanging="360"/>
        <w:jc w:val="both"/>
        <w:rPr>
          <w:rFonts w:ascii="Times New Roman" w:hAnsi="Times New Roman" w:cs="Times New Roman"/>
          <w:sz w:val="24"/>
          <w:szCs w:val="24"/>
        </w:rPr>
      </w:pPr>
      <w:r w:rsidRPr="006D176A">
        <w:rPr>
          <w:rFonts w:ascii="Times New Roman" w:eastAsia="Arial Unicode MS" w:hAnsi="Times New Roman" w:cs="Times New Roman"/>
          <w:sz w:val="24"/>
          <w:szCs w:val="24"/>
        </w:rPr>
        <w:t xml:space="preserve"> Waist circumference ≥90 cm in men or ≥80 cm in women{south Asians]</w:t>
      </w:r>
    </w:p>
    <w:p w:rsidR="00CF118E" w:rsidRPr="006D176A" w:rsidRDefault="00CF118E" w:rsidP="00A721A9">
      <w:pPr>
        <w:numPr>
          <w:ilvl w:val="1"/>
          <w:numId w:val="5"/>
        </w:numPr>
        <w:spacing w:line="360" w:lineRule="auto"/>
        <w:ind w:hanging="360"/>
        <w:jc w:val="both"/>
        <w:rPr>
          <w:rFonts w:ascii="Times New Roman" w:hAnsi="Times New Roman" w:cs="Times New Roman"/>
          <w:sz w:val="24"/>
          <w:szCs w:val="24"/>
        </w:rPr>
      </w:pPr>
      <w:r w:rsidRPr="006D176A">
        <w:rPr>
          <w:rFonts w:ascii="Times New Roman" w:eastAsia="Times New Roman" w:hAnsi="Times New Roman" w:cs="Times New Roman"/>
          <w:sz w:val="24"/>
          <w:szCs w:val="24"/>
        </w:rPr>
        <w:t>Two or more of the followings</w:t>
      </w:r>
    </w:p>
    <w:p w:rsidR="00CF118E" w:rsidRPr="006D176A" w:rsidRDefault="00CF118E" w:rsidP="00A721A9">
      <w:pPr>
        <w:numPr>
          <w:ilvl w:val="0"/>
          <w:numId w:val="6"/>
        </w:numPr>
        <w:spacing w:after="0" w:line="360" w:lineRule="auto"/>
        <w:ind w:hanging="360"/>
        <w:contextualSpacing/>
        <w:jc w:val="both"/>
        <w:rPr>
          <w:rFonts w:ascii="Times New Roman" w:hAnsi="Times New Roman" w:cs="Times New Roman"/>
          <w:sz w:val="24"/>
          <w:szCs w:val="24"/>
        </w:rPr>
      </w:pPr>
      <w:r w:rsidRPr="006D176A">
        <w:rPr>
          <w:rFonts w:ascii="Times New Roman" w:eastAsia="Arial Unicode MS" w:hAnsi="Times New Roman" w:cs="Times New Roman"/>
          <w:sz w:val="24"/>
          <w:szCs w:val="24"/>
        </w:rPr>
        <w:lastRenderedPageBreak/>
        <w:t>Triglycerides ≥150 mg/dL or treatment for hypertriglyceridemia.</w:t>
      </w:r>
    </w:p>
    <w:p w:rsidR="00CF118E" w:rsidRPr="006D176A" w:rsidRDefault="00CF118E" w:rsidP="00A721A9">
      <w:pPr>
        <w:numPr>
          <w:ilvl w:val="0"/>
          <w:numId w:val="6"/>
        </w:numPr>
        <w:spacing w:after="0" w:line="36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HDL-C &lt; 40 mg/dL in men or &lt;50 mg/mL in women or treatment for low HDL-C.</w:t>
      </w:r>
    </w:p>
    <w:p w:rsidR="00CF118E" w:rsidRPr="006D176A" w:rsidRDefault="00CF118E" w:rsidP="00A721A9">
      <w:pPr>
        <w:numPr>
          <w:ilvl w:val="0"/>
          <w:numId w:val="6"/>
        </w:numPr>
        <w:spacing w:after="0" w:line="360" w:lineRule="auto"/>
        <w:ind w:hanging="360"/>
        <w:contextualSpacing/>
        <w:jc w:val="both"/>
        <w:rPr>
          <w:rFonts w:ascii="Times New Roman" w:hAnsi="Times New Roman" w:cs="Times New Roman"/>
          <w:sz w:val="24"/>
          <w:szCs w:val="24"/>
        </w:rPr>
      </w:pPr>
      <w:r w:rsidRPr="006D176A">
        <w:rPr>
          <w:rFonts w:ascii="Times New Roman" w:eastAsia="Arial Unicode MS" w:hAnsi="Times New Roman" w:cs="Times New Roman"/>
          <w:sz w:val="24"/>
          <w:szCs w:val="24"/>
        </w:rPr>
        <w:t>Blood pressure ≥130/85 mmHg or treatment for hypertension.</w:t>
      </w:r>
    </w:p>
    <w:p w:rsidR="00CF118E" w:rsidRPr="006D176A" w:rsidRDefault="00CF118E" w:rsidP="00A721A9">
      <w:pPr>
        <w:numPr>
          <w:ilvl w:val="0"/>
          <w:numId w:val="6"/>
        </w:numPr>
        <w:spacing w:after="0" w:line="360" w:lineRule="auto"/>
        <w:ind w:hanging="360"/>
        <w:contextualSpacing/>
        <w:jc w:val="both"/>
        <w:rPr>
          <w:rFonts w:ascii="Times New Roman" w:hAnsi="Times New Roman" w:cs="Times New Roman"/>
          <w:sz w:val="24"/>
          <w:szCs w:val="24"/>
        </w:rPr>
      </w:pPr>
      <w:r w:rsidRPr="006D176A">
        <w:rPr>
          <w:rFonts w:ascii="Times New Roman" w:eastAsia="Arial Unicode MS" w:hAnsi="Times New Roman" w:cs="Times New Roman"/>
          <w:sz w:val="24"/>
          <w:szCs w:val="24"/>
        </w:rPr>
        <w:t>Fasting glucose ≥100 mg/dL or treatment for hyperglycemia.</w:t>
      </w:r>
    </w:p>
    <w:p w:rsidR="00CF118E" w:rsidRPr="005E4BA8" w:rsidRDefault="00CF118E" w:rsidP="005E4BA8">
      <w:pPr>
        <w:spacing w:line="480" w:lineRule="auto"/>
        <w:jc w:val="both"/>
        <w:rPr>
          <w:rFonts w:ascii="Times New Roman" w:hAnsi="Times New Roman" w:cs="Times New Roman"/>
          <w:sz w:val="24"/>
          <w:szCs w:val="24"/>
        </w:rPr>
      </w:pPr>
      <w:r w:rsidRPr="005E4BA8">
        <w:rPr>
          <w:rFonts w:ascii="Times New Roman" w:eastAsia="Times New Roman" w:hAnsi="Times New Roman" w:cs="Times New Roman"/>
          <w:b/>
          <w:sz w:val="24"/>
          <w:szCs w:val="24"/>
        </w:rPr>
        <w:t>Exclusion criteria</w:t>
      </w:r>
    </w:p>
    <w:p w:rsidR="00CF118E" w:rsidRPr="006D176A" w:rsidRDefault="00CF118E" w:rsidP="00A721A9">
      <w:pPr>
        <w:numPr>
          <w:ilvl w:val="0"/>
          <w:numId w:val="4"/>
        </w:numPr>
        <w:spacing w:line="480" w:lineRule="auto"/>
        <w:ind w:hanging="360"/>
        <w:jc w:val="both"/>
        <w:rPr>
          <w:rFonts w:ascii="Times New Roman" w:hAnsi="Times New Roman" w:cs="Times New Roman"/>
          <w:sz w:val="24"/>
          <w:szCs w:val="24"/>
        </w:rPr>
      </w:pPr>
      <w:r w:rsidRPr="006D176A">
        <w:rPr>
          <w:rFonts w:ascii="Times New Roman" w:eastAsia="Times New Roman" w:hAnsi="Times New Roman" w:cs="Times New Roman"/>
          <w:sz w:val="24"/>
          <w:szCs w:val="24"/>
        </w:rPr>
        <w:t>Acute liver disease</w:t>
      </w:r>
    </w:p>
    <w:p w:rsidR="00CF118E" w:rsidRPr="006D176A" w:rsidRDefault="00CF118E" w:rsidP="00A721A9">
      <w:pPr>
        <w:numPr>
          <w:ilvl w:val="0"/>
          <w:numId w:val="4"/>
        </w:numPr>
        <w:spacing w:line="480" w:lineRule="auto"/>
        <w:ind w:hanging="360"/>
        <w:jc w:val="both"/>
        <w:rPr>
          <w:rFonts w:ascii="Times New Roman" w:hAnsi="Times New Roman" w:cs="Times New Roman"/>
          <w:sz w:val="24"/>
          <w:szCs w:val="24"/>
        </w:rPr>
      </w:pPr>
      <w:r w:rsidRPr="006D176A">
        <w:rPr>
          <w:rFonts w:ascii="Times New Roman" w:eastAsia="Times New Roman" w:hAnsi="Times New Roman" w:cs="Times New Roman"/>
          <w:sz w:val="24"/>
          <w:szCs w:val="24"/>
        </w:rPr>
        <w:t>Chronic liver disease and renal disease</w:t>
      </w:r>
    </w:p>
    <w:p w:rsidR="00CF118E" w:rsidRPr="006D176A" w:rsidRDefault="00CF118E" w:rsidP="00A721A9">
      <w:pPr>
        <w:numPr>
          <w:ilvl w:val="0"/>
          <w:numId w:val="4"/>
        </w:numPr>
        <w:spacing w:line="480" w:lineRule="auto"/>
        <w:ind w:hanging="360"/>
        <w:jc w:val="both"/>
        <w:rPr>
          <w:rFonts w:ascii="Times New Roman" w:hAnsi="Times New Roman" w:cs="Times New Roman"/>
          <w:sz w:val="24"/>
          <w:szCs w:val="24"/>
        </w:rPr>
      </w:pPr>
      <w:r w:rsidRPr="006D176A">
        <w:rPr>
          <w:rFonts w:ascii="Times New Roman" w:eastAsia="Times New Roman" w:hAnsi="Times New Roman" w:cs="Times New Roman"/>
          <w:sz w:val="24"/>
          <w:szCs w:val="24"/>
        </w:rPr>
        <w:t xml:space="preserve">Chronic alcohol consumption </w:t>
      </w:r>
    </w:p>
    <w:p w:rsidR="00CF118E" w:rsidRPr="006D176A" w:rsidRDefault="00CF118E" w:rsidP="00A721A9">
      <w:pPr>
        <w:numPr>
          <w:ilvl w:val="0"/>
          <w:numId w:val="4"/>
        </w:numPr>
        <w:spacing w:line="480" w:lineRule="auto"/>
        <w:ind w:hanging="360"/>
        <w:jc w:val="both"/>
        <w:rPr>
          <w:rFonts w:ascii="Times New Roman" w:hAnsi="Times New Roman" w:cs="Times New Roman"/>
          <w:sz w:val="24"/>
          <w:szCs w:val="24"/>
        </w:rPr>
      </w:pPr>
      <w:r w:rsidRPr="006D176A">
        <w:rPr>
          <w:rFonts w:ascii="Times New Roman" w:eastAsia="Times New Roman" w:hAnsi="Times New Roman" w:cs="Times New Roman"/>
          <w:sz w:val="24"/>
          <w:szCs w:val="24"/>
        </w:rPr>
        <w:t>Pregnancy</w:t>
      </w:r>
    </w:p>
    <w:p w:rsidR="00CF118E" w:rsidRPr="006D176A" w:rsidRDefault="00CF118E" w:rsidP="00A721A9">
      <w:pPr>
        <w:numPr>
          <w:ilvl w:val="0"/>
          <w:numId w:val="4"/>
        </w:numPr>
        <w:spacing w:line="48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Drugs - antiepileptics, OCPs, trimethoprim, sulphamethoxazole, erythromycin, cimetidine</w:t>
      </w:r>
    </w:p>
    <w:p w:rsidR="00CF118E" w:rsidRPr="006D176A" w:rsidRDefault="00CF118E" w:rsidP="00A721A9">
      <w:pPr>
        <w:spacing w:line="600" w:lineRule="auto"/>
        <w:jc w:val="both"/>
        <w:rPr>
          <w:rFonts w:ascii="Times New Roman" w:hAnsi="Times New Roman" w:cs="Times New Roman"/>
          <w:sz w:val="24"/>
          <w:szCs w:val="24"/>
        </w:rPr>
      </w:pPr>
    </w:p>
    <w:p w:rsidR="00CF118E" w:rsidRPr="005E4BA8" w:rsidRDefault="00CF118E" w:rsidP="00A721A9">
      <w:pPr>
        <w:spacing w:line="480" w:lineRule="auto"/>
        <w:jc w:val="both"/>
        <w:rPr>
          <w:rFonts w:ascii="Times New Roman" w:hAnsi="Times New Roman" w:cs="Times New Roman"/>
          <w:sz w:val="24"/>
          <w:szCs w:val="24"/>
        </w:rPr>
      </w:pPr>
      <w:r w:rsidRPr="005E4BA8">
        <w:rPr>
          <w:rFonts w:ascii="Times New Roman" w:eastAsia="Times New Roman" w:hAnsi="Times New Roman" w:cs="Times New Roman"/>
          <w:b/>
          <w:sz w:val="24"/>
          <w:szCs w:val="24"/>
        </w:rPr>
        <w:t>Method of data collection</w:t>
      </w:r>
    </w:p>
    <w:p w:rsidR="00CF118E" w:rsidRPr="006D176A" w:rsidRDefault="00CF118E" w:rsidP="00A721A9">
      <w:pPr>
        <w:spacing w:line="480" w:lineRule="auto"/>
        <w:jc w:val="both"/>
        <w:rPr>
          <w:rFonts w:ascii="Times New Roman" w:hAnsi="Times New Roman" w:cs="Times New Roman"/>
          <w:sz w:val="24"/>
          <w:szCs w:val="24"/>
        </w:rPr>
      </w:pPr>
      <w:r w:rsidRPr="006D176A">
        <w:rPr>
          <w:rFonts w:ascii="Times New Roman" w:eastAsia="Times New Roman" w:hAnsi="Times New Roman" w:cs="Times New Roman"/>
          <w:sz w:val="24"/>
          <w:szCs w:val="24"/>
        </w:rPr>
        <w:t>Data were collected using a pretested proforma meeting the objectives of the study. Detailed history, physical examination and necessary investigations were done. An estimation of Gamma Glutamyl Transferase was done for all the patients satisfying the inclusion and exclusion criteria.</w:t>
      </w:r>
    </w:p>
    <w:p w:rsidR="00CF118E" w:rsidRPr="006D176A" w:rsidRDefault="00CF118E" w:rsidP="00A721A9">
      <w:pPr>
        <w:spacing w:line="480" w:lineRule="auto"/>
        <w:jc w:val="both"/>
        <w:rPr>
          <w:rFonts w:ascii="Times New Roman" w:hAnsi="Times New Roman" w:cs="Times New Roman"/>
          <w:sz w:val="24"/>
          <w:szCs w:val="24"/>
        </w:rPr>
      </w:pPr>
      <w:r w:rsidRPr="006D176A">
        <w:rPr>
          <w:rFonts w:ascii="Times New Roman" w:eastAsia="Times New Roman" w:hAnsi="Times New Roman" w:cs="Times New Roman"/>
          <w:sz w:val="24"/>
          <w:szCs w:val="24"/>
        </w:rPr>
        <w:t>Insulin resistance calculation was done for all patients by homeostatic model assessment.</w:t>
      </w:r>
    </w:p>
    <w:p w:rsidR="00CF118E" w:rsidRPr="006D176A" w:rsidRDefault="00CF118E" w:rsidP="00A721A9">
      <w:pPr>
        <w:spacing w:line="480" w:lineRule="auto"/>
        <w:jc w:val="both"/>
        <w:rPr>
          <w:rFonts w:ascii="Times New Roman" w:hAnsi="Times New Roman" w:cs="Times New Roman"/>
          <w:sz w:val="24"/>
          <w:szCs w:val="24"/>
        </w:rPr>
      </w:pPr>
      <w:r w:rsidRPr="006D176A">
        <w:rPr>
          <w:rFonts w:ascii="Times New Roman" w:eastAsia="Times New Roman" w:hAnsi="Times New Roman" w:cs="Times New Roman"/>
          <w:sz w:val="24"/>
          <w:szCs w:val="24"/>
        </w:rPr>
        <w:t>The correlation between level of Gamma Glutamyl Transferase and Insulin Resistance was statistically analyzed.</w:t>
      </w:r>
    </w:p>
    <w:p w:rsidR="00CF118E" w:rsidRPr="006D176A" w:rsidRDefault="00CF118E" w:rsidP="00A721A9">
      <w:pPr>
        <w:spacing w:line="480" w:lineRule="auto"/>
        <w:jc w:val="both"/>
        <w:rPr>
          <w:rFonts w:ascii="Times New Roman" w:hAnsi="Times New Roman" w:cs="Times New Roman"/>
          <w:sz w:val="24"/>
          <w:szCs w:val="24"/>
        </w:rPr>
      </w:pPr>
      <w:r w:rsidRPr="006D176A">
        <w:rPr>
          <w:rFonts w:ascii="Times New Roman" w:eastAsia="Times New Roman" w:hAnsi="Times New Roman" w:cs="Times New Roman"/>
          <w:sz w:val="24"/>
          <w:szCs w:val="24"/>
        </w:rPr>
        <w:t>The purpose of the study was explained to the patient and informed consent was obtained.</w:t>
      </w:r>
    </w:p>
    <w:p w:rsidR="00CF118E" w:rsidRPr="006D176A" w:rsidRDefault="00CF118E" w:rsidP="00A721A9">
      <w:pPr>
        <w:spacing w:line="360" w:lineRule="auto"/>
        <w:jc w:val="both"/>
        <w:rPr>
          <w:rFonts w:ascii="Times New Roman" w:hAnsi="Times New Roman" w:cs="Times New Roman"/>
          <w:sz w:val="24"/>
          <w:szCs w:val="24"/>
        </w:rPr>
      </w:pPr>
      <w:r w:rsidRPr="006D176A">
        <w:rPr>
          <w:rFonts w:ascii="Times New Roman" w:eastAsia="Times New Roman" w:hAnsi="Times New Roman" w:cs="Times New Roman"/>
          <w:b/>
          <w:sz w:val="24"/>
          <w:szCs w:val="24"/>
        </w:rPr>
        <w:lastRenderedPageBreak/>
        <w:t>STATISTICAL ANALYSIS</w:t>
      </w:r>
    </w:p>
    <w:p w:rsidR="005E4BA8" w:rsidRP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 xml:space="preserve">Statistical Methods: Descriptive and inferential  statistical analysis has been carried out in the present study. Results on continuous measurements are presented on Mean </w:t>
      </w:r>
      <w:r w:rsidRPr="005E4BA8">
        <w:rPr>
          <w:rFonts w:ascii="Times New Roman" w:hAnsi="Times New Roman" w:cs="Times New Roman"/>
          <w:sz w:val="24"/>
          <w:szCs w:val="24"/>
        </w:rPr>
        <w:t> SD (Min-Max) and results on categorical measurements are presented in Number (%). Significance is assessed at 5 % level of significance. The following assumptions on data is made, Assumptions: 1.Dependent variables should be normally distributed, 2.Samples drawn from the population should be random, Cases of the samples should be independent</w:t>
      </w:r>
    </w:p>
    <w:p w:rsidR="005E4BA8" w:rsidRP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 xml:space="preserve">Analysis of variance (ANOVA) has been used to find the significance of study parameters between three or more groups of patients , </w:t>
      </w:r>
    </w:p>
    <w:p w:rsidR="005E4BA8" w:rsidRP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Chi-square/ Fisher Exact test has been used to find the significance of study parameters on categorical scale between two or more  groups, Non-parametric setting for Qualitative data analysis.</w:t>
      </w:r>
    </w:p>
    <w:p w:rsidR="005E4BA8" w:rsidRP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 xml:space="preserve">SIGNIFICANT FIGURES </w:t>
      </w:r>
      <w:r>
        <w:rPr>
          <w:rFonts w:ascii="Times New Roman" w:hAnsi="Times New Roman" w:cs="Times New Roman"/>
          <w:sz w:val="24"/>
          <w:szCs w:val="24"/>
        </w:rPr>
        <w:t>:</w:t>
      </w:r>
    </w:p>
    <w:p w:rsidR="005E4BA8" w:rsidRP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 Suggestive significance (P value: 0.05&lt;P&lt;0.10)</w:t>
      </w:r>
    </w:p>
    <w:p w:rsidR="005E4BA8" w:rsidRP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 Moderately</w:t>
      </w:r>
      <w:r>
        <w:rPr>
          <w:rFonts w:ascii="Times New Roman" w:hAnsi="Times New Roman" w:cs="Times New Roman"/>
          <w:sz w:val="24"/>
          <w:szCs w:val="24"/>
        </w:rPr>
        <w:t xml:space="preserve"> significant  ( P value:0.01&lt;P &lt;</w:t>
      </w:r>
      <w:r w:rsidRPr="005E4BA8">
        <w:rPr>
          <w:rFonts w:ascii="Times New Roman" w:hAnsi="Times New Roman" w:cs="Times New Roman"/>
          <w:sz w:val="24"/>
          <w:szCs w:val="24"/>
        </w:rPr>
        <w:t xml:space="preserve"> 0.05)</w:t>
      </w:r>
    </w:p>
    <w:p w:rsid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t xml:space="preserve">** Strongly significant  </w:t>
      </w:r>
      <w:r>
        <w:rPr>
          <w:rFonts w:ascii="Times New Roman" w:hAnsi="Times New Roman" w:cs="Times New Roman"/>
          <w:sz w:val="24"/>
          <w:szCs w:val="24"/>
        </w:rPr>
        <w:t xml:space="preserve"> (P value : P&lt;</w:t>
      </w:r>
      <w:r w:rsidRPr="005E4BA8">
        <w:rPr>
          <w:rFonts w:ascii="Times New Roman" w:hAnsi="Times New Roman" w:cs="Times New Roman"/>
          <w:sz w:val="24"/>
          <w:szCs w:val="24"/>
        </w:rPr>
        <w:t>0.01)</w:t>
      </w:r>
      <w:r>
        <w:rPr>
          <w:rFonts w:ascii="Times New Roman" w:hAnsi="Times New Roman" w:cs="Times New Roman"/>
          <w:sz w:val="24"/>
          <w:szCs w:val="24"/>
        </w:rPr>
        <w:t xml:space="preserve"> </w:t>
      </w:r>
    </w:p>
    <w:p w:rsidR="005E4BA8" w:rsidRDefault="005E4BA8" w:rsidP="005E4BA8">
      <w:pPr>
        <w:spacing w:line="600" w:lineRule="auto"/>
        <w:jc w:val="both"/>
        <w:rPr>
          <w:rFonts w:ascii="Times New Roman" w:hAnsi="Times New Roman" w:cs="Times New Roman"/>
          <w:sz w:val="24"/>
          <w:szCs w:val="24"/>
        </w:rPr>
      </w:pPr>
      <w:r w:rsidRPr="005E4BA8">
        <w:rPr>
          <w:rFonts w:ascii="Times New Roman" w:hAnsi="Times New Roman" w:cs="Times New Roman"/>
          <w:sz w:val="24"/>
          <w:szCs w:val="24"/>
        </w:rPr>
        <w:lastRenderedPageBreak/>
        <w:t>Statistical software: The Statistical software namely SAS 9.2, SPSS 15.0, Stata 10.1, MedCalc 9.0.1 ,Systat 12.0 and R environment ver.2.11.1 were used for the analysis of the data and Microsoft word and Excel have been used to generate graphs, tables etc.</w:t>
      </w:r>
    </w:p>
    <w:p w:rsidR="00546ABB" w:rsidRPr="006D176A" w:rsidRDefault="00546ABB"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INVESTIGATIONS DONE:</w:t>
      </w:r>
    </w:p>
    <w:p w:rsidR="00546ABB" w:rsidRPr="006D176A" w:rsidRDefault="00546ABB" w:rsidP="00A721A9">
      <w:pPr>
        <w:spacing w:line="480" w:lineRule="auto"/>
        <w:ind w:left="360"/>
        <w:jc w:val="both"/>
        <w:rPr>
          <w:rFonts w:ascii="Times New Roman" w:hAnsi="Times New Roman" w:cs="Times New Roman"/>
          <w:sz w:val="24"/>
          <w:szCs w:val="24"/>
        </w:rPr>
      </w:pPr>
      <w:r w:rsidRPr="006D176A">
        <w:rPr>
          <w:rFonts w:ascii="Times New Roman" w:eastAsia="Times New Roman" w:hAnsi="Times New Roman" w:cs="Times New Roman"/>
          <w:sz w:val="24"/>
          <w:szCs w:val="24"/>
        </w:rPr>
        <w:t>The following investigations were done on the patients;</w:t>
      </w:r>
    </w:p>
    <w:p w:rsidR="00546ABB" w:rsidRPr="006D176A" w:rsidRDefault="00546ABB" w:rsidP="00A721A9">
      <w:pPr>
        <w:numPr>
          <w:ilvl w:val="0"/>
          <w:numId w:val="7"/>
        </w:numPr>
        <w:spacing w:line="48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Insulin resistance</w:t>
      </w:r>
    </w:p>
    <w:p w:rsidR="00546ABB" w:rsidRPr="006D176A" w:rsidRDefault="00546ABB" w:rsidP="00A721A9">
      <w:pPr>
        <w:numPr>
          <w:ilvl w:val="0"/>
          <w:numId w:val="7"/>
        </w:numPr>
        <w:spacing w:line="48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Serum Gamma Glutamyl Transferase</w:t>
      </w:r>
    </w:p>
    <w:p w:rsidR="00546ABB" w:rsidRPr="006D176A" w:rsidRDefault="00546ABB" w:rsidP="00A721A9">
      <w:pPr>
        <w:numPr>
          <w:ilvl w:val="0"/>
          <w:numId w:val="7"/>
        </w:numPr>
        <w:spacing w:line="48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Liver function tests</w:t>
      </w:r>
    </w:p>
    <w:p w:rsidR="00546ABB" w:rsidRPr="006D176A" w:rsidRDefault="00546ABB" w:rsidP="00A721A9">
      <w:pPr>
        <w:numPr>
          <w:ilvl w:val="0"/>
          <w:numId w:val="7"/>
        </w:numPr>
        <w:spacing w:line="48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Renal function tests</w:t>
      </w:r>
    </w:p>
    <w:p w:rsidR="00546ABB" w:rsidRPr="006D176A" w:rsidRDefault="00546ABB" w:rsidP="00A721A9">
      <w:pPr>
        <w:numPr>
          <w:ilvl w:val="0"/>
          <w:numId w:val="7"/>
        </w:numPr>
        <w:spacing w:line="48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Fasting lipid profile</w:t>
      </w:r>
    </w:p>
    <w:p w:rsidR="00546ABB" w:rsidRPr="006D176A" w:rsidRDefault="00546ABB" w:rsidP="00A721A9">
      <w:pPr>
        <w:numPr>
          <w:ilvl w:val="0"/>
          <w:numId w:val="7"/>
        </w:numPr>
        <w:spacing w:line="480" w:lineRule="auto"/>
        <w:ind w:hanging="360"/>
        <w:contextualSpacing/>
        <w:jc w:val="both"/>
        <w:rPr>
          <w:rFonts w:ascii="Times New Roman" w:hAnsi="Times New Roman" w:cs="Times New Roman"/>
          <w:sz w:val="24"/>
          <w:szCs w:val="24"/>
        </w:rPr>
      </w:pPr>
      <w:r w:rsidRPr="006D176A">
        <w:rPr>
          <w:rFonts w:ascii="Times New Roman" w:eastAsia="Times New Roman" w:hAnsi="Times New Roman" w:cs="Times New Roman"/>
          <w:sz w:val="24"/>
          <w:szCs w:val="24"/>
        </w:rPr>
        <w:t>Fasting plasma glucose</w:t>
      </w:r>
    </w:p>
    <w:p w:rsidR="00546ABB" w:rsidRPr="006D176A" w:rsidRDefault="00546ABB" w:rsidP="00A721A9">
      <w:pPr>
        <w:spacing w:line="600" w:lineRule="auto"/>
        <w:jc w:val="both"/>
        <w:rPr>
          <w:rFonts w:ascii="Times New Roman" w:hAnsi="Times New Roman" w:cs="Times New Roman"/>
          <w:sz w:val="24"/>
          <w:szCs w:val="24"/>
        </w:rPr>
      </w:pPr>
    </w:p>
    <w:p w:rsidR="00546ABB" w:rsidRPr="006D176A" w:rsidRDefault="00546ABB"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ETHICAL CLEARANCE</w:t>
      </w:r>
    </w:p>
    <w:p w:rsidR="00546ABB" w:rsidRPr="006D176A" w:rsidRDefault="00546ABB"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This study was approved by ethical committee of Bangalore Medical College and Research</w:t>
      </w:r>
    </w:p>
    <w:p w:rsidR="00D06105" w:rsidRPr="006D176A" w:rsidRDefault="00546ABB"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Institute, Bangalore</w:t>
      </w: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9A040A" w:rsidRDefault="009A040A" w:rsidP="009A040A">
      <w:pPr>
        <w:pStyle w:val="NoSpacing"/>
        <w:jc w:val="center"/>
        <w:rPr>
          <w:rFonts w:ascii="Times New Roman"/>
          <w:b/>
          <w:sz w:val="28"/>
          <w:szCs w:val="24"/>
        </w:rPr>
      </w:pPr>
    </w:p>
    <w:p w:rsidR="00F24ADF" w:rsidRPr="009A040A" w:rsidRDefault="009A040A" w:rsidP="009A040A">
      <w:pPr>
        <w:pStyle w:val="NoSpacing"/>
        <w:jc w:val="center"/>
        <w:rPr>
          <w:rFonts w:ascii="Times New Roman"/>
          <w:b/>
          <w:sz w:val="28"/>
          <w:szCs w:val="24"/>
        </w:rPr>
      </w:pPr>
      <w:r w:rsidRPr="009A040A">
        <w:rPr>
          <w:rFonts w:ascii="Times New Roman"/>
          <w:b/>
          <w:sz w:val="28"/>
          <w:szCs w:val="24"/>
        </w:rPr>
        <w:lastRenderedPageBreak/>
        <w:t xml:space="preserve">5. </w:t>
      </w:r>
      <w:r w:rsidR="00F24ADF" w:rsidRPr="009A040A">
        <w:rPr>
          <w:rFonts w:ascii="Times New Roman"/>
          <w:b/>
          <w:sz w:val="28"/>
          <w:szCs w:val="24"/>
        </w:rPr>
        <w:t>RESULT</w:t>
      </w:r>
      <w:r w:rsidRPr="009A040A">
        <w:rPr>
          <w:rFonts w:ascii="Times New Roman"/>
          <w:b/>
          <w:sz w:val="28"/>
          <w:szCs w:val="24"/>
        </w:rPr>
        <w:t>S</w:t>
      </w:r>
    </w:p>
    <w:p w:rsidR="00F24ADF" w:rsidRPr="006D176A" w:rsidRDefault="00F24ADF" w:rsidP="00A721A9">
      <w:pPr>
        <w:pStyle w:val="NoSpacing"/>
        <w:jc w:val="both"/>
        <w:rPr>
          <w:rFonts w:ascii="Times New Roman"/>
          <w:b/>
          <w:sz w:val="24"/>
          <w:szCs w:val="24"/>
        </w:rPr>
      </w:pPr>
    </w:p>
    <w:p w:rsidR="00F24ADF" w:rsidRPr="006D176A" w:rsidRDefault="00F24ADF" w:rsidP="00A721A9">
      <w:pPr>
        <w:pStyle w:val="NoSpacing"/>
        <w:jc w:val="both"/>
        <w:rPr>
          <w:rFonts w:ascii="Times New Roman"/>
          <w:sz w:val="24"/>
          <w:szCs w:val="24"/>
        </w:rPr>
      </w:pPr>
      <w:r w:rsidRPr="006D176A">
        <w:rPr>
          <w:rFonts w:ascii="Times New Roman"/>
          <w:b/>
          <w:sz w:val="24"/>
          <w:szCs w:val="24"/>
        </w:rPr>
        <w:t>Study design</w:t>
      </w:r>
      <w:r w:rsidR="005E4BA8">
        <w:rPr>
          <w:rFonts w:ascii="Times New Roman"/>
          <w:sz w:val="24"/>
          <w:szCs w:val="24"/>
        </w:rPr>
        <w:t>: A cross sectional</w:t>
      </w:r>
      <w:r w:rsidRPr="006D176A">
        <w:rPr>
          <w:rFonts w:ascii="Times New Roman"/>
          <w:sz w:val="24"/>
          <w:szCs w:val="24"/>
        </w:rPr>
        <w:t xml:space="preserve"> correlation clinical study</w:t>
      </w:r>
    </w:p>
    <w:p w:rsidR="00F24ADF" w:rsidRPr="006D176A" w:rsidRDefault="00F24ADF" w:rsidP="00A721A9">
      <w:pPr>
        <w:pStyle w:val="NoSpacing"/>
        <w:jc w:val="both"/>
        <w:rPr>
          <w:rFonts w:ascii="Times New Roman"/>
          <w:sz w:val="24"/>
          <w:szCs w:val="24"/>
        </w:rPr>
      </w:pPr>
    </w:p>
    <w:p w:rsidR="00F24ADF" w:rsidRPr="006D176A" w:rsidRDefault="005E4BA8" w:rsidP="00A721A9">
      <w:pPr>
        <w:pStyle w:val="NoSpacing"/>
        <w:jc w:val="both"/>
        <w:rPr>
          <w:rFonts w:ascii="Times New Roman"/>
          <w:sz w:val="24"/>
          <w:szCs w:val="24"/>
        </w:rPr>
      </w:pPr>
      <w:r>
        <w:rPr>
          <w:rFonts w:ascii="Times New Roman"/>
          <w:sz w:val="24"/>
          <w:szCs w:val="24"/>
        </w:rPr>
        <w:t>Table 2</w:t>
      </w:r>
      <w:r w:rsidR="00F24ADF" w:rsidRPr="006D176A">
        <w:rPr>
          <w:rFonts w:ascii="Times New Roman"/>
          <w:sz w:val="24"/>
          <w:szCs w:val="24"/>
        </w:rPr>
        <w:t>: Age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tblGrid>
      <w:tr w:rsidR="00F24ADF" w:rsidRPr="006D176A" w:rsidTr="006D176A">
        <w:trPr>
          <w:trHeight w:val="431"/>
          <w:jc w:val="center"/>
        </w:trPr>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Age in years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21-30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31-40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41-50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51-60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61-70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71-80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&gt;80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100.0</w:t>
            </w:r>
          </w:p>
        </w:tc>
      </w:tr>
    </w:tbl>
    <w:p w:rsidR="00F24ADF" w:rsidRDefault="00F24ADF" w:rsidP="00A721A9">
      <w:pPr>
        <w:pStyle w:val="NoSpacing"/>
        <w:jc w:val="both"/>
        <w:rPr>
          <w:rFonts w:ascii="Times New Roman"/>
          <w:sz w:val="24"/>
          <w:szCs w:val="24"/>
        </w:rPr>
      </w:pPr>
      <w:r w:rsidRPr="006D176A">
        <w:rPr>
          <w:rFonts w:ascii="Times New Roman"/>
          <w:sz w:val="24"/>
          <w:szCs w:val="24"/>
        </w:rPr>
        <w:tab/>
      </w:r>
      <w:r w:rsidRPr="006D176A">
        <w:rPr>
          <w:rFonts w:ascii="Times New Roman"/>
          <w:sz w:val="24"/>
          <w:szCs w:val="24"/>
        </w:rPr>
        <w:tab/>
      </w:r>
      <w:r w:rsidRPr="006D176A">
        <w:rPr>
          <w:rFonts w:ascii="Times New Roman"/>
          <w:sz w:val="24"/>
          <w:szCs w:val="24"/>
        </w:rPr>
        <w:tab/>
        <w:t>Mean ± SD: 57.16±12.26</w:t>
      </w:r>
    </w:p>
    <w:p w:rsidR="006F279E" w:rsidRDefault="006F279E" w:rsidP="005E4BA8">
      <w:pPr>
        <w:pStyle w:val="NoSpacing"/>
        <w:jc w:val="both"/>
        <w:rPr>
          <w:rFonts w:ascii="Times New Roman"/>
          <w:sz w:val="24"/>
          <w:szCs w:val="24"/>
        </w:rPr>
      </w:pPr>
    </w:p>
    <w:p w:rsidR="005E4BA8" w:rsidRPr="006D176A" w:rsidRDefault="005E4BA8" w:rsidP="005E4BA8">
      <w:pPr>
        <w:pStyle w:val="NoSpacing"/>
        <w:jc w:val="both"/>
        <w:rPr>
          <w:rFonts w:ascii="Times New Roman"/>
          <w:sz w:val="24"/>
          <w:szCs w:val="24"/>
        </w:rPr>
      </w:pPr>
      <w:r>
        <w:rPr>
          <w:rFonts w:ascii="Times New Roman"/>
          <w:sz w:val="24"/>
          <w:szCs w:val="24"/>
        </w:rPr>
        <w:t>Graph 1</w:t>
      </w:r>
      <w:r w:rsidRPr="006D176A">
        <w:rPr>
          <w:rFonts w:ascii="Times New Roman"/>
          <w:sz w:val="24"/>
          <w:szCs w:val="24"/>
        </w:rPr>
        <w:t>: Age distribution of patients studied</w:t>
      </w: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14E6277F" wp14:editId="5C85E497">
            <wp:extent cx="4572000" cy="2743200"/>
            <wp:effectExtent l="0" t="0" r="0" b="0"/>
            <wp:docPr id="152" name="Chart 15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mean age of the studied population is 57.16±12.26. Clustered around the 5th decade.</w:t>
      </w:r>
    </w:p>
    <w:p w:rsidR="00F24ADF" w:rsidRPr="006D176A" w:rsidRDefault="006F279E" w:rsidP="00A721A9">
      <w:pPr>
        <w:pStyle w:val="NoSpacing"/>
        <w:jc w:val="both"/>
        <w:rPr>
          <w:rFonts w:ascii="Times New Roman"/>
          <w:sz w:val="24"/>
          <w:szCs w:val="24"/>
        </w:rPr>
      </w:pPr>
      <w:r>
        <w:rPr>
          <w:rFonts w:ascii="Times New Roman"/>
          <w:sz w:val="24"/>
          <w:szCs w:val="24"/>
        </w:rPr>
        <w:t>Table 3</w:t>
      </w:r>
      <w:r w:rsidR="00F24ADF" w:rsidRPr="006D176A">
        <w:rPr>
          <w:rFonts w:ascii="Times New Roman"/>
          <w:sz w:val="24"/>
          <w:szCs w:val="24"/>
        </w:rPr>
        <w:t>: Gender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tblGrid>
      <w:tr w:rsidR="00F24ADF" w:rsidRPr="006D176A" w:rsidTr="006D176A">
        <w:trPr>
          <w:trHeight w:val="431"/>
          <w:jc w:val="center"/>
        </w:trPr>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Gender</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Female</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46.0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Male</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54.0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100.0</w:t>
            </w:r>
          </w:p>
        </w:tc>
      </w:tr>
    </w:tbl>
    <w:p w:rsidR="006F279E" w:rsidRDefault="006F279E" w:rsidP="00A721A9">
      <w:pPr>
        <w:pStyle w:val="NoSpacing"/>
        <w:jc w:val="both"/>
        <w:rPr>
          <w:rFonts w:ascii="Times New Roman"/>
          <w:sz w:val="24"/>
          <w:szCs w:val="24"/>
        </w:rPr>
      </w:pPr>
    </w:p>
    <w:p w:rsidR="006F279E" w:rsidRDefault="006F279E"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179F4A34" wp14:editId="54EE5C18">
            <wp:extent cx="2771775" cy="2743200"/>
            <wp:effectExtent l="0" t="0" r="28575" b="0"/>
            <wp:docPr id="151" name="Chart 15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279E" w:rsidRDefault="006F279E" w:rsidP="00A721A9">
      <w:pPr>
        <w:pStyle w:val="NoSpacing"/>
        <w:jc w:val="both"/>
        <w:rPr>
          <w:rFonts w:ascii="Times New Roman"/>
          <w:sz w:val="24"/>
          <w:szCs w:val="24"/>
        </w:rPr>
      </w:pPr>
      <w:r>
        <w:rPr>
          <w:rFonts w:ascii="Times New Roman"/>
          <w:sz w:val="24"/>
          <w:szCs w:val="24"/>
        </w:rPr>
        <w:t xml:space="preserve">Graph 2. </w:t>
      </w:r>
      <w:r w:rsidRPr="006D176A">
        <w:rPr>
          <w:rFonts w:ascii="Times New Roman"/>
          <w:sz w:val="24"/>
          <w:szCs w:val="24"/>
        </w:rPr>
        <w:t>Gender distribution of patients studied</w:t>
      </w:r>
    </w:p>
    <w:p w:rsidR="006F279E" w:rsidRDefault="006F279E" w:rsidP="00A721A9">
      <w:pPr>
        <w:pStyle w:val="NoSpacing"/>
        <w:jc w:val="both"/>
        <w:rPr>
          <w:rFonts w:ascii="Times New Roman"/>
          <w:sz w:val="24"/>
          <w:szCs w:val="24"/>
        </w:rPr>
      </w:pPr>
    </w:p>
    <w:p w:rsidR="006F279E" w:rsidRDefault="006F279E" w:rsidP="00A721A9">
      <w:pPr>
        <w:pStyle w:val="NoSpacing"/>
        <w:jc w:val="both"/>
        <w:rPr>
          <w:rFonts w:ascii="Times New Roman"/>
          <w:sz w:val="24"/>
          <w:szCs w:val="24"/>
        </w:rPr>
      </w:pPr>
    </w:p>
    <w:p w:rsidR="00F24ADF" w:rsidRPr="006D176A" w:rsidRDefault="006F279E" w:rsidP="00A721A9">
      <w:pPr>
        <w:pStyle w:val="NoSpacing"/>
        <w:jc w:val="both"/>
        <w:rPr>
          <w:rFonts w:ascii="Times New Roman"/>
          <w:sz w:val="24"/>
          <w:szCs w:val="24"/>
        </w:rPr>
      </w:pPr>
      <w:r>
        <w:rPr>
          <w:rFonts w:ascii="Times New Roman"/>
          <w:sz w:val="24"/>
          <w:szCs w:val="24"/>
        </w:rPr>
        <w:t>Table 4</w:t>
      </w:r>
      <w:r w:rsidR="00F24ADF" w:rsidRPr="006D176A">
        <w:rPr>
          <w:rFonts w:ascii="Times New Roman"/>
          <w:sz w:val="24"/>
          <w:szCs w:val="24"/>
        </w:rPr>
        <w:t>: Co-morbid conditions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gridCol w:w="1588"/>
      </w:tblGrid>
      <w:tr w:rsidR="00F24ADF" w:rsidRPr="006D176A" w:rsidTr="006D176A">
        <w:trPr>
          <w:trHeight w:val="431"/>
          <w:jc w:val="center"/>
        </w:trPr>
        <w:tc>
          <w:tcPr>
            <w:tcW w:w="1588"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Co-morbid conditions</w:t>
            </w:r>
          </w:p>
        </w:tc>
        <w:tc>
          <w:tcPr>
            <w:tcW w:w="3176" w:type="dxa"/>
            <w:gridSpan w:val="2"/>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Gender</w:t>
            </w:r>
          </w:p>
        </w:tc>
        <w:tc>
          <w:tcPr>
            <w:tcW w:w="1588"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r>
      <w:tr w:rsidR="00F24ADF" w:rsidRPr="006D176A" w:rsidTr="006D176A">
        <w:trPr>
          <w:trHeight w:val="431"/>
          <w:jc w:val="center"/>
        </w:trPr>
        <w:tc>
          <w:tcPr>
            <w:tcW w:w="1588"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Female</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(n=46)</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Male</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(n=54)</w:t>
            </w:r>
          </w:p>
        </w:tc>
        <w:tc>
          <w:tcPr>
            <w:tcW w:w="1588"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DM</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40(87%)</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45(83.3%)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85(85%)</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HTN</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32(69.6%)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44(81.5%)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76(76%)</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Dyslipidemia</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31(67.4%)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28(51.9%)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59(59%)</w:t>
            </w:r>
          </w:p>
        </w:tc>
      </w:tr>
    </w:tbl>
    <w:p w:rsidR="00F24ADF" w:rsidRDefault="00F24ADF" w:rsidP="00A721A9">
      <w:pPr>
        <w:pStyle w:val="NoSpacing"/>
        <w:jc w:val="both"/>
        <w:rPr>
          <w:rFonts w:ascii="Times New Roman"/>
          <w:sz w:val="24"/>
          <w:szCs w:val="24"/>
        </w:rPr>
      </w:pPr>
    </w:p>
    <w:p w:rsidR="006F279E" w:rsidRDefault="006F279E" w:rsidP="00A721A9">
      <w:pPr>
        <w:pStyle w:val="NoSpacing"/>
        <w:jc w:val="both"/>
        <w:rPr>
          <w:rFonts w:ascii="Times New Roman"/>
          <w:sz w:val="24"/>
          <w:szCs w:val="24"/>
        </w:rPr>
      </w:pPr>
    </w:p>
    <w:p w:rsidR="006F279E" w:rsidRPr="006D176A" w:rsidRDefault="006F279E" w:rsidP="00A721A9">
      <w:pPr>
        <w:pStyle w:val="NoSpacing"/>
        <w:jc w:val="both"/>
        <w:rPr>
          <w:rFonts w:ascii="Times New Roman"/>
          <w:sz w:val="24"/>
          <w:szCs w:val="24"/>
        </w:rPr>
      </w:pPr>
      <w:r>
        <w:rPr>
          <w:rFonts w:ascii="Times New Roman"/>
          <w:sz w:val="24"/>
          <w:szCs w:val="24"/>
        </w:rPr>
        <w:t xml:space="preserve">Graph 3. </w:t>
      </w:r>
      <w:r w:rsidRPr="006D176A">
        <w:rPr>
          <w:rFonts w:ascii="Times New Roman"/>
          <w:sz w:val="24"/>
          <w:szCs w:val="24"/>
        </w:rPr>
        <w:t>Co-morbid conditions distribution of patients studied</w:t>
      </w: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574FEF31" wp14:editId="309808E9">
            <wp:extent cx="4572000" cy="2743200"/>
            <wp:effectExtent l="0" t="0" r="0" b="0"/>
            <wp:docPr id="150" name="Chart 15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Out of the cases studied 85(85%) were known cases of diabetes  and 15(15%) were non diabetics. 76(76%) patients had hypertension and 59(59%) patients had dyslipidemia.</w:t>
      </w: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F24ADF" w:rsidRPr="006D176A" w:rsidRDefault="006F279E" w:rsidP="00A721A9">
      <w:pPr>
        <w:pStyle w:val="NoSpacing"/>
        <w:jc w:val="both"/>
        <w:rPr>
          <w:rFonts w:ascii="Times New Roman"/>
          <w:sz w:val="24"/>
          <w:szCs w:val="24"/>
        </w:rPr>
      </w:pPr>
      <w:r>
        <w:rPr>
          <w:rFonts w:ascii="Times New Roman"/>
          <w:sz w:val="24"/>
          <w:szCs w:val="24"/>
        </w:rPr>
        <w:t>Table 5</w:t>
      </w:r>
      <w:r w:rsidR="00F24ADF" w:rsidRPr="006D176A">
        <w:rPr>
          <w:rFonts w:ascii="Times New Roman"/>
          <w:sz w:val="24"/>
          <w:szCs w:val="24"/>
        </w:rPr>
        <w:t>: DM Duration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tblGrid>
      <w:tr w:rsidR="00F24ADF" w:rsidRPr="006D176A" w:rsidTr="006D176A">
        <w:trPr>
          <w:trHeight w:val="431"/>
          <w:jc w:val="center"/>
        </w:trPr>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DM Duration</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364"/>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8.0</w:t>
            </w:r>
          </w:p>
        </w:tc>
      </w:tr>
      <w:tr w:rsidR="00F24ADF" w:rsidRPr="006D176A" w:rsidTr="006D176A">
        <w:trPr>
          <w:trHeight w:val="364"/>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20.0</w:t>
            </w:r>
          </w:p>
        </w:tc>
      </w:tr>
      <w:tr w:rsidR="00F24ADF" w:rsidRPr="006D176A" w:rsidTr="006D176A">
        <w:trPr>
          <w:trHeight w:val="364"/>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23.0</w:t>
            </w:r>
          </w:p>
        </w:tc>
      </w:tr>
      <w:tr w:rsidR="00F24ADF" w:rsidRPr="006D176A" w:rsidTr="006D176A">
        <w:trPr>
          <w:trHeight w:val="364"/>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16.0</w:t>
            </w:r>
          </w:p>
        </w:tc>
      </w:tr>
      <w:tr w:rsidR="00F24ADF" w:rsidRPr="006D176A" w:rsidTr="006D176A">
        <w:trPr>
          <w:trHeight w:val="364"/>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12.0</w:t>
            </w:r>
          </w:p>
        </w:tc>
      </w:tr>
      <w:tr w:rsidR="00F24ADF" w:rsidRPr="006D176A" w:rsidTr="006D176A">
        <w:trPr>
          <w:trHeight w:val="364"/>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&gt;20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6.0</w:t>
            </w:r>
          </w:p>
        </w:tc>
      </w:tr>
      <w:tr w:rsidR="00F24ADF" w:rsidRPr="006D176A" w:rsidTr="006D176A">
        <w:trPr>
          <w:trHeight w:val="364"/>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100.0</w:t>
            </w:r>
          </w:p>
        </w:tc>
      </w:tr>
    </w:tbl>
    <w:p w:rsidR="00F24ADF" w:rsidRDefault="00F24ADF" w:rsidP="00A721A9">
      <w:pPr>
        <w:pStyle w:val="NoSpacing"/>
        <w:jc w:val="both"/>
        <w:rPr>
          <w:rFonts w:ascii="Times New Roman"/>
          <w:sz w:val="24"/>
          <w:szCs w:val="24"/>
        </w:rPr>
      </w:pPr>
    </w:p>
    <w:p w:rsidR="006F279E" w:rsidRDefault="006F279E"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6F279E" w:rsidRPr="006D176A" w:rsidRDefault="006F279E" w:rsidP="00A721A9">
      <w:pPr>
        <w:pStyle w:val="NoSpacing"/>
        <w:jc w:val="both"/>
        <w:rPr>
          <w:rFonts w:ascii="Times New Roman"/>
          <w:sz w:val="24"/>
          <w:szCs w:val="24"/>
        </w:rPr>
      </w:pPr>
      <w:r>
        <w:rPr>
          <w:rFonts w:ascii="Times New Roman"/>
          <w:sz w:val="24"/>
          <w:szCs w:val="24"/>
        </w:rPr>
        <w:t xml:space="preserve">Graph 4. </w:t>
      </w:r>
      <w:r w:rsidRPr="006D176A">
        <w:rPr>
          <w:rFonts w:ascii="Times New Roman"/>
          <w:sz w:val="24"/>
          <w:szCs w:val="24"/>
        </w:rPr>
        <w:t>DM Duration distribution of patients studied</w:t>
      </w:r>
    </w:p>
    <w:p w:rsidR="00F24ADF" w:rsidRPr="006D176A" w:rsidRDefault="00F24ADF" w:rsidP="00A721A9">
      <w:pPr>
        <w:pStyle w:val="NoSpacing"/>
        <w:jc w:val="both"/>
        <w:rPr>
          <w:rFonts w:ascii="Times New Roman"/>
          <w:sz w:val="24"/>
          <w:szCs w:val="24"/>
        </w:rPr>
      </w:pPr>
      <w:r w:rsidRPr="006D176A">
        <w:rPr>
          <w:rFonts w:ascii="Times New Roman"/>
          <w:noProof/>
          <w:sz w:val="24"/>
          <w:szCs w:val="24"/>
        </w:rPr>
        <mc:AlternateContent>
          <mc:Choice Requires="wps">
            <w:drawing>
              <wp:anchor distT="0" distB="0" distL="114300" distR="114300" simplePos="0" relativeHeight="251659264" behindDoc="0" locked="0" layoutInCell="1" allowOverlap="1" wp14:anchorId="539AB1E1" wp14:editId="70A6D968">
                <wp:simplePos x="0" y="0"/>
                <wp:positionH relativeFrom="column">
                  <wp:posOffset>1935212</wp:posOffset>
                </wp:positionH>
                <wp:positionV relativeFrom="paragraph">
                  <wp:posOffset>2244090</wp:posOffset>
                </wp:positionV>
                <wp:extent cx="1195705" cy="257810"/>
                <wp:effectExtent l="0" t="0" r="23495" b="2794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257810"/>
                        </a:xfrm>
                        <a:prstGeom prst="rect">
                          <a:avLst/>
                        </a:prstGeom>
                        <a:solidFill>
                          <a:srgbClr val="FFFFFF"/>
                        </a:solidFill>
                        <a:ln w="9525">
                          <a:solidFill>
                            <a:srgbClr val="FFFFFF"/>
                          </a:solidFill>
                          <a:miter lim="800000"/>
                          <a:headEnd/>
                          <a:tailEnd/>
                        </a:ln>
                      </wps:spPr>
                      <wps:txbx>
                        <w:txbxContent>
                          <w:p w:rsidR="00530A7A" w:rsidRPr="00244D5D" w:rsidRDefault="00530A7A" w:rsidP="00F24ADF">
                            <w:pPr>
                              <w:rPr>
                                <w:rFonts w:ascii="Times New Roman"/>
                                <w:b/>
                                <w:sz w:val="20"/>
                              </w:rPr>
                            </w:pPr>
                            <w:r w:rsidRPr="00244D5D">
                              <w:rPr>
                                <w:rFonts w:ascii="Times New Roman"/>
                                <w:b/>
                                <w:sz w:val="20"/>
                              </w:rPr>
                              <w:t>DM Duration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52.4pt;margin-top:176.7pt;width:94.15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" strokecolor="white">
                <v:textbox>
                  <w:txbxContent>
                    <w:p w:rsidR="00530A7A" w:rsidRPr="00244D5D" w:rsidRDefault="00530A7A" w:rsidP="00F24ADF">
                      <w:pPr>
                        <w:rPr>
                          <w:rFonts w:ascii="Times New Roman"/>
                          <w:b/>
                          <w:sz w:val="20"/>
                        </w:rPr>
                      </w:pPr>
                      <w:r w:rsidRPr="00244D5D">
                        <w:rPr>
                          <w:rFonts w:ascii="Times New Roman"/>
                          <w:b/>
                          <w:sz w:val="20"/>
                        </w:rPr>
                        <w:t>DM Duration</w:t>
                      </w:r>
                    </w:p>
                  </w:txbxContent>
                </v:textbox>
              </v:shape>
            </w:pict>
          </mc:Fallback>
        </mc:AlternateContent>
      </w:r>
      <w:r w:rsidRPr="006D176A">
        <w:rPr>
          <w:rFonts w:ascii="Times New Roman"/>
          <w:noProof/>
          <w:sz w:val="24"/>
          <w:szCs w:val="24"/>
        </w:rPr>
        <w:drawing>
          <wp:inline distT="0" distB="0" distL="0" distR="0" wp14:anchorId="4BEF4E5C" wp14:editId="369E08B2">
            <wp:extent cx="4572000" cy="2571115"/>
            <wp:effectExtent l="0" t="0" r="0" b="635"/>
            <wp:docPr id="149" name="Chart 14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279E" w:rsidRDefault="006F279E"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F24ADF" w:rsidRPr="006D176A" w:rsidRDefault="006F279E" w:rsidP="00A721A9">
      <w:pPr>
        <w:pStyle w:val="NoSpacing"/>
        <w:jc w:val="both"/>
        <w:rPr>
          <w:rFonts w:ascii="Times New Roman"/>
          <w:sz w:val="24"/>
          <w:szCs w:val="24"/>
        </w:rPr>
      </w:pPr>
      <w:r>
        <w:rPr>
          <w:rFonts w:ascii="Times New Roman"/>
          <w:sz w:val="24"/>
          <w:szCs w:val="24"/>
        </w:rPr>
        <w:lastRenderedPageBreak/>
        <w:t>Table 6</w:t>
      </w:r>
      <w:r w:rsidR="00F24ADF" w:rsidRPr="006D176A">
        <w:rPr>
          <w:rFonts w:ascii="Times New Roman"/>
          <w:sz w:val="24"/>
          <w:szCs w:val="24"/>
        </w:rPr>
        <w:t>: HTN Duration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tblGrid>
      <w:tr w:rsidR="00F24ADF" w:rsidRPr="006D176A" w:rsidTr="006D176A">
        <w:trPr>
          <w:trHeight w:val="431"/>
          <w:jc w:val="center"/>
        </w:trPr>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HTN Duration</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40.0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26.0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&gt;20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100.0</w:t>
            </w:r>
          </w:p>
        </w:tc>
      </w:tr>
    </w:tbl>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67C0765E" wp14:editId="5D89EEF4">
            <wp:extent cx="4572000" cy="2571115"/>
            <wp:effectExtent l="0" t="0" r="0" b="635"/>
            <wp:docPr id="148" name="Chart 14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F279E" w:rsidRDefault="006F279E" w:rsidP="00A721A9">
      <w:pPr>
        <w:pStyle w:val="NoSpacing"/>
        <w:jc w:val="both"/>
        <w:rPr>
          <w:rFonts w:ascii="Times New Roman"/>
          <w:sz w:val="24"/>
          <w:szCs w:val="24"/>
        </w:rPr>
      </w:pPr>
    </w:p>
    <w:p w:rsidR="006F279E" w:rsidRPr="006D176A" w:rsidRDefault="006F279E" w:rsidP="006F279E">
      <w:pPr>
        <w:pStyle w:val="NoSpacing"/>
        <w:jc w:val="both"/>
        <w:rPr>
          <w:rFonts w:ascii="Times New Roman"/>
          <w:sz w:val="24"/>
          <w:szCs w:val="24"/>
        </w:rPr>
      </w:pPr>
      <w:r>
        <w:rPr>
          <w:rFonts w:ascii="Times New Roman"/>
          <w:sz w:val="24"/>
          <w:szCs w:val="24"/>
        </w:rPr>
        <w:t xml:space="preserve">Graph 5. </w:t>
      </w:r>
      <w:r w:rsidRPr="006D176A">
        <w:rPr>
          <w:rFonts w:ascii="Times New Roman"/>
          <w:sz w:val="24"/>
          <w:szCs w:val="24"/>
        </w:rPr>
        <w:t>HTN Duration distribution of patients studied</w:t>
      </w:r>
    </w:p>
    <w:p w:rsidR="006F279E" w:rsidRDefault="006F279E" w:rsidP="00A721A9">
      <w:pPr>
        <w:pStyle w:val="NoSpacing"/>
        <w:jc w:val="both"/>
        <w:rPr>
          <w:rFonts w:ascii="Times New Roman"/>
          <w:sz w:val="24"/>
          <w:szCs w:val="24"/>
        </w:rPr>
      </w:pPr>
    </w:p>
    <w:p w:rsidR="006F279E" w:rsidRDefault="006F279E" w:rsidP="00A721A9">
      <w:pPr>
        <w:pStyle w:val="NoSpacing"/>
        <w:jc w:val="both"/>
        <w:rPr>
          <w:rFonts w:ascii="Times New Roman"/>
          <w:sz w:val="24"/>
          <w:szCs w:val="24"/>
        </w:rPr>
      </w:pPr>
    </w:p>
    <w:p w:rsidR="00F24ADF" w:rsidRPr="006D176A" w:rsidRDefault="006F279E" w:rsidP="00A721A9">
      <w:pPr>
        <w:pStyle w:val="NoSpacing"/>
        <w:jc w:val="both"/>
        <w:rPr>
          <w:rFonts w:ascii="Times New Roman"/>
          <w:sz w:val="24"/>
          <w:szCs w:val="24"/>
        </w:rPr>
      </w:pPr>
      <w:r>
        <w:rPr>
          <w:rFonts w:ascii="Times New Roman"/>
          <w:sz w:val="24"/>
          <w:szCs w:val="24"/>
        </w:rPr>
        <w:t>Table 7</w:t>
      </w:r>
      <w:r w:rsidR="00F24ADF" w:rsidRPr="006D176A">
        <w:rPr>
          <w:rFonts w:ascii="Times New Roman"/>
          <w:sz w:val="24"/>
          <w:szCs w:val="24"/>
        </w:rPr>
        <w:t>: Dyslipidemia duration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tblGrid>
      <w:tr w:rsidR="00F24ADF" w:rsidRPr="006D176A" w:rsidTr="006D176A">
        <w:trPr>
          <w:trHeight w:val="431"/>
          <w:jc w:val="center"/>
        </w:trPr>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Dyslipidemia duration</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33.0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&gt;20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100.0</w:t>
            </w:r>
          </w:p>
        </w:tc>
      </w:tr>
    </w:tbl>
    <w:p w:rsidR="00F24ADF" w:rsidRDefault="00F24ADF" w:rsidP="00A721A9">
      <w:pPr>
        <w:pStyle w:val="NoSpacing"/>
        <w:jc w:val="both"/>
        <w:rPr>
          <w:rFonts w:ascii="Times New Roman"/>
          <w:sz w:val="24"/>
          <w:szCs w:val="24"/>
        </w:rPr>
      </w:pPr>
    </w:p>
    <w:p w:rsidR="00AC177E" w:rsidRDefault="00AC177E"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6F279E" w:rsidRDefault="006F279E" w:rsidP="00A721A9">
      <w:pPr>
        <w:pStyle w:val="NoSpacing"/>
        <w:jc w:val="both"/>
        <w:rPr>
          <w:rFonts w:ascii="Times New Roman"/>
          <w:sz w:val="24"/>
          <w:szCs w:val="24"/>
        </w:rPr>
      </w:pPr>
      <w:r>
        <w:rPr>
          <w:rFonts w:ascii="Times New Roman"/>
          <w:sz w:val="24"/>
          <w:szCs w:val="24"/>
        </w:rPr>
        <w:lastRenderedPageBreak/>
        <w:t xml:space="preserve">Graph 6. </w:t>
      </w:r>
      <w:r w:rsidRPr="006D176A">
        <w:rPr>
          <w:rFonts w:ascii="Times New Roman"/>
          <w:sz w:val="24"/>
          <w:szCs w:val="24"/>
        </w:rPr>
        <w:t>Dyslipidemia duration distribution of patients studied</w:t>
      </w:r>
    </w:p>
    <w:p w:rsidR="00BB589B" w:rsidRPr="006D176A" w:rsidRDefault="00BB589B" w:rsidP="00A721A9">
      <w:pPr>
        <w:pStyle w:val="NoSpacing"/>
        <w:jc w:val="both"/>
        <w:rPr>
          <w:rFonts w:ascii="Times New Roman"/>
          <w:sz w:val="24"/>
          <w:szCs w:val="24"/>
        </w:rPr>
      </w:pPr>
      <w:r w:rsidRPr="006D176A">
        <w:rPr>
          <w:rFonts w:ascii="Times New Roman"/>
          <w:noProof/>
          <w:sz w:val="24"/>
          <w:szCs w:val="24"/>
        </w:rPr>
        <w:drawing>
          <wp:inline distT="0" distB="0" distL="0" distR="0" wp14:anchorId="4C2CD90C" wp14:editId="6F8F72E1">
            <wp:extent cx="4572000" cy="2571115"/>
            <wp:effectExtent l="0" t="0" r="0" b="635"/>
            <wp:docPr id="147" name="Chart 14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24ADF" w:rsidRPr="006D176A" w:rsidRDefault="00F24ADF"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sz w:val="24"/>
          <w:szCs w:val="24"/>
        </w:rPr>
        <w:t xml:space="preserve">Table </w:t>
      </w:r>
      <w:r w:rsidR="00F01E6B">
        <w:rPr>
          <w:rFonts w:ascii="Times New Roman"/>
          <w:sz w:val="24"/>
          <w:szCs w:val="24"/>
        </w:rPr>
        <w:t>8</w:t>
      </w:r>
      <w:r w:rsidRPr="006D176A">
        <w:rPr>
          <w:rFonts w:ascii="Times New Roman"/>
          <w:sz w:val="24"/>
          <w:szCs w:val="24"/>
        </w:rPr>
        <w:t>: Waist circumference and BMI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2"/>
        <w:gridCol w:w="1588"/>
        <w:gridCol w:w="1588"/>
        <w:gridCol w:w="1588"/>
      </w:tblGrid>
      <w:tr w:rsidR="00F24ADF" w:rsidRPr="006D176A" w:rsidTr="006D176A">
        <w:trPr>
          <w:trHeight w:val="431"/>
          <w:jc w:val="center"/>
        </w:trPr>
        <w:tc>
          <w:tcPr>
            <w:tcW w:w="1806"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WC/BMI</w:t>
            </w:r>
          </w:p>
        </w:tc>
        <w:tc>
          <w:tcPr>
            <w:tcW w:w="3176" w:type="dxa"/>
            <w:gridSpan w:val="2"/>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Gender</w:t>
            </w:r>
          </w:p>
        </w:tc>
        <w:tc>
          <w:tcPr>
            <w:tcW w:w="1588"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r>
      <w:tr w:rsidR="00F24ADF" w:rsidRPr="006D176A" w:rsidTr="006D176A">
        <w:trPr>
          <w:trHeight w:val="431"/>
          <w:jc w:val="center"/>
        </w:trPr>
        <w:tc>
          <w:tcPr>
            <w:tcW w:w="1806"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Female</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(n=46)</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Male</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(n=54)</w:t>
            </w:r>
          </w:p>
        </w:tc>
        <w:tc>
          <w:tcPr>
            <w:tcW w:w="1588"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WC</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80-90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16(34.8%)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16(16%)</w:t>
            </w: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90-110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28(60.9%)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50(92.6%)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78(78%)</w:t>
            </w: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4(7.4%)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6(6%)</w:t>
            </w: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BMI (kg/m</w:t>
            </w:r>
            <w:r w:rsidRPr="006D176A">
              <w:rPr>
                <w:rFonts w:ascii="Times New Roman"/>
                <w:sz w:val="24"/>
                <w:szCs w:val="24"/>
                <w:vertAlign w:val="superscript"/>
              </w:rPr>
              <w:t>2</w:t>
            </w:r>
            <w:r w:rsidRPr="006D176A">
              <w:rPr>
                <w:rFonts w:ascii="Times New Roman"/>
                <w:sz w:val="24"/>
                <w:szCs w:val="24"/>
              </w:rPr>
              <w:t>)</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&lt;18.5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18.5-25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w:t>
            </w: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25-30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7(15.2%)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33(61.1%)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40(40%)</w:t>
            </w:r>
          </w:p>
        </w:tc>
      </w:tr>
      <w:tr w:rsidR="00F24ADF" w:rsidRPr="006D176A" w:rsidTr="006D176A">
        <w:trPr>
          <w:trHeight w:val="431"/>
          <w:jc w:val="center"/>
        </w:trPr>
        <w:tc>
          <w:tcPr>
            <w:tcW w:w="1806"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&gt;30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39(84.8%)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20(37%)</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59(59%)</w:t>
            </w:r>
          </w:p>
        </w:tc>
      </w:tr>
    </w:tbl>
    <w:p w:rsidR="00F24ADF" w:rsidRDefault="00F24ADF" w:rsidP="00A721A9">
      <w:pPr>
        <w:pStyle w:val="NoSpacing"/>
        <w:jc w:val="both"/>
        <w:rPr>
          <w:rFonts w:ascii="Times New Roman"/>
          <w:sz w:val="24"/>
          <w:szCs w:val="24"/>
        </w:rPr>
      </w:pPr>
    </w:p>
    <w:p w:rsidR="00F01E6B" w:rsidRDefault="00F01E6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F01E6B" w:rsidRPr="006D176A" w:rsidRDefault="00F01E6B" w:rsidP="00A721A9">
      <w:pPr>
        <w:pStyle w:val="NoSpacing"/>
        <w:jc w:val="both"/>
        <w:rPr>
          <w:rFonts w:ascii="Times New Roman"/>
          <w:sz w:val="24"/>
          <w:szCs w:val="24"/>
        </w:rPr>
      </w:pPr>
      <w:r>
        <w:rPr>
          <w:rFonts w:ascii="Times New Roman"/>
          <w:sz w:val="24"/>
          <w:szCs w:val="24"/>
        </w:rPr>
        <w:lastRenderedPageBreak/>
        <w:t xml:space="preserve">Graph 7. </w:t>
      </w:r>
      <w:r w:rsidRPr="006D176A">
        <w:rPr>
          <w:rFonts w:ascii="Times New Roman"/>
          <w:sz w:val="24"/>
          <w:szCs w:val="24"/>
        </w:rPr>
        <w:t>Waist circumference distribution of patients studied</w:t>
      </w:r>
    </w:p>
    <w:p w:rsidR="00F24ADF" w:rsidRPr="006D176A" w:rsidRDefault="00F24ADF" w:rsidP="00A721A9">
      <w:pPr>
        <w:spacing w:line="600" w:lineRule="auto"/>
        <w:jc w:val="both"/>
        <w:rPr>
          <w:rFonts w:ascii="Times New Roman" w:hAnsi="Times New Roman" w:cs="Times New Roman"/>
          <w:noProof/>
          <w:sz w:val="24"/>
          <w:szCs w:val="24"/>
          <w:lang w:val="en-US"/>
        </w:rPr>
      </w:pPr>
      <w:r w:rsidRPr="006D176A">
        <w:rPr>
          <w:rFonts w:ascii="Times New Roman" w:hAnsi="Times New Roman" w:cs="Times New Roman"/>
          <w:noProof/>
          <w:sz w:val="24"/>
          <w:szCs w:val="24"/>
          <w:lang w:eastAsia="en-IN"/>
        </w:rPr>
        <w:drawing>
          <wp:inline distT="0" distB="0" distL="0" distR="0" wp14:anchorId="217CC2C3" wp14:editId="4A486F9B">
            <wp:extent cx="4572000" cy="2743200"/>
            <wp:effectExtent l="0" t="0" r="0" b="0"/>
            <wp:docPr id="146" name="Chart 14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50 males (92.6%) had waist circumference in the range of 90 – 110 cm and 4 males(7.4%) had waist circumference more than 110cm.Among females, 16(34.8%) patients had waist circumference in the range of 80-90cm, 28(60.9%) patients had in the range of 90 – 110 and 2(4.3%) patients were having waist circumference more than 110cms.</w:t>
      </w:r>
    </w:p>
    <w:p w:rsidR="00F24ADF" w:rsidRDefault="00F24ADF" w:rsidP="00A721A9">
      <w:pPr>
        <w:pStyle w:val="NoSpacing"/>
        <w:jc w:val="both"/>
        <w:rPr>
          <w:rFonts w:ascii="Times New Roman"/>
          <w:noProof/>
          <w:sz w:val="24"/>
          <w:szCs w:val="24"/>
          <w:lang w:val="en-US" w:eastAsia="en-US"/>
        </w:rPr>
      </w:pPr>
    </w:p>
    <w:p w:rsidR="00F01E6B" w:rsidRPr="006D176A" w:rsidRDefault="00F01E6B" w:rsidP="00A721A9">
      <w:pPr>
        <w:pStyle w:val="NoSpacing"/>
        <w:jc w:val="both"/>
        <w:rPr>
          <w:rFonts w:ascii="Times New Roman"/>
          <w:noProof/>
          <w:sz w:val="24"/>
          <w:szCs w:val="24"/>
          <w:lang w:val="en-US" w:eastAsia="en-US"/>
        </w:rPr>
      </w:pPr>
      <w:r>
        <w:rPr>
          <w:rFonts w:ascii="Times New Roman"/>
          <w:sz w:val="24"/>
          <w:szCs w:val="24"/>
        </w:rPr>
        <w:t xml:space="preserve">Graph 8. </w:t>
      </w:r>
      <w:r w:rsidRPr="006D176A">
        <w:rPr>
          <w:rFonts w:ascii="Times New Roman"/>
          <w:sz w:val="24"/>
          <w:szCs w:val="24"/>
        </w:rPr>
        <w:t>BMI distribution of patients studied</w:t>
      </w:r>
    </w:p>
    <w:p w:rsidR="00F24ADF" w:rsidRPr="006D176A" w:rsidRDefault="00F24ADF" w:rsidP="00A721A9">
      <w:pPr>
        <w:pStyle w:val="NoSpacing"/>
        <w:jc w:val="both"/>
        <w:rPr>
          <w:rFonts w:ascii="Times New Roman"/>
          <w:sz w:val="24"/>
          <w:szCs w:val="24"/>
        </w:rPr>
      </w:pP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57EE730F" wp14:editId="71C0F9E9">
            <wp:extent cx="4572000" cy="2743200"/>
            <wp:effectExtent l="0" t="0" r="0" b="0"/>
            <wp:docPr id="145" name="Chart 14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24ADF" w:rsidRPr="006D176A" w:rsidRDefault="00F24ADF" w:rsidP="00A721A9">
      <w:pPr>
        <w:spacing w:line="600" w:lineRule="auto"/>
        <w:jc w:val="both"/>
        <w:rPr>
          <w:rFonts w:ascii="Times New Roman" w:hAnsi="Times New Roman" w:cs="Times New Roman"/>
          <w:sz w:val="24"/>
          <w:szCs w:val="24"/>
          <w:vertAlign w:val="superscript"/>
        </w:rPr>
      </w:pPr>
      <w:r w:rsidRPr="006D176A">
        <w:rPr>
          <w:rFonts w:ascii="Times New Roman" w:hAnsi="Times New Roman" w:cs="Times New Roman"/>
          <w:sz w:val="24"/>
          <w:szCs w:val="24"/>
        </w:rPr>
        <w:lastRenderedPageBreak/>
        <w:t>20(37%) male patients had BMI &gt; 30Kg/m</w:t>
      </w:r>
      <w:r w:rsidRPr="006D176A">
        <w:rPr>
          <w:rFonts w:ascii="Times New Roman" w:hAnsi="Times New Roman" w:cs="Times New Roman"/>
          <w:sz w:val="24"/>
          <w:szCs w:val="24"/>
          <w:vertAlign w:val="superscript"/>
        </w:rPr>
        <w:t xml:space="preserve">2  </w:t>
      </w:r>
      <w:r w:rsidRPr="006D176A">
        <w:rPr>
          <w:rFonts w:ascii="Times New Roman" w:hAnsi="Times New Roman" w:cs="Times New Roman"/>
          <w:sz w:val="24"/>
          <w:szCs w:val="24"/>
        </w:rPr>
        <w:t>while, 39(84.8%) female patients had BMI &gt; 30Kg/m</w:t>
      </w:r>
      <w:r w:rsidRPr="006D176A">
        <w:rPr>
          <w:rFonts w:ascii="Times New Roman" w:hAnsi="Times New Roman" w:cs="Times New Roman"/>
          <w:sz w:val="24"/>
          <w:szCs w:val="24"/>
          <w:vertAlign w:val="superscript"/>
        </w:rPr>
        <w:t>2</w:t>
      </w:r>
    </w:p>
    <w:p w:rsidR="00F24ADF" w:rsidRPr="006D176A" w:rsidRDefault="00F24ADF" w:rsidP="00A721A9">
      <w:pPr>
        <w:pStyle w:val="NoSpacing"/>
        <w:jc w:val="both"/>
        <w:rPr>
          <w:rFonts w:ascii="Times New Roman"/>
          <w:sz w:val="24"/>
          <w:szCs w:val="24"/>
        </w:rPr>
      </w:pPr>
    </w:p>
    <w:p w:rsidR="00F24ADF" w:rsidRPr="006D176A" w:rsidRDefault="00F01E6B" w:rsidP="00A721A9">
      <w:pPr>
        <w:pStyle w:val="NoSpacing"/>
        <w:jc w:val="both"/>
        <w:rPr>
          <w:rFonts w:ascii="Times New Roman"/>
          <w:sz w:val="24"/>
          <w:szCs w:val="24"/>
        </w:rPr>
      </w:pPr>
      <w:r>
        <w:rPr>
          <w:rFonts w:ascii="Times New Roman"/>
          <w:sz w:val="24"/>
          <w:szCs w:val="24"/>
        </w:rPr>
        <w:t>Table 9</w:t>
      </w:r>
      <w:r w:rsidR="00F24ADF" w:rsidRPr="006D176A">
        <w:rPr>
          <w:rFonts w:ascii="Times New Roman"/>
          <w:sz w:val="24"/>
          <w:szCs w:val="24"/>
        </w:rPr>
        <w:t>: Vital parameters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1588"/>
        <w:gridCol w:w="1588"/>
      </w:tblGrid>
      <w:tr w:rsidR="00F24ADF" w:rsidRPr="006D176A" w:rsidTr="006D176A">
        <w:trPr>
          <w:trHeight w:val="431"/>
          <w:jc w:val="center"/>
        </w:trPr>
        <w:tc>
          <w:tcPr>
            <w:tcW w:w="178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Vitals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Pulse rate (bpm)</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&lt;70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70-90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85.0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&gt;90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SBP (mm Hg)</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&lt;120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120-140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30.0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&gt;140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70.0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DBP (mg/dl)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&lt;80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80-100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86.0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3.0</w:t>
            </w:r>
          </w:p>
        </w:tc>
      </w:tr>
    </w:tbl>
    <w:p w:rsidR="00F01E6B" w:rsidRDefault="00F01E6B" w:rsidP="00A721A9">
      <w:pPr>
        <w:pStyle w:val="NoSpacing"/>
        <w:jc w:val="both"/>
        <w:rPr>
          <w:rFonts w:ascii="Times New Roman"/>
          <w:noProof/>
          <w:sz w:val="24"/>
          <w:szCs w:val="24"/>
          <w:lang w:val="en-US" w:eastAsia="en-US"/>
        </w:rPr>
      </w:pPr>
    </w:p>
    <w:p w:rsidR="00F24ADF" w:rsidRPr="006D176A" w:rsidRDefault="00732465" w:rsidP="00732465">
      <w:pPr>
        <w:pStyle w:val="NoSpacing"/>
        <w:rPr>
          <w:rFonts w:ascii="Times New Roman"/>
          <w:sz w:val="24"/>
          <w:szCs w:val="24"/>
        </w:rPr>
      </w:pPr>
      <w:r>
        <w:rPr>
          <w:rFonts w:ascii="Times New Roman"/>
          <w:sz w:val="24"/>
          <w:szCs w:val="24"/>
        </w:rPr>
        <w:t xml:space="preserve">Graph 9. Vital </w:t>
      </w:r>
      <w:r w:rsidRPr="006D176A">
        <w:rPr>
          <w:rFonts w:ascii="Times New Roman"/>
          <w:sz w:val="24"/>
          <w:szCs w:val="24"/>
        </w:rPr>
        <w:t>parameters distribution of patients studied</w:t>
      </w:r>
      <w:r>
        <w:rPr>
          <w:rFonts w:ascii="Times New Roman"/>
          <w:sz w:val="24"/>
          <w:szCs w:val="24"/>
        </w:rPr>
        <w:t>.</w:t>
      </w:r>
      <w:r w:rsidRPr="006D176A">
        <w:rPr>
          <w:rFonts w:ascii="Times New Roman"/>
          <w:noProof/>
          <w:sz w:val="24"/>
          <w:szCs w:val="24"/>
        </w:rPr>
        <w:t xml:space="preserve"> </w:t>
      </w:r>
      <w:r w:rsidR="00F24ADF" w:rsidRPr="006D176A">
        <w:rPr>
          <w:rFonts w:ascii="Times New Roman"/>
          <w:noProof/>
          <w:sz w:val="24"/>
          <w:szCs w:val="24"/>
        </w:rPr>
        <w:drawing>
          <wp:inline distT="0" distB="0" distL="0" distR="0" wp14:anchorId="73659D22" wp14:editId="1C4A1F29">
            <wp:extent cx="4572000" cy="2743200"/>
            <wp:effectExtent l="0" t="0" r="0" b="0"/>
            <wp:docPr id="144" name="Chart 14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F24ADF" w:rsidRPr="006D176A">
        <w:rPr>
          <w:rFonts w:ascii="Times New Roman"/>
          <w:noProof/>
          <w:sz w:val="24"/>
          <w:szCs w:val="24"/>
          <w:lang w:val="en-US" w:eastAsia="en-US"/>
        </w:rPr>
        <w:t xml:space="preserve"> </w:t>
      </w:r>
      <w:r w:rsidR="00F24ADF" w:rsidRPr="006D176A">
        <w:rPr>
          <w:rFonts w:ascii="Times New Roman"/>
          <w:noProof/>
          <w:sz w:val="24"/>
          <w:szCs w:val="24"/>
        </w:rPr>
        <w:lastRenderedPageBreak/>
        <w:drawing>
          <wp:inline distT="0" distB="0" distL="0" distR="0" wp14:anchorId="7B1C9263" wp14:editId="1228E950">
            <wp:extent cx="4572000" cy="2743200"/>
            <wp:effectExtent l="0" t="0" r="0" b="0"/>
            <wp:docPr id="143" name="Chart 14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F24ADF" w:rsidRPr="006D176A">
        <w:rPr>
          <w:rFonts w:ascii="Times New Roman"/>
          <w:noProof/>
          <w:sz w:val="24"/>
          <w:szCs w:val="24"/>
          <w:lang w:val="en-US" w:eastAsia="en-US"/>
        </w:rPr>
        <w:t xml:space="preserve"> </w:t>
      </w:r>
      <w:r w:rsidR="00F24ADF" w:rsidRPr="006D176A">
        <w:rPr>
          <w:rFonts w:ascii="Times New Roman"/>
          <w:noProof/>
          <w:sz w:val="24"/>
          <w:szCs w:val="24"/>
        </w:rPr>
        <w:drawing>
          <wp:inline distT="0" distB="0" distL="0" distR="0" wp14:anchorId="468B5397" wp14:editId="6A12A42A">
            <wp:extent cx="4572000" cy="2743200"/>
            <wp:effectExtent l="0" t="0" r="0" b="0"/>
            <wp:docPr id="142" name="Chart 14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70(70%) patients had SBP &gt;140mmHg and 86(86%) patients had DBP in the range 80-100mmHg</w:t>
      </w:r>
    </w:p>
    <w:p w:rsidR="00F24ADF" w:rsidRPr="006D176A" w:rsidRDefault="00732465" w:rsidP="00A721A9">
      <w:pPr>
        <w:pStyle w:val="NoSpacing"/>
        <w:jc w:val="both"/>
        <w:rPr>
          <w:rFonts w:ascii="Times New Roman"/>
          <w:sz w:val="24"/>
          <w:szCs w:val="24"/>
        </w:rPr>
      </w:pPr>
      <w:r>
        <w:rPr>
          <w:rFonts w:ascii="Times New Roman"/>
          <w:sz w:val="24"/>
          <w:szCs w:val="24"/>
        </w:rPr>
        <w:t>Table 10</w:t>
      </w:r>
      <w:r w:rsidR="00F24ADF" w:rsidRPr="006D176A">
        <w:rPr>
          <w:rFonts w:ascii="Times New Roman"/>
          <w:sz w:val="24"/>
          <w:szCs w:val="24"/>
        </w:rPr>
        <w:t>: FBS (mg/dl)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tblGrid>
      <w:tr w:rsidR="00F24ADF" w:rsidRPr="006D176A" w:rsidTr="006D176A">
        <w:trPr>
          <w:trHeight w:val="431"/>
          <w:jc w:val="center"/>
        </w:trPr>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FBS (mg/dl)</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100-126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&gt;126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84.0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100.0</w:t>
            </w:r>
          </w:p>
        </w:tc>
      </w:tr>
    </w:tbl>
    <w:p w:rsidR="00F24ADF" w:rsidRDefault="00F24ADF"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732465" w:rsidRPr="006D176A" w:rsidRDefault="00732465" w:rsidP="00A721A9">
      <w:pPr>
        <w:pStyle w:val="NoSpacing"/>
        <w:jc w:val="both"/>
        <w:rPr>
          <w:rFonts w:ascii="Times New Roman"/>
          <w:sz w:val="24"/>
          <w:szCs w:val="24"/>
        </w:rPr>
      </w:pPr>
      <w:r>
        <w:rPr>
          <w:rFonts w:ascii="Times New Roman"/>
          <w:sz w:val="24"/>
          <w:szCs w:val="24"/>
        </w:rPr>
        <w:lastRenderedPageBreak/>
        <w:t xml:space="preserve">Graph 10. </w:t>
      </w:r>
      <w:r w:rsidRPr="006D176A">
        <w:rPr>
          <w:rFonts w:ascii="Times New Roman"/>
          <w:sz w:val="24"/>
          <w:szCs w:val="24"/>
        </w:rPr>
        <w:t>FBS (mg/dl) distribution of patients studied</w:t>
      </w: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6830D711" wp14:editId="34B79206">
            <wp:extent cx="4572000" cy="2743200"/>
            <wp:effectExtent l="0" t="0" r="0" b="0"/>
            <wp:docPr id="141" name="Chart 14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84 patients had fasting blood sugar &gt;126mg/dl and 9 patients had FBS in the range of 100-126</w:t>
      </w:r>
    </w:p>
    <w:p w:rsidR="00F24ADF" w:rsidRPr="006D176A" w:rsidRDefault="00732465" w:rsidP="00A721A9">
      <w:pPr>
        <w:pStyle w:val="NoSpacing"/>
        <w:jc w:val="both"/>
        <w:rPr>
          <w:rFonts w:ascii="Times New Roman"/>
          <w:sz w:val="24"/>
          <w:szCs w:val="24"/>
        </w:rPr>
      </w:pPr>
      <w:r>
        <w:rPr>
          <w:rFonts w:ascii="Times New Roman"/>
          <w:sz w:val="24"/>
          <w:szCs w:val="24"/>
        </w:rPr>
        <w:t>Table 11</w:t>
      </w:r>
      <w:r w:rsidR="00F24ADF" w:rsidRPr="006D176A">
        <w:rPr>
          <w:rFonts w:ascii="Times New Roman"/>
          <w:sz w:val="24"/>
          <w:szCs w:val="24"/>
        </w:rPr>
        <w:t>: Creatinine levels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8"/>
        <w:gridCol w:w="1588"/>
        <w:gridCol w:w="1588"/>
      </w:tblGrid>
      <w:tr w:rsidR="00F24ADF" w:rsidRPr="006D176A" w:rsidTr="006D176A">
        <w:trPr>
          <w:trHeight w:val="431"/>
          <w:jc w:val="center"/>
        </w:trPr>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Creatinine (mg/dl)</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&lt;1.1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75.0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&gt;1.1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25.0</w:t>
            </w:r>
          </w:p>
        </w:tc>
      </w:tr>
      <w:tr w:rsidR="00F24ADF" w:rsidRPr="006D176A" w:rsidTr="006D176A">
        <w:trPr>
          <w:trHeight w:val="431"/>
          <w:jc w:val="center"/>
        </w:trPr>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100.0</w:t>
            </w:r>
          </w:p>
        </w:tc>
      </w:tr>
    </w:tbl>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0169CAC6" wp14:editId="5294B232">
            <wp:extent cx="4572000" cy="2743200"/>
            <wp:effectExtent l="0" t="0" r="0" b="0"/>
            <wp:docPr id="140" name="Chart 14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24ADF" w:rsidRPr="006D176A" w:rsidRDefault="00F24ADF" w:rsidP="00A721A9">
      <w:pPr>
        <w:pStyle w:val="NoSpacing"/>
        <w:jc w:val="both"/>
        <w:rPr>
          <w:rFonts w:ascii="Times New Roman"/>
          <w:sz w:val="24"/>
          <w:szCs w:val="24"/>
        </w:rPr>
      </w:pPr>
    </w:p>
    <w:p w:rsidR="00732465" w:rsidRDefault="00732465" w:rsidP="00A721A9">
      <w:pPr>
        <w:pStyle w:val="NoSpacing"/>
        <w:jc w:val="both"/>
        <w:rPr>
          <w:rFonts w:ascii="Times New Roman"/>
          <w:sz w:val="24"/>
          <w:szCs w:val="24"/>
        </w:rPr>
      </w:pPr>
      <w:r>
        <w:rPr>
          <w:rFonts w:ascii="Times New Roman"/>
          <w:sz w:val="24"/>
          <w:szCs w:val="24"/>
        </w:rPr>
        <w:t xml:space="preserve">Graph 11. </w:t>
      </w:r>
      <w:r w:rsidRPr="006D176A">
        <w:rPr>
          <w:rFonts w:ascii="Times New Roman"/>
          <w:sz w:val="24"/>
          <w:szCs w:val="24"/>
        </w:rPr>
        <w:t>Creatinine levels distribution of patients studied</w:t>
      </w:r>
    </w:p>
    <w:p w:rsidR="00732465" w:rsidRDefault="00732465"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sz w:val="24"/>
          <w:szCs w:val="24"/>
        </w:rPr>
        <w:t>Ta</w:t>
      </w:r>
      <w:r w:rsidR="00732465">
        <w:rPr>
          <w:rFonts w:ascii="Times New Roman"/>
          <w:sz w:val="24"/>
          <w:szCs w:val="24"/>
        </w:rPr>
        <w:t>ble 12</w:t>
      </w:r>
      <w:r w:rsidRPr="006D176A">
        <w:rPr>
          <w:rFonts w:ascii="Times New Roman"/>
          <w:sz w:val="24"/>
          <w:szCs w:val="24"/>
        </w:rPr>
        <w:t>: Lipids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1588"/>
        <w:gridCol w:w="1588"/>
      </w:tblGrid>
      <w:tr w:rsidR="00F24ADF" w:rsidRPr="006D176A" w:rsidTr="006D176A">
        <w:trPr>
          <w:trHeight w:val="431"/>
          <w:jc w:val="center"/>
        </w:trPr>
        <w:tc>
          <w:tcPr>
            <w:tcW w:w="178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Lipids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 Cholesterol (mg/dl)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&lt;200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34.0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200-280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44.0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&gt;280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22.0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LDL (mg/dl)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&lt;70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70-190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86.0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&gt;190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HDL (mg/dl)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&lt;35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35-60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37</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37.0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&gt;60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VLDL (mg/dl)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&lt;35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41.0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35-60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52.0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&gt;60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TGL (mg/dl)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&lt;150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25.0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150-500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73.0</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&gt;500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w:t>
            </w:r>
          </w:p>
        </w:tc>
      </w:tr>
    </w:tbl>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BB589B" w:rsidRDefault="00BB589B" w:rsidP="00732465">
      <w:pPr>
        <w:pStyle w:val="NoSpacing"/>
        <w:jc w:val="both"/>
        <w:rPr>
          <w:rFonts w:ascii="Times New Roman"/>
          <w:sz w:val="24"/>
          <w:szCs w:val="24"/>
        </w:rPr>
      </w:pPr>
    </w:p>
    <w:p w:rsidR="00732465" w:rsidRPr="006D176A" w:rsidRDefault="00732465" w:rsidP="00732465">
      <w:pPr>
        <w:pStyle w:val="NoSpacing"/>
        <w:jc w:val="both"/>
        <w:rPr>
          <w:rFonts w:ascii="Times New Roman"/>
          <w:sz w:val="24"/>
          <w:szCs w:val="24"/>
        </w:rPr>
      </w:pPr>
      <w:r>
        <w:rPr>
          <w:rFonts w:ascii="Times New Roman"/>
          <w:sz w:val="24"/>
          <w:szCs w:val="24"/>
        </w:rPr>
        <w:lastRenderedPageBreak/>
        <w:t xml:space="preserve">Graph 12. </w:t>
      </w:r>
      <w:r w:rsidRPr="006D176A">
        <w:rPr>
          <w:rFonts w:ascii="Times New Roman"/>
          <w:sz w:val="24"/>
          <w:szCs w:val="24"/>
        </w:rPr>
        <w:t>Lipids distribution of patients studied</w:t>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2D84FEB5" wp14:editId="622C4330">
            <wp:extent cx="4572000" cy="2743200"/>
            <wp:effectExtent l="0" t="0" r="0" b="0"/>
            <wp:docPr id="139" name="Chart 13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571A75AF" wp14:editId="2D218DF9">
            <wp:extent cx="4572000" cy="2743200"/>
            <wp:effectExtent l="0" t="0" r="0" b="0"/>
            <wp:docPr id="138" name="Chart 13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lastRenderedPageBreak/>
        <w:drawing>
          <wp:inline distT="0" distB="0" distL="0" distR="0" wp14:anchorId="7B50434C" wp14:editId="5132C381">
            <wp:extent cx="4572000" cy="2743200"/>
            <wp:effectExtent l="0" t="0" r="0" b="0"/>
            <wp:docPr id="137" name="Chart 13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2383004F" wp14:editId="73AFA55F">
            <wp:extent cx="4572000" cy="2743200"/>
            <wp:effectExtent l="0" t="0" r="0" b="0"/>
            <wp:docPr id="136" name="Chart 13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34682313" wp14:editId="1A166998">
            <wp:extent cx="4572000" cy="2743200"/>
            <wp:effectExtent l="0" t="0" r="0" b="0"/>
            <wp:docPr id="135" name="Chart 13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22(22%) patients had total cholesterol &gt;280mg/dl ; 44(44%) patients were having in the range of      200 – 280 and 34(34%) patients had &lt;200</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86(86%) patients had LDL in the range of 70 – 190 and 6 patients had LDL &gt;190 mg/dl</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61(61%) patients had HDL &lt;35mg/dl</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73(73%)  patients had TGL in the range of 150 – 500 mg/dl and 2(2%)  patients had &gt;TGL500 mg/dl.</w:t>
      </w:r>
    </w:p>
    <w:p w:rsidR="00F24ADF" w:rsidRPr="006D176A" w:rsidRDefault="00F24ADF" w:rsidP="00A721A9">
      <w:pPr>
        <w:pStyle w:val="NoSpacing"/>
        <w:jc w:val="both"/>
        <w:rPr>
          <w:rFonts w:ascii="Times New Roman"/>
          <w:sz w:val="24"/>
          <w:szCs w:val="24"/>
        </w:rPr>
      </w:pPr>
    </w:p>
    <w:p w:rsidR="00F24ADF" w:rsidRPr="006D176A" w:rsidRDefault="00732465" w:rsidP="00A721A9">
      <w:pPr>
        <w:pStyle w:val="NoSpacing"/>
        <w:jc w:val="both"/>
        <w:rPr>
          <w:rFonts w:ascii="Times New Roman"/>
          <w:sz w:val="24"/>
          <w:szCs w:val="24"/>
        </w:rPr>
      </w:pPr>
      <w:r>
        <w:rPr>
          <w:rFonts w:ascii="Times New Roman"/>
          <w:sz w:val="24"/>
          <w:szCs w:val="24"/>
        </w:rPr>
        <w:t>Table 13</w:t>
      </w:r>
      <w:r w:rsidR="00F24ADF" w:rsidRPr="006D176A">
        <w:rPr>
          <w:rFonts w:ascii="Times New Roman"/>
          <w:sz w:val="24"/>
          <w:szCs w:val="24"/>
        </w:rPr>
        <w:t>: Haematological variables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0"/>
        <w:gridCol w:w="1588"/>
        <w:gridCol w:w="1588"/>
      </w:tblGrid>
      <w:tr w:rsidR="00F24ADF" w:rsidRPr="006D176A" w:rsidTr="006D176A">
        <w:trPr>
          <w:trHeight w:val="431"/>
          <w:jc w:val="center"/>
        </w:trPr>
        <w:tc>
          <w:tcPr>
            <w:tcW w:w="2110"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Variables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Hemoglobin (g/dl)</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&lt;12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33.0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12-16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59</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59.0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WBC</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&lt;6000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6000-12000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71.0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&gt;12000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Platelet Count</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&lt;3.5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84.0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3.5-5.5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&gt;5.5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bl>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732465" w:rsidP="00732465">
      <w:pPr>
        <w:pStyle w:val="NoSpacing"/>
        <w:rPr>
          <w:rFonts w:ascii="Times New Roman"/>
          <w:sz w:val="24"/>
          <w:szCs w:val="24"/>
        </w:rPr>
      </w:pPr>
      <w:r>
        <w:rPr>
          <w:rFonts w:ascii="Times New Roman"/>
          <w:sz w:val="24"/>
          <w:szCs w:val="24"/>
        </w:rPr>
        <w:lastRenderedPageBreak/>
        <w:t xml:space="preserve">Graph 13. </w:t>
      </w:r>
      <w:r w:rsidRPr="006D176A">
        <w:rPr>
          <w:rFonts w:ascii="Times New Roman"/>
          <w:sz w:val="24"/>
          <w:szCs w:val="24"/>
        </w:rPr>
        <w:t>Haematological variables distribution of patients studied</w:t>
      </w:r>
      <w:r w:rsidRPr="006D176A">
        <w:rPr>
          <w:rFonts w:ascii="Times New Roman"/>
          <w:noProof/>
          <w:sz w:val="24"/>
          <w:szCs w:val="24"/>
        </w:rPr>
        <w:t xml:space="preserve"> </w:t>
      </w:r>
      <w:r w:rsidR="00F24ADF" w:rsidRPr="006D176A">
        <w:rPr>
          <w:rFonts w:ascii="Times New Roman"/>
          <w:noProof/>
          <w:sz w:val="24"/>
          <w:szCs w:val="24"/>
        </w:rPr>
        <w:drawing>
          <wp:inline distT="0" distB="0" distL="0" distR="0" wp14:anchorId="68DDAFF4" wp14:editId="1BB40546">
            <wp:extent cx="4572000" cy="2743200"/>
            <wp:effectExtent l="0" t="0" r="0" b="0"/>
            <wp:docPr id="134" name="Chart 1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F24ADF" w:rsidRPr="006D176A">
        <w:rPr>
          <w:rFonts w:ascii="Times New Roman"/>
          <w:noProof/>
          <w:sz w:val="24"/>
          <w:szCs w:val="24"/>
          <w:lang w:val="en-US" w:eastAsia="en-US"/>
        </w:rPr>
        <w:t xml:space="preserve"> </w:t>
      </w:r>
      <w:r w:rsidR="00F24ADF" w:rsidRPr="006D176A">
        <w:rPr>
          <w:rFonts w:ascii="Times New Roman"/>
          <w:noProof/>
          <w:sz w:val="24"/>
          <w:szCs w:val="24"/>
        </w:rPr>
        <w:drawing>
          <wp:inline distT="0" distB="0" distL="0" distR="0" wp14:anchorId="643B1BE7" wp14:editId="4AAA6614">
            <wp:extent cx="4572000" cy="2743200"/>
            <wp:effectExtent l="0" t="0" r="0" b="0"/>
            <wp:docPr id="133" name="Chart 1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F24ADF" w:rsidRPr="006D176A">
        <w:rPr>
          <w:rFonts w:ascii="Times New Roman"/>
          <w:noProof/>
          <w:sz w:val="24"/>
          <w:szCs w:val="24"/>
          <w:lang w:val="en-US" w:eastAsia="en-US"/>
        </w:rPr>
        <w:t xml:space="preserve"> </w:t>
      </w:r>
      <w:r w:rsidR="00F24ADF" w:rsidRPr="006D176A">
        <w:rPr>
          <w:rFonts w:ascii="Times New Roman"/>
          <w:noProof/>
          <w:sz w:val="24"/>
          <w:szCs w:val="24"/>
        </w:rPr>
        <w:drawing>
          <wp:inline distT="0" distB="0" distL="0" distR="0" wp14:anchorId="061ADC18" wp14:editId="4F7A3B7E">
            <wp:extent cx="4572000" cy="2743200"/>
            <wp:effectExtent l="0" t="0" r="0" b="0"/>
            <wp:docPr id="132" name="Chart 1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32465" w:rsidRDefault="00732465" w:rsidP="00A721A9">
      <w:pPr>
        <w:pStyle w:val="NoSpacing"/>
        <w:jc w:val="both"/>
        <w:rPr>
          <w:rFonts w:ascii="Times New Roman"/>
          <w:sz w:val="24"/>
          <w:szCs w:val="24"/>
        </w:rPr>
      </w:pPr>
    </w:p>
    <w:p w:rsidR="00732465" w:rsidRDefault="00732465" w:rsidP="00A721A9">
      <w:pPr>
        <w:pStyle w:val="NoSpacing"/>
        <w:jc w:val="both"/>
        <w:rPr>
          <w:rFonts w:ascii="Times New Roman"/>
          <w:sz w:val="24"/>
          <w:szCs w:val="24"/>
        </w:rPr>
      </w:pPr>
    </w:p>
    <w:p w:rsidR="00F24ADF" w:rsidRPr="006D176A" w:rsidRDefault="00732465" w:rsidP="00A721A9">
      <w:pPr>
        <w:pStyle w:val="NoSpacing"/>
        <w:jc w:val="both"/>
        <w:rPr>
          <w:rFonts w:ascii="Times New Roman"/>
          <w:sz w:val="24"/>
          <w:szCs w:val="24"/>
        </w:rPr>
      </w:pPr>
      <w:r>
        <w:rPr>
          <w:rFonts w:ascii="Times New Roman"/>
          <w:sz w:val="24"/>
          <w:szCs w:val="24"/>
        </w:rPr>
        <w:lastRenderedPageBreak/>
        <w:t>Table 14</w:t>
      </w:r>
      <w:r w:rsidR="00F24ADF" w:rsidRPr="006D176A">
        <w:rPr>
          <w:rFonts w:ascii="Times New Roman"/>
          <w:sz w:val="24"/>
          <w:szCs w:val="24"/>
        </w:rPr>
        <w:t>: SGOT/SGPT and ALP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0"/>
        <w:gridCol w:w="1588"/>
        <w:gridCol w:w="1588"/>
      </w:tblGrid>
      <w:tr w:rsidR="00F24ADF" w:rsidRPr="006D176A" w:rsidTr="006D176A">
        <w:trPr>
          <w:trHeight w:val="431"/>
          <w:jc w:val="center"/>
        </w:trPr>
        <w:tc>
          <w:tcPr>
            <w:tcW w:w="2110" w:type="dxa"/>
            <w:shd w:val="clear" w:color="auto" w:fill="CCFFFF"/>
            <w:vAlign w:val="center"/>
          </w:tcPr>
          <w:p w:rsidR="00F24ADF" w:rsidRPr="006D176A" w:rsidRDefault="00F24ADF" w:rsidP="00A721A9">
            <w:pPr>
              <w:pStyle w:val="NoSpacing"/>
              <w:jc w:val="both"/>
              <w:rPr>
                <w:rFonts w:ascii="Times New Roman"/>
                <w:b/>
                <w:sz w:val="24"/>
                <w:szCs w:val="24"/>
              </w:rPr>
            </w:pP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SGOT</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0-42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73.0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&gt;42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27</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27.0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SGPT</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0-48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84.0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&gt;48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ALP</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&lt;25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25-125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78.0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&gt;125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21.0</w:t>
            </w:r>
          </w:p>
        </w:tc>
      </w:tr>
    </w:tbl>
    <w:p w:rsidR="00F24ADF" w:rsidRPr="006D176A" w:rsidRDefault="00F24ADF"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F24ADF" w:rsidRPr="006D176A" w:rsidRDefault="00732465" w:rsidP="00A721A9">
      <w:pPr>
        <w:pStyle w:val="NoSpacing"/>
        <w:jc w:val="both"/>
        <w:rPr>
          <w:rFonts w:ascii="Times New Roman"/>
          <w:sz w:val="24"/>
          <w:szCs w:val="24"/>
        </w:rPr>
      </w:pPr>
      <w:r>
        <w:rPr>
          <w:rFonts w:ascii="Times New Roman"/>
          <w:sz w:val="24"/>
          <w:szCs w:val="24"/>
        </w:rPr>
        <w:t xml:space="preserve">Graph 14. </w:t>
      </w:r>
      <w:r w:rsidRPr="006D176A">
        <w:rPr>
          <w:rFonts w:ascii="Times New Roman"/>
          <w:sz w:val="24"/>
          <w:szCs w:val="24"/>
        </w:rPr>
        <w:t>SGOT/SGPT and ALP distribution of patients studied</w:t>
      </w:r>
    </w:p>
    <w:p w:rsidR="00F24ADF" w:rsidRPr="006D176A" w:rsidRDefault="00F24ADF" w:rsidP="00A721A9">
      <w:pPr>
        <w:pStyle w:val="NoSpacing"/>
        <w:jc w:val="both"/>
        <w:rPr>
          <w:rFonts w:ascii="Times New Roman"/>
          <w:sz w:val="24"/>
          <w:szCs w:val="24"/>
        </w:rPr>
      </w:pPr>
    </w:p>
    <w:p w:rsidR="00F24ADF" w:rsidRPr="006D176A" w:rsidRDefault="00732465" w:rsidP="00A721A9">
      <w:pPr>
        <w:pStyle w:val="NoSpacing"/>
        <w:jc w:val="both"/>
        <w:rPr>
          <w:rFonts w:ascii="Times New Roman"/>
          <w:sz w:val="24"/>
          <w:szCs w:val="24"/>
        </w:rPr>
      </w:pPr>
      <w:r w:rsidRPr="006D176A">
        <w:rPr>
          <w:rFonts w:ascii="Times New Roman"/>
          <w:noProof/>
          <w:sz w:val="24"/>
          <w:szCs w:val="24"/>
        </w:rPr>
        <w:drawing>
          <wp:inline distT="0" distB="0" distL="0" distR="0" wp14:anchorId="50F5B288" wp14:editId="7CCEEC0F">
            <wp:extent cx="4572000" cy="2743200"/>
            <wp:effectExtent l="0" t="0" r="0" b="0"/>
            <wp:docPr id="131" name="Chart 1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24ADF" w:rsidRDefault="009A040A" w:rsidP="00A721A9">
      <w:pPr>
        <w:pStyle w:val="NoSpacing"/>
        <w:jc w:val="both"/>
        <w:rPr>
          <w:rFonts w:ascii="Times New Roman"/>
          <w:sz w:val="24"/>
          <w:szCs w:val="24"/>
        </w:rPr>
      </w:pPr>
      <w:r w:rsidRPr="006D176A">
        <w:rPr>
          <w:rFonts w:ascii="Times New Roman"/>
          <w:noProof/>
          <w:sz w:val="24"/>
          <w:szCs w:val="24"/>
        </w:rPr>
        <w:lastRenderedPageBreak/>
        <w:drawing>
          <wp:inline distT="0" distB="0" distL="0" distR="0" wp14:anchorId="33E69461" wp14:editId="2FD718FE">
            <wp:extent cx="4572000" cy="2743200"/>
            <wp:effectExtent l="0" t="0" r="0" b="0"/>
            <wp:docPr id="130" name="Chart 1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A040A" w:rsidRPr="006D176A" w:rsidRDefault="009A040A"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0856332E" wp14:editId="6DF62BEC">
            <wp:extent cx="4572000" cy="2743200"/>
            <wp:effectExtent l="0" t="0" r="0" b="0"/>
            <wp:docPr id="129" name="Chart 1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84(84%) patients had SGPT &lt;48 and 16 patients had SGPT &gt;48</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73(73%) patients had SGOT &lt;42 and 27 (27%) had SGOT&gt;42</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78(78%) patients had ALP in the range of 25 – 125 and 21(21%) patents had ALP &gt;125</w:t>
      </w:r>
    </w:p>
    <w:p w:rsidR="00F24ADF" w:rsidRPr="006D176A" w:rsidRDefault="00F24ADF"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F24ADF" w:rsidRPr="006D176A" w:rsidRDefault="00732465" w:rsidP="00A721A9">
      <w:pPr>
        <w:pStyle w:val="NoSpacing"/>
        <w:jc w:val="both"/>
        <w:rPr>
          <w:rFonts w:ascii="Times New Roman"/>
          <w:sz w:val="24"/>
          <w:szCs w:val="24"/>
        </w:rPr>
      </w:pPr>
      <w:r>
        <w:rPr>
          <w:rFonts w:ascii="Times New Roman"/>
          <w:sz w:val="24"/>
          <w:szCs w:val="24"/>
        </w:rPr>
        <w:lastRenderedPageBreak/>
        <w:t>Table 15</w:t>
      </w:r>
      <w:r w:rsidR="00F24ADF" w:rsidRPr="006D176A">
        <w:rPr>
          <w:rFonts w:ascii="Times New Roman"/>
          <w:sz w:val="24"/>
          <w:szCs w:val="24"/>
        </w:rPr>
        <w:t>: Insulin/GGT and Homa distribution of patients studied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0"/>
        <w:gridCol w:w="1588"/>
        <w:gridCol w:w="1588"/>
      </w:tblGrid>
      <w:tr w:rsidR="00F24ADF" w:rsidRPr="006D176A" w:rsidTr="006D176A">
        <w:trPr>
          <w:trHeight w:val="431"/>
          <w:jc w:val="center"/>
        </w:trPr>
        <w:tc>
          <w:tcPr>
            <w:tcW w:w="2110"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Variables</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No. of patients</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c>
          <w:tcPr>
            <w:tcW w:w="158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Insulin</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46.0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10-15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48</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48.0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GGT</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&lt;15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15-21</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23.0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22-33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&gt;33</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42.0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HOMA</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&lt;5</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42.0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5-10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52</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52.0</w:t>
            </w:r>
          </w:p>
        </w:tc>
      </w:tr>
      <w:tr w:rsidR="00F24ADF" w:rsidRPr="006D176A" w:rsidTr="006D176A">
        <w:trPr>
          <w:trHeight w:val="431"/>
          <w:jc w:val="center"/>
        </w:trPr>
        <w:tc>
          <w:tcPr>
            <w:tcW w:w="2110" w:type="dxa"/>
            <w:shd w:val="clear" w:color="auto" w:fill="auto"/>
            <w:vAlign w:val="center"/>
          </w:tcPr>
          <w:p w:rsidR="00F24ADF" w:rsidRPr="006D176A" w:rsidRDefault="00F24ADF" w:rsidP="00A721A9">
            <w:pPr>
              <w:pStyle w:val="NoSpacing"/>
              <w:numPr>
                <w:ilvl w:val="0"/>
                <w:numId w:val="8"/>
              </w:numPr>
              <w:jc w:val="both"/>
              <w:rPr>
                <w:rFonts w:ascii="Times New Roman"/>
                <w:sz w:val="24"/>
                <w:szCs w:val="24"/>
              </w:rPr>
            </w:pPr>
            <w:r w:rsidRPr="006D176A">
              <w:rPr>
                <w:rFonts w:ascii="Times New Roman"/>
                <w:sz w:val="24"/>
                <w:szCs w:val="24"/>
              </w:rPr>
              <w:t>&gt;10</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w:t>
            </w:r>
          </w:p>
        </w:tc>
        <w:tc>
          <w:tcPr>
            <w:tcW w:w="158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6.0</w:t>
            </w:r>
          </w:p>
        </w:tc>
      </w:tr>
    </w:tbl>
    <w:p w:rsidR="00F24ADF" w:rsidRPr="006D176A" w:rsidRDefault="00F24ADF" w:rsidP="00A721A9">
      <w:pPr>
        <w:pStyle w:val="NoSpacing"/>
        <w:jc w:val="both"/>
        <w:rPr>
          <w:rFonts w:ascii="Times New Roman"/>
          <w:noProof/>
          <w:sz w:val="24"/>
          <w:szCs w:val="24"/>
          <w:lang w:val="en-US" w:eastAsia="en-US"/>
        </w:rPr>
      </w:pPr>
    </w:p>
    <w:p w:rsidR="00F24ADF" w:rsidRPr="006D176A" w:rsidRDefault="00F24ADF" w:rsidP="00A721A9">
      <w:pPr>
        <w:pStyle w:val="NoSpacing"/>
        <w:jc w:val="both"/>
        <w:rPr>
          <w:rFonts w:ascii="Times New Roman"/>
          <w:noProof/>
          <w:sz w:val="24"/>
          <w:szCs w:val="24"/>
          <w:lang w:val="en-US" w:eastAsia="en-US"/>
        </w:rPr>
      </w:pPr>
    </w:p>
    <w:p w:rsidR="00F24ADF" w:rsidRPr="006D176A" w:rsidRDefault="00F24ADF" w:rsidP="00A721A9">
      <w:pPr>
        <w:pStyle w:val="NoSpacing"/>
        <w:jc w:val="both"/>
        <w:rPr>
          <w:rFonts w:ascii="Times New Roman"/>
          <w:noProof/>
          <w:sz w:val="24"/>
          <w:szCs w:val="24"/>
          <w:lang w:val="en-US" w:eastAsia="en-US"/>
        </w:rPr>
      </w:pPr>
    </w:p>
    <w:p w:rsidR="00F24ADF" w:rsidRPr="006D176A" w:rsidRDefault="000115AD" w:rsidP="00A721A9">
      <w:pPr>
        <w:pStyle w:val="NoSpacing"/>
        <w:jc w:val="both"/>
        <w:rPr>
          <w:rFonts w:ascii="Times New Roman"/>
          <w:noProof/>
          <w:sz w:val="24"/>
          <w:szCs w:val="24"/>
          <w:lang w:val="en-US" w:eastAsia="en-US"/>
        </w:rPr>
      </w:pPr>
      <w:r>
        <w:rPr>
          <w:rFonts w:ascii="Times New Roman"/>
          <w:sz w:val="24"/>
          <w:szCs w:val="24"/>
        </w:rPr>
        <w:t xml:space="preserve">Graph 15. </w:t>
      </w:r>
      <w:r w:rsidR="00732465" w:rsidRPr="006D176A">
        <w:rPr>
          <w:rFonts w:ascii="Times New Roman"/>
          <w:sz w:val="24"/>
          <w:szCs w:val="24"/>
        </w:rPr>
        <w:t>Insulin/GGT and Homa distribution of patients studied</w:t>
      </w:r>
    </w:p>
    <w:p w:rsidR="00F24ADF" w:rsidRPr="006D176A" w:rsidRDefault="00F24ADF" w:rsidP="00A721A9">
      <w:pPr>
        <w:pStyle w:val="NoSpacing"/>
        <w:jc w:val="both"/>
        <w:rPr>
          <w:rFonts w:ascii="Times New Roman"/>
          <w:noProof/>
          <w:sz w:val="24"/>
          <w:szCs w:val="24"/>
          <w:lang w:val="en-US" w:eastAsia="en-US"/>
        </w:rPr>
      </w:pPr>
    </w:p>
    <w:p w:rsidR="00F24ADF" w:rsidRPr="006D176A" w:rsidRDefault="00F24ADF" w:rsidP="00A721A9">
      <w:pPr>
        <w:pStyle w:val="NoSpacing"/>
        <w:jc w:val="both"/>
        <w:rPr>
          <w:rFonts w:ascii="Times New Roman"/>
          <w:noProof/>
          <w:sz w:val="24"/>
          <w:szCs w:val="24"/>
          <w:lang w:val="en-US" w:eastAsia="en-US"/>
        </w:rPr>
      </w:pPr>
      <w:r w:rsidRPr="006D176A">
        <w:rPr>
          <w:rFonts w:ascii="Times New Roman"/>
          <w:noProof/>
          <w:sz w:val="24"/>
          <w:szCs w:val="24"/>
        </w:rPr>
        <w:drawing>
          <wp:inline distT="0" distB="0" distL="0" distR="0" wp14:anchorId="17FFF020" wp14:editId="50ABCAF9">
            <wp:extent cx="4572000" cy="2743200"/>
            <wp:effectExtent l="0" t="0" r="0" b="0"/>
            <wp:docPr id="128" name="Chart 1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24ADF" w:rsidRPr="006D176A" w:rsidRDefault="00F24ADF" w:rsidP="00A721A9">
      <w:pPr>
        <w:pStyle w:val="NoSpacing"/>
        <w:jc w:val="both"/>
        <w:rPr>
          <w:rFonts w:ascii="Times New Roman"/>
          <w:noProof/>
          <w:sz w:val="24"/>
          <w:szCs w:val="24"/>
          <w:lang w:val="en-US" w:eastAsia="en-US"/>
        </w:rPr>
      </w:pP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48(48%) patients had fasting insulin level in the range of 10-15 and 6(6%) patients had fasting insulin &gt;15</w:t>
      </w:r>
    </w:p>
    <w:p w:rsidR="00F24ADF" w:rsidRPr="006D176A" w:rsidRDefault="00F24ADF" w:rsidP="00A721A9">
      <w:pPr>
        <w:pStyle w:val="NoSpacing"/>
        <w:jc w:val="both"/>
        <w:rPr>
          <w:rFonts w:ascii="Times New Roman"/>
          <w:noProof/>
          <w:sz w:val="24"/>
          <w:szCs w:val="24"/>
          <w:lang w:val="en-US" w:eastAsia="en-US"/>
        </w:rPr>
      </w:pPr>
    </w:p>
    <w:p w:rsidR="00F24ADF" w:rsidRPr="006D176A" w:rsidRDefault="00F24ADF" w:rsidP="00A721A9">
      <w:pPr>
        <w:pStyle w:val="NoSpacing"/>
        <w:jc w:val="both"/>
        <w:rPr>
          <w:rFonts w:ascii="Times New Roman"/>
          <w:noProof/>
          <w:sz w:val="24"/>
          <w:szCs w:val="24"/>
          <w:lang w:val="en-US" w:eastAsia="en-US"/>
        </w:rPr>
      </w:pPr>
      <w:r w:rsidRPr="006D176A">
        <w:rPr>
          <w:rFonts w:ascii="Times New Roman"/>
          <w:noProof/>
          <w:sz w:val="24"/>
          <w:szCs w:val="24"/>
          <w:lang w:val="en-US" w:eastAsia="en-US"/>
        </w:rPr>
        <w:t xml:space="preserve"> </w:t>
      </w:r>
    </w:p>
    <w:p w:rsidR="00F24ADF" w:rsidRPr="006D176A" w:rsidRDefault="00F24ADF" w:rsidP="00A721A9">
      <w:pPr>
        <w:pStyle w:val="NoSpacing"/>
        <w:jc w:val="both"/>
        <w:rPr>
          <w:rFonts w:ascii="Times New Roman"/>
          <w:noProof/>
          <w:sz w:val="24"/>
          <w:szCs w:val="24"/>
          <w:lang w:val="en-US" w:eastAsia="en-US"/>
        </w:rPr>
      </w:pPr>
      <w:r w:rsidRPr="006D176A">
        <w:rPr>
          <w:rFonts w:ascii="Times New Roman"/>
          <w:noProof/>
          <w:sz w:val="24"/>
          <w:szCs w:val="24"/>
        </w:rPr>
        <w:drawing>
          <wp:inline distT="0" distB="0" distL="0" distR="0" wp14:anchorId="69969A01" wp14:editId="519F199D">
            <wp:extent cx="4572000" cy="2743200"/>
            <wp:effectExtent l="0" t="0" r="0" b="0"/>
            <wp:docPr id="127" name="Chart 1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11(11%) patients had GGT &lt;15, 23(23%) patients had GGT 15-21, 24(24%) patients had GGT 22-33, and 42(42%) patients had GGT&gt;33</w:t>
      </w:r>
    </w:p>
    <w:p w:rsidR="00F24ADF" w:rsidRPr="006D176A" w:rsidRDefault="00F24ADF" w:rsidP="00A721A9">
      <w:pPr>
        <w:pStyle w:val="NoSpacing"/>
        <w:jc w:val="both"/>
        <w:rPr>
          <w:rFonts w:ascii="Times New Roman"/>
          <w:noProof/>
          <w:sz w:val="24"/>
          <w:szCs w:val="24"/>
          <w:lang w:val="en-US" w:eastAsia="en-US"/>
        </w:rPr>
      </w:pP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5FA68289" wp14:editId="11EAAE32">
            <wp:extent cx="4572000" cy="2743200"/>
            <wp:effectExtent l="0" t="0" r="0" b="0"/>
            <wp:docPr id="126" name="Chart 1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24ADF" w:rsidRPr="006D176A" w:rsidRDefault="00F24ADF" w:rsidP="00A721A9">
      <w:pPr>
        <w:pStyle w:val="NoSpacing"/>
        <w:jc w:val="both"/>
        <w:rPr>
          <w:rFonts w:ascii="Times New Roman"/>
          <w:sz w:val="24"/>
          <w:szCs w:val="24"/>
        </w:rPr>
      </w:pPr>
      <w:r w:rsidRPr="006D176A">
        <w:rPr>
          <w:rFonts w:ascii="Times New Roman"/>
          <w:sz w:val="24"/>
          <w:szCs w:val="24"/>
        </w:rPr>
        <w:t>52(52%) patients had HOMA – IR in the range of 5-10 and 6(6%) patients had &gt; 10</w:t>
      </w:r>
    </w:p>
    <w:p w:rsidR="00F24ADF" w:rsidRPr="006D176A" w:rsidRDefault="00F24ADF"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BB589B" w:rsidRDefault="00BB589B" w:rsidP="00A721A9">
      <w:pPr>
        <w:pStyle w:val="NoSpacing"/>
        <w:jc w:val="both"/>
        <w:rPr>
          <w:rFonts w:ascii="Times New Roman"/>
          <w:sz w:val="24"/>
          <w:szCs w:val="24"/>
        </w:rPr>
      </w:pPr>
    </w:p>
    <w:p w:rsidR="00F24ADF" w:rsidRPr="006D176A" w:rsidRDefault="000115AD" w:rsidP="00A721A9">
      <w:pPr>
        <w:pStyle w:val="NoSpacing"/>
        <w:jc w:val="both"/>
        <w:rPr>
          <w:rFonts w:ascii="Times New Roman"/>
          <w:sz w:val="24"/>
          <w:szCs w:val="24"/>
        </w:rPr>
      </w:pPr>
      <w:r>
        <w:rPr>
          <w:rFonts w:ascii="Times New Roman"/>
          <w:sz w:val="24"/>
          <w:szCs w:val="24"/>
        </w:rPr>
        <w:lastRenderedPageBreak/>
        <w:t>Table 16</w:t>
      </w:r>
      <w:r w:rsidR="00F24ADF" w:rsidRPr="006D176A">
        <w:rPr>
          <w:rFonts w:ascii="Times New Roman"/>
          <w:sz w:val="24"/>
          <w:szCs w:val="24"/>
        </w:rPr>
        <w:t>: Age distribution of patients studied in relation to GGT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1554"/>
        <w:gridCol w:w="1551"/>
        <w:gridCol w:w="1521"/>
        <w:gridCol w:w="1521"/>
        <w:gridCol w:w="1556"/>
      </w:tblGrid>
      <w:tr w:rsidR="00F24ADF" w:rsidRPr="006D176A" w:rsidTr="006D176A">
        <w:trPr>
          <w:trHeight w:val="431"/>
          <w:jc w:val="center"/>
        </w:trPr>
        <w:tc>
          <w:tcPr>
            <w:tcW w:w="1539"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Age in years</w:t>
            </w:r>
          </w:p>
        </w:tc>
        <w:tc>
          <w:tcPr>
            <w:tcW w:w="6147"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556"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r>
      <w:tr w:rsidR="00F24ADF" w:rsidRPr="006D176A" w:rsidTr="006D176A">
        <w:trPr>
          <w:trHeight w:val="431"/>
          <w:jc w:val="center"/>
        </w:trPr>
        <w:tc>
          <w:tcPr>
            <w:tcW w:w="1539"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554"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55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52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52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556"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21-30</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2(8.7%)</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1(2.4%)</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3(3%)</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31-40</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2(8.7%)</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1(4.2%)</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6(14.3%)</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9(9%)</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41-50</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2(18.2%)</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3(13%)</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5(20.8%)</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6(14.3%)</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16(16%)</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51-60</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4(36.4%)</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4(17.4%)</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6(25%)</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17(40.5%)</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31(31%)</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61-70</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5(45.5%)</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8(34.8%)</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8(33.3%)</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10(23.8%)</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31(31%)</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71-80</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4(17.4%)</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3(12.5%)</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2(4.8%)</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9(9%)</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&gt;80</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1(4.2%)</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11(100%)</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23(100%)</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24(100%)</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42(100%)</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100(100%)</w:t>
            </w:r>
          </w:p>
        </w:tc>
      </w:tr>
    </w:tbl>
    <w:p w:rsidR="00F24ADF" w:rsidRPr="006D176A" w:rsidRDefault="00F24ADF" w:rsidP="00A721A9">
      <w:pPr>
        <w:pStyle w:val="NoSpacing"/>
        <w:jc w:val="both"/>
        <w:rPr>
          <w:rFonts w:ascii="Times New Roman"/>
          <w:sz w:val="24"/>
          <w:szCs w:val="24"/>
        </w:rPr>
      </w:pPr>
      <w:r w:rsidRPr="006D176A">
        <w:rPr>
          <w:rFonts w:ascii="Times New Roman"/>
          <w:sz w:val="24"/>
          <w:szCs w:val="24"/>
        </w:rPr>
        <w:tab/>
        <w:t>P=0.406, not significant, Fisher Exact test</w:t>
      </w:r>
    </w:p>
    <w:p w:rsidR="00F24ADF" w:rsidRPr="006D176A" w:rsidRDefault="00F24ADF" w:rsidP="00A721A9">
      <w:pPr>
        <w:pStyle w:val="NoSpacing"/>
        <w:jc w:val="both"/>
        <w:rPr>
          <w:rFonts w:ascii="Times New Roman"/>
          <w:sz w:val="24"/>
          <w:szCs w:val="24"/>
        </w:rPr>
      </w:pPr>
    </w:p>
    <w:p w:rsidR="000115AD" w:rsidRPr="006D176A" w:rsidRDefault="000115AD" w:rsidP="000115AD">
      <w:pPr>
        <w:pStyle w:val="NoSpacing"/>
        <w:jc w:val="both"/>
        <w:rPr>
          <w:rFonts w:ascii="Times New Roman"/>
          <w:sz w:val="24"/>
          <w:szCs w:val="24"/>
        </w:rPr>
      </w:pPr>
      <w:r>
        <w:rPr>
          <w:rFonts w:ascii="Times New Roman"/>
          <w:sz w:val="24"/>
          <w:szCs w:val="24"/>
        </w:rPr>
        <w:t xml:space="preserve">Graph 16. </w:t>
      </w:r>
      <w:r w:rsidRPr="006D176A">
        <w:rPr>
          <w:rFonts w:ascii="Times New Roman"/>
          <w:sz w:val="24"/>
          <w:szCs w:val="24"/>
        </w:rPr>
        <w:t>Age distribution of patients studied in relation to GGT</w:t>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73296145" wp14:editId="15857B3F">
            <wp:extent cx="4572000" cy="2743200"/>
            <wp:effectExtent l="0" t="0" r="0" b="0"/>
            <wp:docPr id="125" name="Chart 1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24ADF" w:rsidRPr="006D176A" w:rsidRDefault="000115AD" w:rsidP="00A721A9">
      <w:pPr>
        <w:pStyle w:val="NoSpacing"/>
        <w:jc w:val="both"/>
        <w:rPr>
          <w:rFonts w:ascii="Times New Roman"/>
          <w:sz w:val="24"/>
          <w:szCs w:val="24"/>
        </w:rPr>
      </w:pPr>
      <w:r>
        <w:rPr>
          <w:rFonts w:ascii="Times New Roman"/>
          <w:sz w:val="24"/>
          <w:szCs w:val="24"/>
        </w:rPr>
        <w:t>Table 17</w:t>
      </w:r>
      <w:r w:rsidR="00F24ADF" w:rsidRPr="006D176A">
        <w:rPr>
          <w:rFonts w:ascii="Times New Roman"/>
          <w:sz w:val="24"/>
          <w:szCs w:val="24"/>
        </w:rPr>
        <w:t>: Gender distribution of patients studied in relation to GGT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1554"/>
        <w:gridCol w:w="1551"/>
        <w:gridCol w:w="1521"/>
        <w:gridCol w:w="1521"/>
        <w:gridCol w:w="1556"/>
      </w:tblGrid>
      <w:tr w:rsidR="00F24ADF" w:rsidRPr="006D176A" w:rsidTr="006D176A">
        <w:trPr>
          <w:trHeight w:val="431"/>
          <w:jc w:val="center"/>
        </w:trPr>
        <w:tc>
          <w:tcPr>
            <w:tcW w:w="1539"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Gender</w:t>
            </w:r>
          </w:p>
        </w:tc>
        <w:tc>
          <w:tcPr>
            <w:tcW w:w="6147"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556"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r>
      <w:tr w:rsidR="00F24ADF" w:rsidRPr="006D176A" w:rsidTr="006D176A">
        <w:trPr>
          <w:trHeight w:val="431"/>
          <w:jc w:val="center"/>
        </w:trPr>
        <w:tc>
          <w:tcPr>
            <w:tcW w:w="1539"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554"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55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52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52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556"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Female</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5(45.5%)</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15(65.2%)</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9(37.5%)</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17(40.5%)</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46(46%)</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Male</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6(54.5%)</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8(34.8%)</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15(62.5%)</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25(59.5%)</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54(54%)</w:t>
            </w:r>
          </w:p>
        </w:tc>
      </w:tr>
      <w:tr w:rsidR="00F24ADF" w:rsidRPr="006D176A" w:rsidTr="006D176A">
        <w:trPr>
          <w:trHeight w:val="431"/>
          <w:jc w:val="center"/>
        </w:trPr>
        <w:tc>
          <w:tcPr>
            <w:tcW w:w="153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w:t>
            </w:r>
          </w:p>
        </w:tc>
        <w:tc>
          <w:tcPr>
            <w:tcW w:w="155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11(100%)</w:t>
            </w:r>
          </w:p>
        </w:tc>
        <w:tc>
          <w:tcPr>
            <w:tcW w:w="155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23(100%)</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24(100%)</w:t>
            </w:r>
          </w:p>
        </w:tc>
        <w:tc>
          <w:tcPr>
            <w:tcW w:w="152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42(100%)</w:t>
            </w:r>
          </w:p>
        </w:tc>
        <w:tc>
          <w:tcPr>
            <w:tcW w:w="155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100(100%)</w:t>
            </w:r>
          </w:p>
        </w:tc>
      </w:tr>
    </w:tbl>
    <w:p w:rsidR="00F24ADF" w:rsidRPr="006D176A" w:rsidRDefault="00F24ADF" w:rsidP="00A721A9">
      <w:pPr>
        <w:pStyle w:val="NoSpacing"/>
        <w:jc w:val="both"/>
        <w:rPr>
          <w:rFonts w:ascii="Times New Roman"/>
          <w:sz w:val="24"/>
          <w:szCs w:val="24"/>
        </w:rPr>
      </w:pPr>
      <w:r w:rsidRPr="006D176A">
        <w:rPr>
          <w:rFonts w:ascii="Times New Roman"/>
          <w:sz w:val="24"/>
          <w:szCs w:val="24"/>
        </w:rPr>
        <w:tab/>
        <w:t>P=0.201,Not significant, Chi-Square test</w:t>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0115AD" w:rsidP="000115AD">
      <w:pPr>
        <w:pStyle w:val="NoSpacing"/>
        <w:rPr>
          <w:rFonts w:ascii="Times New Roman"/>
          <w:sz w:val="24"/>
          <w:szCs w:val="24"/>
        </w:rPr>
      </w:pPr>
      <w:r>
        <w:rPr>
          <w:rFonts w:ascii="Times New Roman"/>
          <w:sz w:val="24"/>
          <w:szCs w:val="24"/>
        </w:rPr>
        <w:t xml:space="preserve">Graph 17. </w:t>
      </w:r>
      <w:r w:rsidRPr="006D176A">
        <w:rPr>
          <w:rFonts w:ascii="Times New Roman"/>
          <w:sz w:val="24"/>
          <w:szCs w:val="24"/>
        </w:rPr>
        <w:t>Gender distribution of patients studied in relation to GGT</w:t>
      </w:r>
      <w:r w:rsidRPr="006D176A">
        <w:rPr>
          <w:rFonts w:ascii="Times New Roman"/>
          <w:noProof/>
          <w:sz w:val="24"/>
          <w:szCs w:val="24"/>
        </w:rPr>
        <w:t xml:space="preserve"> </w:t>
      </w:r>
      <w:r w:rsidR="00F24ADF" w:rsidRPr="006D176A">
        <w:rPr>
          <w:rFonts w:ascii="Times New Roman"/>
          <w:noProof/>
          <w:sz w:val="24"/>
          <w:szCs w:val="24"/>
        </w:rPr>
        <w:drawing>
          <wp:inline distT="0" distB="0" distL="0" distR="0" wp14:anchorId="3CD5D802" wp14:editId="72CCA070">
            <wp:extent cx="4572000" cy="2743200"/>
            <wp:effectExtent l="0" t="0" r="0" b="0"/>
            <wp:docPr id="31"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24ADF" w:rsidRPr="006D176A" w:rsidRDefault="000115AD" w:rsidP="00A721A9">
      <w:pPr>
        <w:pStyle w:val="NoSpacing"/>
        <w:jc w:val="both"/>
        <w:rPr>
          <w:rFonts w:ascii="Times New Roman"/>
          <w:sz w:val="24"/>
          <w:szCs w:val="24"/>
        </w:rPr>
      </w:pPr>
      <w:r>
        <w:rPr>
          <w:rFonts w:ascii="Times New Roman"/>
          <w:sz w:val="24"/>
          <w:szCs w:val="24"/>
        </w:rPr>
        <w:t>Table 18</w:t>
      </w:r>
      <w:r w:rsidR="00F24ADF" w:rsidRPr="006D176A">
        <w:rPr>
          <w:rFonts w:ascii="Times New Roman"/>
          <w:sz w:val="24"/>
          <w:szCs w:val="24"/>
        </w:rPr>
        <w:t>: Incidence of DM, Hypertension and Dyslipidemia of patients studied in relation to GGT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1"/>
        <w:gridCol w:w="1330"/>
        <w:gridCol w:w="1378"/>
        <w:gridCol w:w="1360"/>
        <w:gridCol w:w="1360"/>
        <w:gridCol w:w="1307"/>
        <w:gridCol w:w="996"/>
      </w:tblGrid>
      <w:tr w:rsidR="00F24ADF" w:rsidRPr="006D176A" w:rsidTr="006D176A">
        <w:trPr>
          <w:trHeight w:val="431"/>
          <w:jc w:val="center"/>
        </w:trPr>
        <w:tc>
          <w:tcPr>
            <w:tcW w:w="1481"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Co-morbid conditions</w:t>
            </w:r>
          </w:p>
        </w:tc>
        <w:tc>
          <w:tcPr>
            <w:tcW w:w="5451"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316"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(n=100)</w:t>
            </w:r>
          </w:p>
        </w:tc>
        <w:tc>
          <w:tcPr>
            <w:tcW w:w="994"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P value</w:t>
            </w:r>
          </w:p>
        </w:tc>
      </w:tr>
      <w:tr w:rsidR="00F24ADF" w:rsidRPr="006D176A" w:rsidTr="006D176A">
        <w:trPr>
          <w:trHeight w:val="431"/>
          <w:jc w:val="center"/>
        </w:trPr>
        <w:tc>
          <w:tcPr>
            <w:tcW w:w="1481"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33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(n=11)</w:t>
            </w:r>
          </w:p>
        </w:tc>
        <w:tc>
          <w:tcPr>
            <w:tcW w:w="1383"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(n=23)</w:t>
            </w:r>
          </w:p>
        </w:tc>
        <w:tc>
          <w:tcPr>
            <w:tcW w:w="1365"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(n=24)</w:t>
            </w:r>
          </w:p>
        </w:tc>
        <w:tc>
          <w:tcPr>
            <w:tcW w:w="1365"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p w:rsidR="00F24ADF" w:rsidRPr="006D176A" w:rsidRDefault="00F24ADF" w:rsidP="00A721A9">
            <w:pPr>
              <w:pStyle w:val="NoSpacing"/>
              <w:jc w:val="both"/>
              <w:rPr>
                <w:rFonts w:ascii="Times New Roman"/>
                <w:b/>
                <w:sz w:val="24"/>
                <w:szCs w:val="24"/>
              </w:rPr>
            </w:pPr>
            <w:r w:rsidRPr="006D176A">
              <w:rPr>
                <w:rFonts w:ascii="Times New Roman"/>
                <w:b/>
                <w:sz w:val="24"/>
                <w:szCs w:val="24"/>
              </w:rPr>
              <w:t>(n=42)</w:t>
            </w:r>
          </w:p>
        </w:tc>
        <w:tc>
          <w:tcPr>
            <w:tcW w:w="1316"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994"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4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DM</w:t>
            </w:r>
          </w:p>
        </w:tc>
        <w:tc>
          <w:tcPr>
            <w:tcW w:w="133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6(54.5%)</w:t>
            </w:r>
          </w:p>
        </w:tc>
        <w:tc>
          <w:tcPr>
            <w:tcW w:w="138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18(78.3%)</w:t>
            </w:r>
          </w:p>
        </w:tc>
        <w:tc>
          <w:tcPr>
            <w:tcW w:w="1365"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22(91.7%)</w:t>
            </w:r>
          </w:p>
        </w:tc>
        <w:tc>
          <w:tcPr>
            <w:tcW w:w="1365"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39(92.9%)</w:t>
            </w:r>
          </w:p>
        </w:tc>
        <w:tc>
          <w:tcPr>
            <w:tcW w:w="131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85(85%)</w:t>
            </w:r>
          </w:p>
        </w:tc>
        <w:tc>
          <w:tcPr>
            <w:tcW w:w="99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0.035*</w:t>
            </w:r>
          </w:p>
        </w:tc>
      </w:tr>
      <w:tr w:rsidR="00F24ADF" w:rsidRPr="006D176A" w:rsidTr="006D176A">
        <w:trPr>
          <w:trHeight w:val="431"/>
          <w:jc w:val="center"/>
        </w:trPr>
        <w:tc>
          <w:tcPr>
            <w:tcW w:w="14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HTN</w:t>
            </w:r>
          </w:p>
        </w:tc>
        <w:tc>
          <w:tcPr>
            <w:tcW w:w="133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7(63.6%)</w:t>
            </w:r>
          </w:p>
        </w:tc>
        <w:tc>
          <w:tcPr>
            <w:tcW w:w="138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13(56.5%)</w:t>
            </w:r>
          </w:p>
        </w:tc>
        <w:tc>
          <w:tcPr>
            <w:tcW w:w="1365"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24(100%)</w:t>
            </w:r>
          </w:p>
        </w:tc>
        <w:tc>
          <w:tcPr>
            <w:tcW w:w="1365"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32(76.2%)</w:t>
            </w:r>
          </w:p>
        </w:tc>
        <w:tc>
          <w:tcPr>
            <w:tcW w:w="131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76(76%)</w:t>
            </w:r>
          </w:p>
        </w:tc>
        <w:tc>
          <w:tcPr>
            <w:tcW w:w="99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0.004**</w:t>
            </w:r>
          </w:p>
        </w:tc>
      </w:tr>
      <w:tr w:rsidR="00F24ADF" w:rsidRPr="006D176A" w:rsidTr="006D176A">
        <w:trPr>
          <w:trHeight w:val="431"/>
          <w:jc w:val="center"/>
        </w:trPr>
        <w:tc>
          <w:tcPr>
            <w:tcW w:w="14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Dyslipidemia</w:t>
            </w:r>
          </w:p>
        </w:tc>
        <w:tc>
          <w:tcPr>
            <w:tcW w:w="133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9(81.8%)</w:t>
            </w:r>
          </w:p>
        </w:tc>
        <w:tc>
          <w:tcPr>
            <w:tcW w:w="138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13(56.5%)</w:t>
            </w:r>
          </w:p>
        </w:tc>
        <w:tc>
          <w:tcPr>
            <w:tcW w:w="1365"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14(58.3%)</w:t>
            </w:r>
          </w:p>
        </w:tc>
        <w:tc>
          <w:tcPr>
            <w:tcW w:w="1365"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23(54.8%)</w:t>
            </w:r>
          </w:p>
        </w:tc>
        <w:tc>
          <w:tcPr>
            <w:tcW w:w="131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59(59%)</w:t>
            </w:r>
          </w:p>
        </w:tc>
        <w:tc>
          <w:tcPr>
            <w:tcW w:w="99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0.433</w:t>
            </w:r>
          </w:p>
        </w:tc>
      </w:tr>
    </w:tbl>
    <w:p w:rsidR="00F24ADF" w:rsidRPr="006D176A" w:rsidRDefault="00F24ADF" w:rsidP="00A721A9">
      <w:pPr>
        <w:pStyle w:val="NoSpacing"/>
        <w:jc w:val="both"/>
        <w:rPr>
          <w:rFonts w:ascii="Times New Roman"/>
          <w:sz w:val="24"/>
          <w:szCs w:val="24"/>
        </w:rPr>
      </w:pPr>
      <w:r w:rsidRPr="006D176A">
        <w:rPr>
          <w:rFonts w:ascii="Times New Roman"/>
          <w:sz w:val="24"/>
          <w:szCs w:val="24"/>
        </w:rPr>
        <w:t>Chi-Square test/Fisher Exact test</w:t>
      </w:r>
    </w:p>
    <w:p w:rsidR="000115AD" w:rsidRDefault="000115AD" w:rsidP="000115AD">
      <w:pPr>
        <w:pStyle w:val="NoSpacing"/>
        <w:jc w:val="both"/>
        <w:rPr>
          <w:rFonts w:ascii="Times New Roman"/>
          <w:sz w:val="24"/>
          <w:szCs w:val="24"/>
        </w:rPr>
      </w:pPr>
    </w:p>
    <w:p w:rsidR="000115AD" w:rsidRPr="006D176A" w:rsidRDefault="000115AD" w:rsidP="000115AD">
      <w:pPr>
        <w:pStyle w:val="NoSpacing"/>
        <w:jc w:val="both"/>
        <w:rPr>
          <w:rFonts w:ascii="Times New Roman"/>
          <w:sz w:val="24"/>
          <w:szCs w:val="24"/>
        </w:rPr>
      </w:pPr>
      <w:r>
        <w:rPr>
          <w:rFonts w:ascii="Times New Roman"/>
          <w:sz w:val="24"/>
          <w:szCs w:val="24"/>
        </w:rPr>
        <w:t xml:space="preserve">Graph 18. </w:t>
      </w:r>
      <w:r w:rsidRPr="006D176A">
        <w:rPr>
          <w:rFonts w:ascii="Times New Roman"/>
          <w:sz w:val="24"/>
          <w:szCs w:val="24"/>
        </w:rPr>
        <w:t>Incidence of DM, Hypertension and Dyslipidemia of patients studied in relation to GGT</w:t>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2F33CF1E" wp14:editId="719D710F">
            <wp:extent cx="4572000" cy="2743200"/>
            <wp:effectExtent l="0" t="0" r="0" b="0"/>
            <wp:docPr id="30"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24ADF" w:rsidRPr="006D176A" w:rsidRDefault="00F24ADF" w:rsidP="00A721A9">
      <w:pPr>
        <w:pStyle w:val="NoSpacing"/>
        <w:jc w:val="both"/>
        <w:rPr>
          <w:rFonts w:ascii="Times New Roman"/>
          <w:sz w:val="24"/>
          <w:szCs w:val="24"/>
        </w:rPr>
      </w:pP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On analysis of incidence of Co-morbid conditions in the quartiles of GGT, among the 11 patients with GGT&lt;15, 6(54.5%) patients had Diabetes, 7(63.6%) had hypertension and 9(81.8%) had dyslipidemia.</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Among the 23 patients with GGT in the range of 15-21, 18(78.3%) patients had Diabetes, 13(56.5%) patients had hypertension and 13(56.5%) patients had dyslipidemia. </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Among the 24 patients with GGT in the range of 22-33, 22(91.7%)  patients had diabetes, 24(100%)patients had hypertension and 14(58.3%) patients had dyslipidemia.</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Among the 42 patients with GGT &gt;33, 39(92.9%) patients had diabetes, 32(76.2%) patients had hypertension and 23(54.8%) patients had dyslipidemia.</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incidence of DM and HTN had shown positive correlation with GGT level and the correlation was statistically significant with p=0.035 and 0.004 respectively.</w:t>
      </w:r>
    </w:p>
    <w:p w:rsidR="00F24ADF" w:rsidRPr="006D176A" w:rsidRDefault="000115AD" w:rsidP="00A721A9">
      <w:pPr>
        <w:pStyle w:val="NoSpacing"/>
        <w:jc w:val="both"/>
        <w:rPr>
          <w:rFonts w:ascii="Times New Roman"/>
          <w:sz w:val="24"/>
          <w:szCs w:val="24"/>
        </w:rPr>
      </w:pPr>
      <w:r>
        <w:rPr>
          <w:rFonts w:ascii="Times New Roman"/>
          <w:sz w:val="24"/>
          <w:szCs w:val="24"/>
        </w:rPr>
        <w:t>Table 19</w:t>
      </w:r>
      <w:r w:rsidR="00F24ADF" w:rsidRPr="006D176A">
        <w:rPr>
          <w:rFonts w:ascii="Times New Roman"/>
          <w:sz w:val="24"/>
          <w:szCs w:val="24"/>
        </w:rPr>
        <w:t>: Comparison of Clinical variables of patients studied in relation to GGT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1291"/>
        <w:gridCol w:w="1411"/>
        <w:gridCol w:w="1411"/>
        <w:gridCol w:w="1411"/>
        <w:gridCol w:w="1411"/>
        <w:gridCol w:w="1119"/>
      </w:tblGrid>
      <w:tr w:rsidR="00F24ADF" w:rsidRPr="006D176A" w:rsidTr="006D176A">
        <w:trPr>
          <w:trHeight w:val="431"/>
          <w:jc w:val="center"/>
        </w:trPr>
        <w:tc>
          <w:tcPr>
            <w:tcW w:w="1399"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Variables</w:t>
            </w:r>
          </w:p>
        </w:tc>
        <w:tc>
          <w:tcPr>
            <w:tcW w:w="5229"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364"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c>
          <w:tcPr>
            <w:tcW w:w="1250"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P value</w:t>
            </w:r>
          </w:p>
        </w:tc>
      </w:tr>
      <w:tr w:rsidR="00F24ADF" w:rsidRPr="006D176A" w:rsidTr="006D176A">
        <w:trPr>
          <w:trHeight w:val="431"/>
          <w:jc w:val="center"/>
        </w:trPr>
        <w:tc>
          <w:tcPr>
            <w:tcW w:w="1399"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32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312"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289"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30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364"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250"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39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Age in years</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59.82±8.45</w:t>
            </w:r>
          </w:p>
        </w:tc>
        <w:tc>
          <w:tcPr>
            <w:tcW w:w="131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57.13±13.96</w:t>
            </w:r>
          </w:p>
        </w:tc>
        <w:tc>
          <w:tcPr>
            <w:tcW w:w="128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60.17±12.15</w:t>
            </w:r>
          </w:p>
        </w:tc>
        <w:tc>
          <w:tcPr>
            <w:tcW w:w="130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54.76±12.04</w:t>
            </w:r>
          </w:p>
        </w:tc>
        <w:tc>
          <w:tcPr>
            <w:tcW w:w="136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57.16±12.26</w:t>
            </w:r>
          </w:p>
        </w:tc>
        <w:tc>
          <w:tcPr>
            <w:tcW w:w="12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0.315</w:t>
            </w:r>
          </w:p>
        </w:tc>
      </w:tr>
      <w:tr w:rsidR="00F24ADF" w:rsidRPr="006D176A" w:rsidTr="006D176A">
        <w:trPr>
          <w:trHeight w:val="431"/>
          <w:jc w:val="center"/>
        </w:trPr>
        <w:tc>
          <w:tcPr>
            <w:tcW w:w="139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Height (cm)</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1.65±0.10</w:t>
            </w:r>
          </w:p>
        </w:tc>
        <w:tc>
          <w:tcPr>
            <w:tcW w:w="131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1.63±0.11</w:t>
            </w:r>
          </w:p>
        </w:tc>
        <w:tc>
          <w:tcPr>
            <w:tcW w:w="128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1.66±0.10</w:t>
            </w:r>
          </w:p>
        </w:tc>
        <w:tc>
          <w:tcPr>
            <w:tcW w:w="130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1.67±0.11</w:t>
            </w:r>
          </w:p>
        </w:tc>
        <w:tc>
          <w:tcPr>
            <w:tcW w:w="136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1.65±0.11</w:t>
            </w:r>
          </w:p>
        </w:tc>
        <w:tc>
          <w:tcPr>
            <w:tcW w:w="12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0.566</w:t>
            </w:r>
          </w:p>
        </w:tc>
      </w:tr>
      <w:tr w:rsidR="00F24ADF" w:rsidRPr="006D176A" w:rsidTr="006D176A">
        <w:trPr>
          <w:trHeight w:val="431"/>
          <w:jc w:val="center"/>
        </w:trPr>
        <w:tc>
          <w:tcPr>
            <w:tcW w:w="139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Weight (kg)</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87.91±6.38</w:t>
            </w:r>
          </w:p>
        </w:tc>
        <w:tc>
          <w:tcPr>
            <w:tcW w:w="131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84.61±7.89</w:t>
            </w:r>
          </w:p>
        </w:tc>
        <w:tc>
          <w:tcPr>
            <w:tcW w:w="128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88.29±7.70</w:t>
            </w:r>
          </w:p>
        </w:tc>
        <w:tc>
          <w:tcPr>
            <w:tcW w:w="130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85.71±10.85</w:t>
            </w:r>
          </w:p>
        </w:tc>
        <w:tc>
          <w:tcPr>
            <w:tcW w:w="136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86.32±9.08</w:t>
            </w:r>
          </w:p>
        </w:tc>
        <w:tc>
          <w:tcPr>
            <w:tcW w:w="12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0.486</w:t>
            </w:r>
          </w:p>
        </w:tc>
      </w:tr>
      <w:tr w:rsidR="00F24ADF" w:rsidRPr="006D176A" w:rsidTr="006D176A">
        <w:trPr>
          <w:trHeight w:val="431"/>
          <w:jc w:val="center"/>
        </w:trPr>
        <w:tc>
          <w:tcPr>
            <w:tcW w:w="139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WC</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90.82±4.35</w:t>
            </w:r>
          </w:p>
        </w:tc>
        <w:tc>
          <w:tcPr>
            <w:tcW w:w="131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88.48±4.27</w:t>
            </w:r>
          </w:p>
        </w:tc>
        <w:tc>
          <w:tcPr>
            <w:tcW w:w="128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95.21±5.86</w:t>
            </w:r>
          </w:p>
        </w:tc>
        <w:tc>
          <w:tcPr>
            <w:tcW w:w="130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103.31±6.41</w:t>
            </w:r>
          </w:p>
        </w:tc>
        <w:tc>
          <w:tcPr>
            <w:tcW w:w="136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96.58±8.34</w:t>
            </w:r>
          </w:p>
        </w:tc>
        <w:tc>
          <w:tcPr>
            <w:tcW w:w="12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&lt;0.001**</w:t>
            </w:r>
          </w:p>
        </w:tc>
      </w:tr>
      <w:tr w:rsidR="00F24ADF" w:rsidRPr="006D176A" w:rsidTr="006D176A">
        <w:trPr>
          <w:trHeight w:val="431"/>
          <w:jc w:val="center"/>
        </w:trPr>
        <w:tc>
          <w:tcPr>
            <w:tcW w:w="139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BMI (kg/m</w:t>
            </w:r>
            <w:r w:rsidRPr="006D176A">
              <w:rPr>
                <w:rFonts w:ascii="Times New Roman"/>
                <w:sz w:val="24"/>
                <w:szCs w:val="24"/>
                <w:vertAlign w:val="superscript"/>
              </w:rPr>
              <w:t>2</w:t>
            </w:r>
            <w:r w:rsidRPr="006D176A">
              <w:rPr>
                <w:rFonts w:ascii="Times New Roman"/>
                <w:sz w:val="24"/>
                <w:szCs w:val="24"/>
              </w:rPr>
              <w:t>)</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32.06±3.40</w:t>
            </w:r>
          </w:p>
        </w:tc>
        <w:tc>
          <w:tcPr>
            <w:tcW w:w="131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32.20±4.16</w:t>
            </w:r>
          </w:p>
        </w:tc>
        <w:tc>
          <w:tcPr>
            <w:tcW w:w="1289"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32.03±3.55</w:t>
            </w:r>
          </w:p>
        </w:tc>
        <w:tc>
          <w:tcPr>
            <w:tcW w:w="130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31.06±4.19</w:t>
            </w:r>
          </w:p>
        </w:tc>
        <w:tc>
          <w:tcPr>
            <w:tcW w:w="136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31.67±3.93</w:t>
            </w:r>
          </w:p>
        </w:tc>
        <w:tc>
          <w:tcPr>
            <w:tcW w:w="12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0.637</w:t>
            </w:r>
          </w:p>
        </w:tc>
      </w:tr>
    </w:tbl>
    <w:p w:rsidR="00F24ADF" w:rsidRPr="006D176A" w:rsidRDefault="00F24ADF" w:rsidP="00A721A9">
      <w:pPr>
        <w:pStyle w:val="NoSpacing"/>
        <w:jc w:val="both"/>
        <w:rPr>
          <w:rFonts w:ascii="Times New Roman"/>
          <w:sz w:val="24"/>
          <w:szCs w:val="24"/>
        </w:rPr>
      </w:pPr>
      <w:r w:rsidRPr="006D176A">
        <w:rPr>
          <w:rFonts w:ascii="Times New Roman"/>
          <w:sz w:val="24"/>
          <w:szCs w:val="24"/>
        </w:rPr>
        <w:t>ANOVA test</w:t>
      </w:r>
    </w:p>
    <w:p w:rsidR="00F24ADF" w:rsidRPr="006D176A" w:rsidRDefault="00F24ADF" w:rsidP="00A721A9">
      <w:pPr>
        <w:pStyle w:val="NoSpacing"/>
        <w:jc w:val="both"/>
        <w:rPr>
          <w:rFonts w:ascii="Times New Roman"/>
          <w:sz w:val="24"/>
          <w:szCs w:val="24"/>
        </w:rPr>
      </w:pPr>
    </w:p>
    <w:p w:rsidR="000115AD" w:rsidRDefault="000115AD" w:rsidP="00A721A9">
      <w:pPr>
        <w:pStyle w:val="NoSpacing"/>
        <w:jc w:val="both"/>
        <w:rPr>
          <w:rFonts w:ascii="Times New Roman"/>
          <w:noProof/>
          <w:sz w:val="24"/>
          <w:szCs w:val="24"/>
          <w:lang w:val="en-US" w:eastAsia="en-US"/>
        </w:rPr>
      </w:pPr>
    </w:p>
    <w:p w:rsidR="000115AD" w:rsidRDefault="000115AD" w:rsidP="00A721A9">
      <w:pPr>
        <w:pStyle w:val="NoSpacing"/>
        <w:jc w:val="both"/>
        <w:rPr>
          <w:rFonts w:ascii="Times New Roman"/>
          <w:noProof/>
          <w:sz w:val="24"/>
          <w:szCs w:val="24"/>
          <w:lang w:val="en-US" w:eastAsia="en-US"/>
        </w:rPr>
      </w:pPr>
    </w:p>
    <w:p w:rsidR="000115AD" w:rsidRDefault="000115AD" w:rsidP="00A721A9">
      <w:pPr>
        <w:pStyle w:val="NoSpacing"/>
        <w:jc w:val="both"/>
        <w:rPr>
          <w:rFonts w:ascii="Times New Roman"/>
          <w:noProof/>
          <w:sz w:val="24"/>
          <w:szCs w:val="24"/>
          <w:lang w:val="en-US" w:eastAsia="en-US"/>
        </w:rPr>
      </w:pPr>
    </w:p>
    <w:p w:rsidR="000115AD" w:rsidRPr="006D176A" w:rsidRDefault="000115AD" w:rsidP="000115AD">
      <w:pPr>
        <w:pStyle w:val="NoSpacing"/>
        <w:jc w:val="both"/>
        <w:rPr>
          <w:rFonts w:ascii="Times New Roman"/>
          <w:sz w:val="24"/>
          <w:szCs w:val="24"/>
        </w:rPr>
      </w:pPr>
      <w:r>
        <w:rPr>
          <w:rFonts w:ascii="Times New Roman"/>
          <w:sz w:val="24"/>
          <w:szCs w:val="24"/>
        </w:rPr>
        <w:lastRenderedPageBreak/>
        <w:t xml:space="preserve">Graph 19. </w:t>
      </w:r>
      <w:r w:rsidRPr="006D176A">
        <w:rPr>
          <w:rFonts w:ascii="Times New Roman"/>
          <w:sz w:val="24"/>
          <w:szCs w:val="24"/>
        </w:rPr>
        <w:t>Comparison of Clinical variables of patients studied in relation to GGT</w:t>
      </w:r>
    </w:p>
    <w:p w:rsidR="000115AD" w:rsidRDefault="000115AD" w:rsidP="00A721A9">
      <w:pPr>
        <w:pStyle w:val="NoSpacing"/>
        <w:jc w:val="both"/>
        <w:rPr>
          <w:rFonts w:ascii="Times New Roman"/>
          <w:noProof/>
          <w:sz w:val="24"/>
          <w:szCs w:val="24"/>
          <w:lang w:val="en-US" w:eastAsia="en-US"/>
        </w:rPr>
      </w:pPr>
    </w:p>
    <w:p w:rsidR="000115AD" w:rsidRDefault="009A040A" w:rsidP="00A721A9">
      <w:pPr>
        <w:pStyle w:val="NoSpacing"/>
        <w:jc w:val="both"/>
        <w:rPr>
          <w:rFonts w:ascii="Times New Roman"/>
          <w:noProof/>
          <w:sz w:val="24"/>
          <w:szCs w:val="24"/>
          <w:lang w:val="en-US" w:eastAsia="en-US"/>
        </w:rPr>
      </w:pPr>
      <w:r w:rsidRPr="006D176A">
        <w:rPr>
          <w:rFonts w:ascii="Times New Roman"/>
          <w:noProof/>
          <w:sz w:val="24"/>
          <w:szCs w:val="24"/>
        </w:rPr>
        <w:drawing>
          <wp:inline distT="0" distB="0" distL="0" distR="0" wp14:anchorId="7F77818E" wp14:editId="26B22C22">
            <wp:extent cx="4572000" cy="2743200"/>
            <wp:effectExtent l="0" t="0" r="0" b="0"/>
            <wp:docPr id="29" name="Chart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4ADF" w:rsidRPr="006D176A" w:rsidRDefault="00F24ADF" w:rsidP="00A721A9">
      <w:pPr>
        <w:pStyle w:val="NoSpacing"/>
        <w:jc w:val="both"/>
        <w:rPr>
          <w:rFonts w:ascii="Times New Roman"/>
          <w:noProof/>
          <w:sz w:val="24"/>
          <w:szCs w:val="24"/>
          <w:lang w:val="en-US" w:eastAsia="en-US"/>
        </w:rPr>
      </w:pPr>
      <w:r w:rsidRPr="006D176A">
        <w:rPr>
          <w:rFonts w:ascii="Times New Roman"/>
          <w:noProof/>
          <w:sz w:val="24"/>
          <w:szCs w:val="24"/>
        </w:rPr>
        <w:drawing>
          <wp:inline distT="0" distB="0" distL="0" distR="0" wp14:anchorId="1614161C" wp14:editId="1BA0EFA4">
            <wp:extent cx="4572000" cy="2743200"/>
            <wp:effectExtent l="0" t="0" r="0" b="0"/>
            <wp:docPr id="28"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6D176A">
        <w:rPr>
          <w:rFonts w:ascii="Times New Roman"/>
          <w:noProof/>
          <w:sz w:val="24"/>
          <w:szCs w:val="24"/>
          <w:lang w:val="en-US" w:eastAsia="en-US"/>
        </w:rPr>
        <w:t xml:space="preserve"> </w:t>
      </w:r>
      <w:r w:rsidR="009A040A" w:rsidRPr="006D176A">
        <w:rPr>
          <w:rFonts w:ascii="Times New Roman"/>
          <w:noProof/>
          <w:sz w:val="24"/>
          <w:szCs w:val="24"/>
        </w:rPr>
        <w:drawing>
          <wp:inline distT="0" distB="0" distL="0" distR="0" wp14:anchorId="58B4C950" wp14:editId="2A9BEEB6">
            <wp:extent cx="4572000" cy="2743200"/>
            <wp:effectExtent l="0" t="0" r="0" b="0"/>
            <wp:docPr id="2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009A040A" w:rsidRPr="006D176A">
        <w:rPr>
          <w:rFonts w:ascii="Times New Roman"/>
          <w:noProof/>
          <w:sz w:val="24"/>
          <w:szCs w:val="24"/>
        </w:rPr>
        <w:lastRenderedPageBreak/>
        <w:drawing>
          <wp:inline distT="0" distB="0" distL="0" distR="0" wp14:anchorId="7C740C0D" wp14:editId="0AFF4809">
            <wp:extent cx="4572000" cy="2743200"/>
            <wp:effectExtent l="0" t="0" r="0" b="0"/>
            <wp:docPr id="26"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393A6EB7" wp14:editId="11B63C2C">
            <wp:extent cx="4572000" cy="2780030"/>
            <wp:effectExtent l="0" t="0" r="0" b="1270"/>
            <wp:docPr id="25"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There were no statistically significant difference in Height, Weight and BMI among the quartiles but there was a positive correlation of waist circumference with GGT level which was statistically significant with p&lt;0.001.</w:t>
      </w:r>
    </w:p>
    <w:p w:rsidR="00F24ADF" w:rsidRPr="006D176A" w:rsidRDefault="000115AD" w:rsidP="00A721A9">
      <w:pPr>
        <w:pStyle w:val="NoSpacing"/>
        <w:jc w:val="both"/>
        <w:rPr>
          <w:rFonts w:ascii="Times New Roman"/>
          <w:sz w:val="24"/>
          <w:szCs w:val="24"/>
        </w:rPr>
      </w:pPr>
      <w:r>
        <w:rPr>
          <w:rFonts w:ascii="Times New Roman"/>
          <w:sz w:val="24"/>
          <w:szCs w:val="24"/>
        </w:rPr>
        <w:t>Table 20</w:t>
      </w:r>
      <w:r w:rsidR="00F24ADF" w:rsidRPr="006D176A">
        <w:rPr>
          <w:rFonts w:ascii="Times New Roman"/>
          <w:sz w:val="24"/>
          <w:szCs w:val="24"/>
        </w:rPr>
        <w:t>: Comparison of Vitals of patients studied in relation to GGT</w:t>
      </w:r>
      <w:r w:rsidR="008F2612">
        <w:rPr>
          <w:rFonts w:ascii="Times New Roman"/>
          <w:sz w:val="24"/>
          <w:szCs w:val="24"/>
        </w:rPr>
        <w:t xml:space="preserve">          (</w:t>
      </w:r>
      <w:r w:rsidR="008F2612" w:rsidRPr="006D176A">
        <w:rPr>
          <w:rFonts w:ascii="Times New Roman"/>
          <w:sz w:val="24"/>
          <w:szCs w:val="24"/>
        </w:rPr>
        <w:t>ANOVA test</w:t>
      </w:r>
      <w:r w:rsidR="008F2612">
        <w:rPr>
          <w:rFonts w:ascii="Times New Roman"/>
          <w:sz w:val="24"/>
          <w:szCs w:val="24"/>
        </w:rPr>
        <w:t>)</w:t>
      </w:r>
    </w:p>
    <w:tbl>
      <w:tblPr>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4"/>
        <w:gridCol w:w="1428"/>
        <w:gridCol w:w="1428"/>
        <w:gridCol w:w="1428"/>
        <w:gridCol w:w="1548"/>
        <w:gridCol w:w="1548"/>
        <w:gridCol w:w="995"/>
      </w:tblGrid>
      <w:tr w:rsidR="00F24ADF" w:rsidRPr="006D176A" w:rsidTr="006D176A">
        <w:trPr>
          <w:trHeight w:val="431"/>
          <w:jc w:val="center"/>
        </w:trPr>
        <w:tc>
          <w:tcPr>
            <w:tcW w:w="1781"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Variables</w:t>
            </w:r>
          </w:p>
        </w:tc>
        <w:tc>
          <w:tcPr>
            <w:tcW w:w="5418"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437"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c>
          <w:tcPr>
            <w:tcW w:w="1173"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P value</w:t>
            </w:r>
          </w:p>
        </w:tc>
      </w:tr>
      <w:tr w:rsidR="00F24ADF" w:rsidRPr="006D176A" w:rsidTr="006D176A">
        <w:trPr>
          <w:trHeight w:val="431"/>
          <w:jc w:val="center"/>
        </w:trPr>
        <w:tc>
          <w:tcPr>
            <w:tcW w:w="1781"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32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32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32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43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437"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173"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Pulse rate (bpm)</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81.45±8.05</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79.57±8.40</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79.00±7.22</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79.57±7.25</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79.64±7.52</w:t>
            </w:r>
          </w:p>
        </w:tc>
        <w:tc>
          <w:tcPr>
            <w:tcW w:w="11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0.849</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SBP (mm Hg)</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145.27±9.48</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142.26±8.32</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151.38±8.88</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148.14±12.96</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147.25±11.09</w:t>
            </w:r>
          </w:p>
        </w:tc>
        <w:tc>
          <w:tcPr>
            <w:tcW w:w="11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0.033*</w:t>
            </w:r>
          </w:p>
        </w:tc>
      </w:tr>
      <w:tr w:rsidR="00F24ADF" w:rsidRPr="006D176A" w:rsidTr="006D176A">
        <w:trPr>
          <w:trHeight w:val="431"/>
          <w:jc w:val="center"/>
        </w:trPr>
        <w:tc>
          <w:tcPr>
            <w:tcW w:w="17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DBP (mm Hg)</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86.73±8.11</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88.43±7.82</w:t>
            </w:r>
          </w:p>
        </w:tc>
        <w:tc>
          <w:tcPr>
            <w:tcW w:w="132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90.33±6.18</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90.05±8.27</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89.38±7.67</w:t>
            </w:r>
          </w:p>
        </w:tc>
        <w:tc>
          <w:tcPr>
            <w:tcW w:w="11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0.508</w:t>
            </w:r>
          </w:p>
        </w:tc>
      </w:tr>
    </w:tbl>
    <w:p w:rsidR="00F24ADF" w:rsidRPr="006D176A" w:rsidRDefault="008F2612" w:rsidP="00A721A9">
      <w:pPr>
        <w:pStyle w:val="NoSpacing"/>
        <w:jc w:val="both"/>
        <w:rPr>
          <w:rFonts w:ascii="Times New Roman"/>
          <w:sz w:val="24"/>
          <w:szCs w:val="24"/>
        </w:rPr>
      </w:pPr>
      <w:r>
        <w:rPr>
          <w:rFonts w:ascii="Times New Roman"/>
          <w:sz w:val="24"/>
          <w:szCs w:val="24"/>
        </w:rPr>
        <w:lastRenderedPageBreak/>
        <w:t xml:space="preserve">Graph 20. </w:t>
      </w:r>
      <w:r w:rsidR="000115AD" w:rsidRPr="006D176A">
        <w:rPr>
          <w:rFonts w:ascii="Times New Roman"/>
          <w:sz w:val="24"/>
          <w:szCs w:val="24"/>
        </w:rPr>
        <w:t>Comparison of Vitals of patients studied in relation to GGT</w:t>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172F27B9" wp14:editId="07139F7B">
            <wp:extent cx="4572000" cy="2743200"/>
            <wp:effectExtent l="0" t="0" r="0" b="0"/>
            <wp:docPr id="24"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16D9D8CD" wp14:editId="3E5EDCE8">
            <wp:extent cx="4572000" cy="2743200"/>
            <wp:effectExtent l="0" t="0" r="0" b="0"/>
            <wp:docPr id="23"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584D7F1B" wp14:editId="30120BF2">
            <wp:extent cx="4572000" cy="2743200"/>
            <wp:effectExtent l="0" t="0" r="0" b="0"/>
            <wp:docPr id="22"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On comparing the vital parameters, SBP had shown positive correlation with GGT level and the correlation was statistically significant with p=0.033</w:t>
      </w:r>
    </w:p>
    <w:p w:rsidR="00F24ADF" w:rsidRPr="006D176A" w:rsidRDefault="008F2612" w:rsidP="00A721A9">
      <w:pPr>
        <w:pStyle w:val="NoSpacing"/>
        <w:jc w:val="both"/>
        <w:rPr>
          <w:rFonts w:ascii="Times New Roman"/>
          <w:sz w:val="24"/>
          <w:szCs w:val="24"/>
        </w:rPr>
      </w:pPr>
      <w:r>
        <w:rPr>
          <w:rFonts w:ascii="Times New Roman"/>
          <w:sz w:val="24"/>
          <w:szCs w:val="24"/>
        </w:rPr>
        <w:t>Table 21</w:t>
      </w:r>
      <w:r w:rsidR="00F24ADF" w:rsidRPr="006D176A">
        <w:rPr>
          <w:rFonts w:ascii="Times New Roman"/>
          <w:sz w:val="24"/>
          <w:szCs w:val="24"/>
        </w:rPr>
        <w:t>: Comparison of Blood parameters of patients studied in relation to GGT</w:t>
      </w:r>
    </w:p>
    <w:tbl>
      <w:tblPr>
        <w:tblW w:w="10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4"/>
        <w:gridCol w:w="1548"/>
        <w:gridCol w:w="1428"/>
        <w:gridCol w:w="1548"/>
        <w:gridCol w:w="1548"/>
        <w:gridCol w:w="1548"/>
        <w:gridCol w:w="1136"/>
      </w:tblGrid>
      <w:tr w:rsidR="00F24ADF" w:rsidRPr="006D176A" w:rsidTr="006D176A">
        <w:trPr>
          <w:trHeight w:val="431"/>
          <w:jc w:val="center"/>
        </w:trPr>
        <w:tc>
          <w:tcPr>
            <w:tcW w:w="1958"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Variables</w:t>
            </w:r>
          </w:p>
        </w:tc>
        <w:tc>
          <w:tcPr>
            <w:tcW w:w="5605"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437"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c>
          <w:tcPr>
            <w:tcW w:w="1150"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P value</w:t>
            </w:r>
          </w:p>
        </w:tc>
      </w:tr>
      <w:tr w:rsidR="00F24ADF" w:rsidRPr="006D176A" w:rsidTr="006D176A">
        <w:trPr>
          <w:trHeight w:val="431"/>
          <w:jc w:val="center"/>
        </w:trPr>
        <w:tc>
          <w:tcPr>
            <w:tcW w:w="1958"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43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294"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43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43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437"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150"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95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FBS (mg/dl)</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128.09±50.47</w:t>
            </w:r>
          </w:p>
        </w:tc>
        <w:tc>
          <w:tcPr>
            <w:tcW w:w="129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199.65±49</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209.33±64.19</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243.31±76.68</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212.44±73.61</w:t>
            </w:r>
          </w:p>
        </w:tc>
        <w:tc>
          <w:tcPr>
            <w:tcW w:w="11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&lt;0.001**</w:t>
            </w:r>
          </w:p>
        </w:tc>
      </w:tr>
      <w:tr w:rsidR="00F24ADF" w:rsidRPr="006D176A" w:rsidTr="006D176A">
        <w:trPr>
          <w:trHeight w:val="431"/>
          <w:jc w:val="center"/>
        </w:trPr>
        <w:tc>
          <w:tcPr>
            <w:tcW w:w="195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Urea (mg/dl)</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29.36±8.59</w:t>
            </w:r>
          </w:p>
        </w:tc>
        <w:tc>
          <w:tcPr>
            <w:tcW w:w="129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31.00±11.48</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30.04±9.60</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33.26±11.81</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31.54±10.88</w:t>
            </w:r>
          </w:p>
        </w:tc>
        <w:tc>
          <w:tcPr>
            <w:tcW w:w="11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0.578</w:t>
            </w:r>
          </w:p>
        </w:tc>
      </w:tr>
      <w:tr w:rsidR="00F24ADF" w:rsidRPr="006D176A" w:rsidTr="006D176A">
        <w:trPr>
          <w:trHeight w:val="431"/>
          <w:jc w:val="center"/>
        </w:trPr>
        <w:tc>
          <w:tcPr>
            <w:tcW w:w="195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Creatinine (mg/dl)</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0.77±0.20</w:t>
            </w:r>
          </w:p>
        </w:tc>
        <w:tc>
          <w:tcPr>
            <w:tcW w:w="129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0.81±0.23</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0.91±0.22</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0.91±0.23</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0.87±0.23</w:t>
            </w:r>
          </w:p>
        </w:tc>
        <w:tc>
          <w:tcPr>
            <w:tcW w:w="1150"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0.112</w:t>
            </w:r>
          </w:p>
        </w:tc>
      </w:tr>
    </w:tbl>
    <w:p w:rsidR="00F24ADF" w:rsidRDefault="00F24ADF" w:rsidP="00A721A9">
      <w:pPr>
        <w:pStyle w:val="NoSpacing"/>
        <w:jc w:val="both"/>
        <w:rPr>
          <w:rFonts w:ascii="Times New Roman"/>
          <w:sz w:val="24"/>
          <w:szCs w:val="24"/>
        </w:rPr>
      </w:pPr>
      <w:r w:rsidRPr="006D176A">
        <w:rPr>
          <w:rFonts w:ascii="Times New Roman"/>
          <w:sz w:val="24"/>
          <w:szCs w:val="24"/>
        </w:rPr>
        <w:t>ANOVA test</w:t>
      </w:r>
    </w:p>
    <w:p w:rsidR="008F2612" w:rsidRDefault="008F2612" w:rsidP="00A721A9">
      <w:pPr>
        <w:pStyle w:val="NoSpacing"/>
        <w:jc w:val="both"/>
        <w:rPr>
          <w:rFonts w:ascii="Times New Roman"/>
          <w:sz w:val="24"/>
          <w:szCs w:val="24"/>
        </w:rPr>
      </w:pPr>
    </w:p>
    <w:p w:rsidR="008F2612" w:rsidRDefault="008F2612" w:rsidP="008F2612">
      <w:pPr>
        <w:pStyle w:val="NoSpacing"/>
        <w:jc w:val="both"/>
        <w:rPr>
          <w:rFonts w:ascii="Times New Roman"/>
          <w:sz w:val="24"/>
          <w:szCs w:val="24"/>
        </w:rPr>
      </w:pPr>
    </w:p>
    <w:p w:rsidR="008F2612" w:rsidRDefault="008F2612" w:rsidP="008F2612">
      <w:pPr>
        <w:pStyle w:val="NoSpacing"/>
        <w:jc w:val="both"/>
        <w:rPr>
          <w:rFonts w:ascii="Times New Roman"/>
          <w:sz w:val="24"/>
          <w:szCs w:val="24"/>
        </w:rPr>
      </w:pPr>
      <w:r>
        <w:rPr>
          <w:rFonts w:ascii="Times New Roman"/>
          <w:sz w:val="24"/>
          <w:szCs w:val="24"/>
        </w:rPr>
        <w:t xml:space="preserve">Graph 21. </w:t>
      </w:r>
      <w:r w:rsidRPr="006D176A">
        <w:rPr>
          <w:rFonts w:ascii="Times New Roman"/>
          <w:sz w:val="24"/>
          <w:szCs w:val="24"/>
        </w:rPr>
        <w:t>Comparison of Blood parameters of patients studied in relation to GGT</w:t>
      </w:r>
    </w:p>
    <w:p w:rsidR="005F1F5C" w:rsidRDefault="005F1F5C" w:rsidP="008F2612">
      <w:pPr>
        <w:pStyle w:val="NoSpacing"/>
        <w:jc w:val="both"/>
        <w:rPr>
          <w:rFonts w:ascii="Times New Roman"/>
          <w:sz w:val="24"/>
          <w:szCs w:val="24"/>
        </w:rPr>
      </w:pPr>
    </w:p>
    <w:p w:rsidR="008F2612" w:rsidRDefault="008F2612" w:rsidP="008F2612">
      <w:pPr>
        <w:pStyle w:val="NoSpacing"/>
        <w:jc w:val="both"/>
        <w:rPr>
          <w:rFonts w:ascii="Times New Roman"/>
          <w:sz w:val="24"/>
          <w:szCs w:val="24"/>
        </w:rPr>
      </w:pPr>
      <w:r w:rsidRPr="006D176A">
        <w:rPr>
          <w:rFonts w:ascii="Times New Roman"/>
          <w:noProof/>
          <w:sz w:val="24"/>
          <w:szCs w:val="24"/>
        </w:rPr>
        <w:drawing>
          <wp:inline distT="0" distB="0" distL="0" distR="0" wp14:anchorId="12E63D98" wp14:editId="25D5A1AC">
            <wp:extent cx="4398745" cy="2483318"/>
            <wp:effectExtent l="0" t="0" r="1905" b="0"/>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5F1F5C" w:rsidRDefault="005F1F5C" w:rsidP="008F2612">
      <w:pPr>
        <w:pStyle w:val="NoSpacing"/>
        <w:jc w:val="both"/>
        <w:rPr>
          <w:rFonts w:ascii="Times New Roman"/>
          <w:sz w:val="24"/>
          <w:szCs w:val="24"/>
        </w:rPr>
      </w:pPr>
    </w:p>
    <w:p w:rsidR="005F1F5C" w:rsidRPr="006D176A" w:rsidRDefault="005F1F5C" w:rsidP="008F2612">
      <w:pPr>
        <w:pStyle w:val="NoSpacing"/>
        <w:jc w:val="both"/>
        <w:rPr>
          <w:rFonts w:ascii="Times New Roman"/>
          <w:sz w:val="24"/>
          <w:szCs w:val="24"/>
        </w:rPr>
      </w:pPr>
      <w:r w:rsidRPr="006D176A">
        <w:rPr>
          <w:rFonts w:ascii="Times New Roman"/>
          <w:noProof/>
          <w:sz w:val="24"/>
          <w:szCs w:val="24"/>
        </w:rPr>
        <w:drawing>
          <wp:inline distT="0" distB="0" distL="0" distR="0" wp14:anchorId="1C7A0085" wp14:editId="0F72BFC4">
            <wp:extent cx="3888606" cy="2387065"/>
            <wp:effectExtent l="0" t="0" r="0" b="0"/>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lastRenderedPageBreak/>
        <w:drawing>
          <wp:inline distT="0" distB="0" distL="0" distR="0" wp14:anchorId="14CF5E92" wp14:editId="726BC740">
            <wp:extent cx="4572000" cy="2743200"/>
            <wp:effectExtent l="0" t="0" r="0" b="0"/>
            <wp:docPr id="19"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There was positive correlation of FBS with GGT level and the correlation was statistically significant with p &lt;0.001</w:t>
      </w: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F24ADF" w:rsidRPr="006D176A" w:rsidRDefault="008F2612" w:rsidP="00A721A9">
      <w:pPr>
        <w:pStyle w:val="NoSpacing"/>
        <w:jc w:val="both"/>
        <w:rPr>
          <w:rFonts w:ascii="Times New Roman"/>
          <w:sz w:val="24"/>
          <w:szCs w:val="24"/>
        </w:rPr>
      </w:pPr>
      <w:r>
        <w:rPr>
          <w:rFonts w:ascii="Times New Roman"/>
          <w:sz w:val="24"/>
          <w:szCs w:val="24"/>
        </w:rPr>
        <w:t>Table 22</w:t>
      </w:r>
      <w:r w:rsidR="00F24ADF" w:rsidRPr="006D176A">
        <w:rPr>
          <w:rFonts w:ascii="Times New Roman"/>
          <w:sz w:val="24"/>
          <w:szCs w:val="24"/>
        </w:rPr>
        <w:t>: Comparison of Lipid variables of patients studied in relation to GGT</w:t>
      </w:r>
    </w:p>
    <w:tbl>
      <w:tblPr>
        <w:tblW w:w="105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2"/>
        <w:gridCol w:w="1548"/>
        <w:gridCol w:w="1548"/>
        <w:gridCol w:w="1668"/>
        <w:gridCol w:w="1548"/>
        <w:gridCol w:w="1668"/>
        <w:gridCol w:w="1132"/>
      </w:tblGrid>
      <w:tr w:rsidR="00F24ADF" w:rsidRPr="006D176A" w:rsidTr="00BB589B">
        <w:trPr>
          <w:trHeight w:val="419"/>
          <w:jc w:val="center"/>
        </w:trPr>
        <w:tc>
          <w:tcPr>
            <w:tcW w:w="1877"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Lipids</w:t>
            </w:r>
          </w:p>
        </w:tc>
        <w:tc>
          <w:tcPr>
            <w:tcW w:w="5983"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581"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c>
          <w:tcPr>
            <w:tcW w:w="1073"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P value</w:t>
            </w:r>
          </w:p>
        </w:tc>
      </w:tr>
      <w:tr w:rsidR="00F24ADF" w:rsidRPr="006D176A" w:rsidTr="00BB589B">
        <w:trPr>
          <w:trHeight w:val="419"/>
          <w:jc w:val="center"/>
        </w:trPr>
        <w:tc>
          <w:tcPr>
            <w:tcW w:w="1877"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46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46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581"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46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581"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073"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BB589B">
        <w:trPr>
          <w:trHeight w:val="419"/>
          <w:jc w:val="center"/>
        </w:trPr>
        <w:tc>
          <w:tcPr>
            <w:tcW w:w="187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Total Cholesterol (mg/dl)</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182.73</w:t>
            </w:r>
          </w:p>
          <w:p w:rsidR="00F24ADF" w:rsidRPr="006D176A" w:rsidRDefault="00F24ADF" w:rsidP="00A721A9">
            <w:pPr>
              <w:pStyle w:val="NoSpacing"/>
              <w:jc w:val="both"/>
              <w:rPr>
                <w:rFonts w:ascii="Times New Roman"/>
                <w:sz w:val="24"/>
                <w:szCs w:val="24"/>
              </w:rPr>
            </w:pPr>
            <w:r w:rsidRPr="006D176A">
              <w:rPr>
                <w:rFonts w:ascii="Times New Roman"/>
                <w:sz w:val="24"/>
                <w:szCs w:val="24"/>
              </w:rPr>
              <w:t>±40.63</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210.09</w:t>
            </w:r>
          </w:p>
          <w:p w:rsidR="00F24ADF" w:rsidRPr="006D176A" w:rsidRDefault="00F24ADF" w:rsidP="00A721A9">
            <w:pPr>
              <w:pStyle w:val="NoSpacing"/>
              <w:jc w:val="both"/>
              <w:rPr>
                <w:rFonts w:ascii="Times New Roman"/>
                <w:sz w:val="24"/>
                <w:szCs w:val="24"/>
              </w:rPr>
            </w:pPr>
            <w:r w:rsidRPr="006D176A">
              <w:rPr>
                <w:rFonts w:ascii="Times New Roman"/>
                <w:sz w:val="24"/>
                <w:szCs w:val="24"/>
              </w:rPr>
              <w:t>±61.79</w:t>
            </w:r>
          </w:p>
        </w:tc>
        <w:tc>
          <w:tcPr>
            <w:tcW w:w="1581"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222.04</w:t>
            </w:r>
          </w:p>
          <w:p w:rsidR="00F24ADF" w:rsidRPr="006D176A" w:rsidRDefault="00F24ADF" w:rsidP="00A721A9">
            <w:pPr>
              <w:pStyle w:val="NoSpacing"/>
              <w:jc w:val="both"/>
              <w:rPr>
                <w:rFonts w:ascii="Times New Roman"/>
                <w:sz w:val="24"/>
                <w:szCs w:val="24"/>
              </w:rPr>
            </w:pPr>
            <w:r w:rsidRPr="006D176A">
              <w:rPr>
                <w:rFonts w:ascii="Times New Roman"/>
                <w:sz w:val="24"/>
                <w:szCs w:val="24"/>
              </w:rPr>
              <w:t>±63.42</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241.50</w:t>
            </w:r>
          </w:p>
          <w:p w:rsidR="00F24ADF" w:rsidRPr="006D176A" w:rsidRDefault="00F24ADF" w:rsidP="00A721A9">
            <w:pPr>
              <w:pStyle w:val="NoSpacing"/>
              <w:jc w:val="both"/>
              <w:rPr>
                <w:rFonts w:ascii="Times New Roman"/>
                <w:sz w:val="24"/>
                <w:szCs w:val="24"/>
              </w:rPr>
            </w:pPr>
            <w:r w:rsidRPr="006D176A">
              <w:rPr>
                <w:rFonts w:ascii="Times New Roman"/>
                <w:sz w:val="24"/>
                <w:szCs w:val="24"/>
              </w:rPr>
              <w:t>±69.85</w:t>
            </w:r>
          </w:p>
        </w:tc>
        <w:tc>
          <w:tcPr>
            <w:tcW w:w="15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223.14±65.84</w:t>
            </w:r>
          </w:p>
        </w:tc>
        <w:tc>
          <w:tcPr>
            <w:tcW w:w="10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0.037*</w:t>
            </w:r>
          </w:p>
        </w:tc>
      </w:tr>
      <w:tr w:rsidR="00F24ADF" w:rsidRPr="006D176A" w:rsidTr="00BB589B">
        <w:trPr>
          <w:trHeight w:val="419"/>
          <w:jc w:val="center"/>
        </w:trPr>
        <w:tc>
          <w:tcPr>
            <w:tcW w:w="187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LDL (mg/dl)</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101.09</w:t>
            </w:r>
          </w:p>
          <w:p w:rsidR="00F24ADF" w:rsidRPr="006D176A" w:rsidRDefault="00F24ADF" w:rsidP="00A721A9">
            <w:pPr>
              <w:pStyle w:val="NoSpacing"/>
              <w:jc w:val="both"/>
              <w:rPr>
                <w:rFonts w:ascii="Times New Roman"/>
                <w:sz w:val="24"/>
                <w:szCs w:val="24"/>
              </w:rPr>
            </w:pPr>
            <w:r w:rsidRPr="006D176A">
              <w:rPr>
                <w:rFonts w:ascii="Times New Roman"/>
                <w:sz w:val="24"/>
                <w:szCs w:val="24"/>
              </w:rPr>
              <w:t>±43.70</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118.13</w:t>
            </w:r>
          </w:p>
          <w:p w:rsidR="00F24ADF" w:rsidRPr="006D176A" w:rsidRDefault="00F24ADF" w:rsidP="00A721A9">
            <w:pPr>
              <w:pStyle w:val="NoSpacing"/>
              <w:jc w:val="both"/>
              <w:rPr>
                <w:rFonts w:ascii="Times New Roman"/>
                <w:sz w:val="24"/>
                <w:szCs w:val="24"/>
              </w:rPr>
            </w:pPr>
            <w:r w:rsidRPr="006D176A">
              <w:rPr>
                <w:rFonts w:ascii="Times New Roman"/>
                <w:sz w:val="24"/>
                <w:szCs w:val="24"/>
              </w:rPr>
              <w:t>±35.85</w:t>
            </w:r>
          </w:p>
        </w:tc>
        <w:tc>
          <w:tcPr>
            <w:tcW w:w="1581"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124.54</w:t>
            </w:r>
          </w:p>
          <w:p w:rsidR="00F24ADF" w:rsidRPr="006D176A" w:rsidRDefault="00F24ADF" w:rsidP="00A721A9">
            <w:pPr>
              <w:pStyle w:val="NoSpacing"/>
              <w:jc w:val="both"/>
              <w:rPr>
                <w:rFonts w:ascii="Times New Roman"/>
                <w:sz w:val="24"/>
                <w:szCs w:val="24"/>
              </w:rPr>
            </w:pPr>
            <w:r w:rsidRPr="006D176A">
              <w:rPr>
                <w:rFonts w:ascii="Times New Roman"/>
                <w:sz w:val="24"/>
                <w:szCs w:val="24"/>
              </w:rPr>
              <w:t>±43.69</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136.71</w:t>
            </w:r>
          </w:p>
          <w:p w:rsidR="00F24ADF" w:rsidRPr="006D176A" w:rsidRDefault="00F24ADF" w:rsidP="00A721A9">
            <w:pPr>
              <w:pStyle w:val="NoSpacing"/>
              <w:jc w:val="both"/>
              <w:rPr>
                <w:rFonts w:ascii="Times New Roman"/>
                <w:sz w:val="24"/>
                <w:szCs w:val="24"/>
              </w:rPr>
            </w:pPr>
            <w:r w:rsidRPr="006D176A">
              <w:rPr>
                <w:rFonts w:ascii="Times New Roman"/>
                <w:sz w:val="24"/>
                <w:szCs w:val="24"/>
              </w:rPr>
              <w:t>±43.59</w:t>
            </w:r>
          </w:p>
        </w:tc>
        <w:tc>
          <w:tcPr>
            <w:tcW w:w="15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125.60±42.91</w:t>
            </w:r>
          </w:p>
        </w:tc>
        <w:tc>
          <w:tcPr>
            <w:tcW w:w="10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0.066+</w:t>
            </w:r>
          </w:p>
        </w:tc>
      </w:tr>
      <w:tr w:rsidR="00F24ADF" w:rsidRPr="006D176A" w:rsidTr="00BB589B">
        <w:trPr>
          <w:trHeight w:val="419"/>
          <w:jc w:val="center"/>
        </w:trPr>
        <w:tc>
          <w:tcPr>
            <w:tcW w:w="187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HDL (mg/dl)</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47.36</w:t>
            </w:r>
          </w:p>
          <w:p w:rsidR="00F24ADF" w:rsidRPr="006D176A" w:rsidRDefault="00F24ADF" w:rsidP="00A721A9">
            <w:pPr>
              <w:pStyle w:val="NoSpacing"/>
              <w:jc w:val="both"/>
              <w:rPr>
                <w:rFonts w:ascii="Times New Roman"/>
                <w:sz w:val="24"/>
                <w:szCs w:val="24"/>
              </w:rPr>
            </w:pPr>
            <w:r w:rsidRPr="006D176A">
              <w:rPr>
                <w:rFonts w:ascii="Times New Roman"/>
                <w:sz w:val="24"/>
                <w:szCs w:val="24"/>
              </w:rPr>
              <w:t>±14.06</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39.09</w:t>
            </w:r>
          </w:p>
          <w:p w:rsidR="00F24ADF" w:rsidRPr="006D176A" w:rsidRDefault="00F24ADF" w:rsidP="00A721A9">
            <w:pPr>
              <w:pStyle w:val="NoSpacing"/>
              <w:jc w:val="both"/>
              <w:rPr>
                <w:rFonts w:ascii="Times New Roman"/>
                <w:sz w:val="24"/>
                <w:szCs w:val="24"/>
              </w:rPr>
            </w:pPr>
            <w:r w:rsidRPr="006D176A">
              <w:rPr>
                <w:rFonts w:ascii="Times New Roman"/>
                <w:sz w:val="24"/>
                <w:szCs w:val="24"/>
              </w:rPr>
              <w:t>±4.79</w:t>
            </w:r>
          </w:p>
        </w:tc>
        <w:tc>
          <w:tcPr>
            <w:tcW w:w="1581"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31.96</w:t>
            </w:r>
          </w:p>
          <w:p w:rsidR="00F24ADF" w:rsidRPr="006D176A" w:rsidRDefault="00F24ADF" w:rsidP="00A721A9">
            <w:pPr>
              <w:pStyle w:val="NoSpacing"/>
              <w:jc w:val="both"/>
              <w:rPr>
                <w:rFonts w:ascii="Times New Roman"/>
                <w:sz w:val="24"/>
                <w:szCs w:val="24"/>
              </w:rPr>
            </w:pPr>
            <w:r w:rsidRPr="006D176A">
              <w:rPr>
                <w:rFonts w:ascii="Times New Roman"/>
                <w:sz w:val="24"/>
                <w:szCs w:val="24"/>
              </w:rPr>
              <w:t>±7.30</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29.79</w:t>
            </w:r>
          </w:p>
          <w:p w:rsidR="00F24ADF" w:rsidRPr="006D176A" w:rsidRDefault="00F24ADF" w:rsidP="00A721A9">
            <w:pPr>
              <w:pStyle w:val="NoSpacing"/>
              <w:jc w:val="both"/>
              <w:rPr>
                <w:rFonts w:ascii="Times New Roman"/>
                <w:sz w:val="24"/>
                <w:szCs w:val="24"/>
              </w:rPr>
            </w:pPr>
            <w:r w:rsidRPr="006D176A">
              <w:rPr>
                <w:rFonts w:ascii="Times New Roman"/>
                <w:sz w:val="24"/>
                <w:szCs w:val="24"/>
              </w:rPr>
              <w:t>±5.28</w:t>
            </w:r>
          </w:p>
        </w:tc>
        <w:tc>
          <w:tcPr>
            <w:tcW w:w="15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34.38±9.13</w:t>
            </w:r>
          </w:p>
        </w:tc>
        <w:tc>
          <w:tcPr>
            <w:tcW w:w="10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&lt;0.001**</w:t>
            </w:r>
          </w:p>
        </w:tc>
      </w:tr>
      <w:tr w:rsidR="00F24ADF" w:rsidRPr="006D176A" w:rsidTr="00BB589B">
        <w:trPr>
          <w:trHeight w:val="419"/>
          <w:jc w:val="center"/>
        </w:trPr>
        <w:tc>
          <w:tcPr>
            <w:tcW w:w="187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VLDL (mg/dl)</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37.45</w:t>
            </w:r>
          </w:p>
          <w:p w:rsidR="00F24ADF" w:rsidRPr="006D176A" w:rsidRDefault="00F24ADF" w:rsidP="00A721A9">
            <w:pPr>
              <w:pStyle w:val="NoSpacing"/>
              <w:jc w:val="both"/>
              <w:rPr>
                <w:rFonts w:ascii="Times New Roman"/>
                <w:sz w:val="24"/>
                <w:szCs w:val="24"/>
              </w:rPr>
            </w:pPr>
            <w:r w:rsidRPr="006D176A">
              <w:rPr>
                <w:rFonts w:ascii="Times New Roman"/>
                <w:sz w:val="24"/>
                <w:szCs w:val="24"/>
              </w:rPr>
              <w:t>±31.84</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35.65</w:t>
            </w:r>
          </w:p>
          <w:p w:rsidR="00F24ADF" w:rsidRPr="006D176A" w:rsidRDefault="00F24ADF" w:rsidP="00A721A9">
            <w:pPr>
              <w:pStyle w:val="NoSpacing"/>
              <w:jc w:val="both"/>
              <w:rPr>
                <w:rFonts w:ascii="Times New Roman"/>
                <w:sz w:val="24"/>
                <w:szCs w:val="24"/>
              </w:rPr>
            </w:pPr>
            <w:r w:rsidRPr="006D176A">
              <w:rPr>
                <w:rFonts w:ascii="Times New Roman"/>
                <w:sz w:val="24"/>
                <w:szCs w:val="24"/>
              </w:rPr>
              <w:t>±15.11</w:t>
            </w:r>
          </w:p>
        </w:tc>
        <w:tc>
          <w:tcPr>
            <w:tcW w:w="1581"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42.58</w:t>
            </w:r>
          </w:p>
          <w:p w:rsidR="00F24ADF" w:rsidRPr="006D176A" w:rsidRDefault="00F24ADF" w:rsidP="00A721A9">
            <w:pPr>
              <w:pStyle w:val="NoSpacing"/>
              <w:jc w:val="both"/>
              <w:rPr>
                <w:rFonts w:ascii="Times New Roman"/>
                <w:sz w:val="24"/>
                <w:szCs w:val="24"/>
              </w:rPr>
            </w:pPr>
            <w:r w:rsidRPr="006D176A">
              <w:rPr>
                <w:rFonts w:ascii="Times New Roman"/>
                <w:sz w:val="24"/>
                <w:szCs w:val="24"/>
              </w:rPr>
              <w:t>±32.69</w:t>
            </w:r>
          </w:p>
        </w:tc>
        <w:tc>
          <w:tcPr>
            <w:tcW w:w="1467" w:type="dxa"/>
            <w:shd w:val="clear" w:color="auto" w:fill="auto"/>
            <w:vAlign w:val="center"/>
          </w:tcPr>
          <w:p w:rsidR="00BB589B" w:rsidRDefault="00F24ADF" w:rsidP="00A721A9">
            <w:pPr>
              <w:pStyle w:val="NoSpacing"/>
              <w:jc w:val="both"/>
              <w:rPr>
                <w:rFonts w:ascii="Times New Roman"/>
                <w:sz w:val="24"/>
                <w:szCs w:val="24"/>
              </w:rPr>
            </w:pPr>
            <w:r w:rsidRPr="006D176A">
              <w:rPr>
                <w:rFonts w:ascii="Times New Roman"/>
                <w:sz w:val="24"/>
                <w:szCs w:val="24"/>
              </w:rPr>
              <w:t>39.36</w:t>
            </w:r>
          </w:p>
          <w:p w:rsidR="00F24ADF" w:rsidRPr="006D176A" w:rsidRDefault="00F24ADF" w:rsidP="00A721A9">
            <w:pPr>
              <w:pStyle w:val="NoSpacing"/>
              <w:jc w:val="both"/>
              <w:rPr>
                <w:rFonts w:ascii="Times New Roman"/>
                <w:sz w:val="24"/>
                <w:szCs w:val="24"/>
              </w:rPr>
            </w:pPr>
            <w:r w:rsidRPr="006D176A">
              <w:rPr>
                <w:rFonts w:ascii="Times New Roman"/>
                <w:sz w:val="24"/>
                <w:szCs w:val="24"/>
              </w:rPr>
              <w:t>±17.23</w:t>
            </w:r>
          </w:p>
        </w:tc>
        <w:tc>
          <w:tcPr>
            <w:tcW w:w="15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39.07±23.03</w:t>
            </w:r>
          </w:p>
        </w:tc>
        <w:tc>
          <w:tcPr>
            <w:tcW w:w="10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0.776</w:t>
            </w:r>
          </w:p>
        </w:tc>
      </w:tr>
      <w:tr w:rsidR="00F24ADF" w:rsidRPr="006D176A" w:rsidTr="00BB589B">
        <w:trPr>
          <w:trHeight w:val="419"/>
          <w:jc w:val="center"/>
        </w:trPr>
        <w:tc>
          <w:tcPr>
            <w:tcW w:w="187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TGL (mg/dl)</w:t>
            </w:r>
          </w:p>
        </w:tc>
        <w:tc>
          <w:tcPr>
            <w:tcW w:w="146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142.36±56.72</w:t>
            </w:r>
          </w:p>
        </w:tc>
        <w:tc>
          <w:tcPr>
            <w:tcW w:w="146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169.35±43.05</w:t>
            </w:r>
          </w:p>
        </w:tc>
        <w:tc>
          <w:tcPr>
            <w:tcW w:w="15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245.54±207.26</w:t>
            </w:r>
          </w:p>
        </w:tc>
        <w:tc>
          <w:tcPr>
            <w:tcW w:w="146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207.76±82.41</w:t>
            </w:r>
          </w:p>
        </w:tc>
        <w:tc>
          <w:tcPr>
            <w:tcW w:w="1581"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200.80±121.02</w:t>
            </w:r>
          </w:p>
        </w:tc>
        <w:tc>
          <w:tcPr>
            <w:tcW w:w="10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0.054+</w:t>
            </w:r>
          </w:p>
        </w:tc>
      </w:tr>
    </w:tbl>
    <w:p w:rsidR="005F1F5C" w:rsidRDefault="005F1F5C" w:rsidP="008F2612">
      <w:pPr>
        <w:pStyle w:val="NoSpacing"/>
        <w:jc w:val="both"/>
        <w:rPr>
          <w:rFonts w:ascii="Times New Roman"/>
          <w:sz w:val="24"/>
          <w:szCs w:val="24"/>
        </w:rPr>
      </w:pPr>
    </w:p>
    <w:p w:rsidR="005F1F5C" w:rsidRDefault="005F1F5C" w:rsidP="008F2612">
      <w:pPr>
        <w:pStyle w:val="NoSpacing"/>
        <w:jc w:val="both"/>
        <w:rPr>
          <w:rFonts w:ascii="Times New Roman"/>
          <w:sz w:val="24"/>
          <w:szCs w:val="24"/>
        </w:rPr>
      </w:pPr>
    </w:p>
    <w:p w:rsidR="005F1F5C" w:rsidRDefault="005F1F5C" w:rsidP="008F2612">
      <w:pPr>
        <w:pStyle w:val="NoSpacing"/>
        <w:jc w:val="both"/>
        <w:rPr>
          <w:rFonts w:ascii="Times New Roman"/>
          <w:sz w:val="24"/>
          <w:szCs w:val="24"/>
        </w:rPr>
      </w:pPr>
    </w:p>
    <w:p w:rsidR="005F1F5C" w:rsidRDefault="005F1F5C" w:rsidP="008F2612">
      <w:pPr>
        <w:pStyle w:val="NoSpacing"/>
        <w:jc w:val="both"/>
        <w:rPr>
          <w:rFonts w:ascii="Times New Roman"/>
          <w:sz w:val="24"/>
          <w:szCs w:val="24"/>
        </w:rPr>
      </w:pPr>
    </w:p>
    <w:p w:rsidR="005F1F5C" w:rsidRDefault="005F1F5C" w:rsidP="008F2612">
      <w:pPr>
        <w:pStyle w:val="NoSpacing"/>
        <w:jc w:val="both"/>
        <w:rPr>
          <w:rFonts w:ascii="Times New Roman"/>
          <w:sz w:val="24"/>
          <w:szCs w:val="24"/>
        </w:rPr>
      </w:pPr>
    </w:p>
    <w:p w:rsidR="005F1F5C" w:rsidRDefault="005F1F5C" w:rsidP="008F2612">
      <w:pPr>
        <w:pStyle w:val="NoSpacing"/>
        <w:jc w:val="both"/>
        <w:rPr>
          <w:rFonts w:ascii="Times New Roman"/>
          <w:sz w:val="24"/>
          <w:szCs w:val="24"/>
        </w:rPr>
      </w:pPr>
    </w:p>
    <w:p w:rsidR="005F1F5C" w:rsidRDefault="005F1F5C" w:rsidP="008F2612">
      <w:pPr>
        <w:pStyle w:val="NoSpacing"/>
        <w:jc w:val="both"/>
        <w:rPr>
          <w:rFonts w:ascii="Times New Roman"/>
          <w:sz w:val="24"/>
          <w:szCs w:val="24"/>
        </w:rPr>
      </w:pPr>
    </w:p>
    <w:p w:rsidR="005F1F5C" w:rsidRDefault="005F1F5C" w:rsidP="008F2612">
      <w:pPr>
        <w:pStyle w:val="NoSpacing"/>
        <w:jc w:val="both"/>
        <w:rPr>
          <w:rFonts w:ascii="Times New Roman"/>
          <w:sz w:val="24"/>
          <w:szCs w:val="24"/>
        </w:rPr>
      </w:pPr>
    </w:p>
    <w:p w:rsidR="008F2612" w:rsidRPr="006D176A" w:rsidRDefault="008F2612" w:rsidP="008F2612">
      <w:pPr>
        <w:pStyle w:val="NoSpacing"/>
        <w:jc w:val="both"/>
        <w:rPr>
          <w:rFonts w:ascii="Times New Roman"/>
          <w:sz w:val="24"/>
          <w:szCs w:val="24"/>
        </w:rPr>
      </w:pPr>
      <w:r>
        <w:rPr>
          <w:rFonts w:ascii="Times New Roman"/>
          <w:sz w:val="24"/>
          <w:szCs w:val="24"/>
        </w:rPr>
        <w:lastRenderedPageBreak/>
        <w:t xml:space="preserve">Graph 22. </w:t>
      </w:r>
      <w:r w:rsidRPr="006D176A">
        <w:rPr>
          <w:rFonts w:ascii="Times New Roman"/>
          <w:sz w:val="24"/>
          <w:szCs w:val="24"/>
        </w:rPr>
        <w:t>Comparison of Lipid variables of patients studied in relation to GGT</w:t>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drawing>
          <wp:inline distT="0" distB="0" distL="0" distR="0" wp14:anchorId="2BC7D5A4" wp14:editId="2C5BC3EE">
            <wp:extent cx="4572000" cy="2743200"/>
            <wp:effectExtent l="0" t="0" r="0" b="0"/>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577842A6" wp14:editId="3BA1B531">
            <wp:extent cx="4572000" cy="2743200"/>
            <wp:effectExtent l="0" t="0" r="0" b="0"/>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45B0FF4D" wp14:editId="323F1965">
            <wp:extent cx="4572000" cy="2743200"/>
            <wp:effectExtent l="0" t="0" r="0" b="0"/>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lastRenderedPageBreak/>
        <w:drawing>
          <wp:inline distT="0" distB="0" distL="0" distR="0" wp14:anchorId="39BE0B2A" wp14:editId="4ABF0B12">
            <wp:extent cx="4572000" cy="2743200"/>
            <wp:effectExtent l="0" t="0" r="0" b="0"/>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1E188FF3" wp14:editId="2F573206">
            <wp:extent cx="4572000" cy="2743200"/>
            <wp:effectExtent l="0" t="0" r="0" b="0"/>
            <wp:docPr id="14"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F24ADF" w:rsidRPr="006D176A" w:rsidRDefault="00F24ADF" w:rsidP="00A721A9">
      <w:pPr>
        <w:pStyle w:val="NoSpacing"/>
        <w:jc w:val="both"/>
        <w:rPr>
          <w:rFonts w:ascii="Times New Roman"/>
          <w:sz w:val="24"/>
          <w:szCs w:val="24"/>
        </w:rPr>
      </w:pP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comparison of Lipid variables, there was positive correlation of Total cholesterol with GGT and the correlation was statistically significant with p=0.037</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There was negative correlation of HDL with GGT level and the correlation was statistically significant with p&lt;0.001</w:t>
      </w: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5F1F5C" w:rsidRDefault="005F1F5C" w:rsidP="00A721A9">
      <w:pPr>
        <w:pStyle w:val="NoSpacing"/>
        <w:jc w:val="both"/>
        <w:rPr>
          <w:rFonts w:ascii="Times New Roman"/>
          <w:sz w:val="24"/>
          <w:szCs w:val="24"/>
        </w:rPr>
      </w:pPr>
    </w:p>
    <w:p w:rsidR="00F24ADF" w:rsidRPr="006D176A" w:rsidRDefault="008F2612" w:rsidP="00A721A9">
      <w:pPr>
        <w:pStyle w:val="NoSpacing"/>
        <w:jc w:val="both"/>
        <w:rPr>
          <w:rFonts w:ascii="Times New Roman"/>
          <w:sz w:val="24"/>
          <w:szCs w:val="24"/>
        </w:rPr>
      </w:pPr>
      <w:r>
        <w:rPr>
          <w:rFonts w:ascii="Times New Roman"/>
          <w:sz w:val="24"/>
          <w:szCs w:val="24"/>
        </w:rPr>
        <w:lastRenderedPageBreak/>
        <w:t>Table 23</w:t>
      </w:r>
      <w:r w:rsidR="00F24ADF" w:rsidRPr="006D176A">
        <w:rPr>
          <w:rFonts w:ascii="Times New Roman"/>
          <w:sz w:val="24"/>
          <w:szCs w:val="24"/>
        </w:rPr>
        <w:t>: Comparison of Hb, WBC and Platelet count of patients studied in relation to GGT</w:t>
      </w:r>
    </w:p>
    <w:tbl>
      <w:tblPr>
        <w:tblW w:w="107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1669"/>
        <w:gridCol w:w="1668"/>
        <w:gridCol w:w="1668"/>
        <w:gridCol w:w="1865"/>
        <w:gridCol w:w="1668"/>
        <w:gridCol w:w="763"/>
      </w:tblGrid>
      <w:tr w:rsidR="00F24ADF" w:rsidRPr="006D176A" w:rsidTr="006D176A">
        <w:trPr>
          <w:trHeight w:val="393"/>
          <w:jc w:val="center"/>
        </w:trPr>
        <w:tc>
          <w:tcPr>
            <w:tcW w:w="1396"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Variables</w:t>
            </w:r>
          </w:p>
        </w:tc>
        <w:tc>
          <w:tcPr>
            <w:tcW w:w="6896"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674"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c>
          <w:tcPr>
            <w:tcW w:w="752"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P value</w:t>
            </w:r>
          </w:p>
        </w:tc>
      </w:tr>
      <w:tr w:rsidR="006D176A" w:rsidRPr="006D176A" w:rsidTr="006D176A">
        <w:trPr>
          <w:trHeight w:val="393"/>
          <w:jc w:val="center"/>
        </w:trPr>
        <w:tc>
          <w:tcPr>
            <w:tcW w:w="1396"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674"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674"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674"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873"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674"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752"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393"/>
          <w:jc w:val="center"/>
        </w:trPr>
        <w:tc>
          <w:tcPr>
            <w:tcW w:w="139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Hemoglobin (g/dl)</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13.39±1.31</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12.63±2.88</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13.54±2.41</w:t>
            </w:r>
          </w:p>
        </w:tc>
        <w:tc>
          <w:tcPr>
            <w:tcW w:w="18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12.69±2.04</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12.96±2.29</w:t>
            </w:r>
          </w:p>
        </w:tc>
        <w:tc>
          <w:tcPr>
            <w:tcW w:w="75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0.403</w:t>
            </w:r>
          </w:p>
        </w:tc>
      </w:tr>
      <w:tr w:rsidR="00F24ADF" w:rsidRPr="006D176A" w:rsidTr="006D176A">
        <w:trPr>
          <w:trHeight w:val="393"/>
          <w:jc w:val="center"/>
        </w:trPr>
        <w:tc>
          <w:tcPr>
            <w:tcW w:w="139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WBC</w:t>
            </w:r>
          </w:p>
        </w:tc>
        <w:tc>
          <w:tcPr>
            <w:tcW w:w="1674" w:type="dxa"/>
            <w:shd w:val="clear" w:color="auto" w:fill="auto"/>
            <w:vAlign w:val="center"/>
          </w:tcPr>
          <w:p w:rsidR="006D176A" w:rsidRPr="006D176A" w:rsidRDefault="00F24ADF" w:rsidP="00A721A9">
            <w:pPr>
              <w:pStyle w:val="NoSpacing"/>
              <w:jc w:val="both"/>
              <w:rPr>
                <w:rFonts w:ascii="Times New Roman"/>
                <w:sz w:val="24"/>
                <w:szCs w:val="24"/>
              </w:rPr>
            </w:pPr>
            <w:r w:rsidRPr="006D176A">
              <w:rPr>
                <w:rFonts w:ascii="Times New Roman"/>
                <w:sz w:val="24"/>
                <w:szCs w:val="24"/>
              </w:rPr>
              <w:t>9773.64</w:t>
            </w:r>
          </w:p>
          <w:p w:rsidR="00F24ADF" w:rsidRPr="006D176A" w:rsidRDefault="00F24ADF" w:rsidP="00A721A9">
            <w:pPr>
              <w:pStyle w:val="NoSpacing"/>
              <w:jc w:val="both"/>
              <w:rPr>
                <w:rFonts w:ascii="Times New Roman"/>
                <w:sz w:val="24"/>
                <w:szCs w:val="24"/>
              </w:rPr>
            </w:pPr>
            <w:r w:rsidRPr="006D176A">
              <w:rPr>
                <w:rFonts w:ascii="Times New Roman"/>
                <w:sz w:val="24"/>
                <w:szCs w:val="24"/>
              </w:rPr>
              <w:t>±4136.69</w:t>
            </w:r>
          </w:p>
        </w:tc>
        <w:tc>
          <w:tcPr>
            <w:tcW w:w="1674" w:type="dxa"/>
            <w:shd w:val="clear" w:color="auto" w:fill="auto"/>
            <w:vAlign w:val="center"/>
          </w:tcPr>
          <w:p w:rsidR="006D176A" w:rsidRPr="006D176A" w:rsidRDefault="00F24ADF" w:rsidP="00A721A9">
            <w:pPr>
              <w:pStyle w:val="NoSpacing"/>
              <w:jc w:val="both"/>
              <w:rPr>
                <w:rFonts w:ascii="Times New Roman"/>
                <w:sz w:val="24"/>
                <w:szCs w:val="24"/>
              </w:rPr>
            </w:pPr>
            <w:r w:rsidRPr="006D176A">
              <w:rPr>
                <w:rFonts w:ascii="Times New Roman"/>
                <w:sz w:val="24"/>
                <w:szCs w:val="24"/>
              </w:rPr>
              <w:t>8325.65</w:t>
            </w:r>
          </w:p>
          <w:p w:rsidR="00F24ADF" w:rsidRPr="006D176A" w:rsidRDefault="00F24ADF" w:rsidP="00A721A9">
            <w:pPr>
              <w:pStyle w:val="NoSpacing"/>
              <w:jc w:val="both"/>
              <w:rPr>
                <w:rFonts w:ascii="Times New Roman"/>
                <w:sz w:val="24"/>
                <w:szCs w:val="24"/>
              </w:rPr>
            </w:pPr>
            <w:r w:rsidRPr="006D176A">
              <w:rPr>
                <w:rFonts w:ascii="Times New Roman"/>
                <w:sz w:val="24"/>
                <w:szCs w:val="24"/>
              </w:rPr>
              <w:t>±3123.74</w:t>
            </w:r>
          </w:p>
        </w:tc>
        <w:tc>
          <w:tcPr>
            <w:tcW w:w="1674" w:type="dxa"/>
            <w:shd w:val="clear" w:color="auto" w:fill="auto"/>
            <w:vAlign w:val="center"/>
          </w:tcPr>
          <w:p w:rsidR="006D176A" w:rsidRPr="006D176A" w:rsidRDefault="00F24ADF" w:rsidP="00A721A9">
            <w:pPr>
              <w:pStyle w:val="NoSpacing"/>
              <w:jc w:val="both"/>
              <w:rPr>
                <w:rFonts w:ascii="Times New Roman"/>
                <w:sz w:val="24"/>
                <w:szCs w:val="24"/>
              </w:rPr>
            </w:pPr>
            <w:r w:rsidRPr="006D176A">
              <w:rPr>
                <w:rFonts w:ascii="Times New Roman"/>
                <w:sz w:val="24"/>
                <w:szCs w:val="24"/>
              </w:rPr>
              <w:t>9123.33</w:t>
            </w:r>
          </w:p>
          <w:p w:rsidR="00F24ADF" w:rsidRPr="006D176A" w:rsidRDefault="00F24ADF" w:rsidP="00A721A9">
            <w:pPr>
              <w:pStyle w:val="NoSpacing"/>
              <w:jc w:val="both"/>
              <w:rPr>
                <w:rFonts w:ascii="Times New Roman"/>
                <w:sz w:val="24"/>
                <w:szCs w:val="24"/>
              </w:rPr>
            </w:pPr>
            <w:r w:rsidRPr="006D176A">
              <w:rPr>
                <w:rFonts w:ascii="Times New Roman"/>
                <w:sz w:val="24"/>
                <w:szCs w:val="24"/>
              </w:rPr>
              <w:t>±2540.16</w:t>
            </w:r>
          </w:p>
        </w:tc>
        <w:tc>
          <w:tcPr>
            <w:tcW w:w="1873" w:type="dxa"/>
            <w:shd w:val="clear" w:color="auto" w:fill="auto"/>
            <w:vAlign w:val="center"/>
          </w:tcPr>
          <w:p w:rsidR="006D176A" w:rsidRPr="006D176A" w:rsidRDefault="00F24ADF" w:rsidP="00A721A9">
            <w:pPr>
              <w:pStyle w:val="NoSpacing"/>
              <w:jc w:val="both"/>
              <w:rPr>
                <w:rFonts w:ascii="Times New Roman"/>
                <w:sz w:val="24"/>
                <w:szCs w:val="24"/>
              </w:rPr>
            </w:pPr>
            <w:r w:rsidRPr="006D176A">
              <w:rPr>
                <w:rFonts w:ascii="Times New Roman"/>
                <w:sz w:val="24"/>
                <w:szCs w:val="24"/>
              </w:rPr>
              <w:t>11139.52</w:t>
            </w:r>
          </w:p>
          <w:p w:rsidR="00F24ADF" w:rsidRPr="006D176A" w:rsidRDefault="00F24ADF" w:rsidP="00A721A9">
            <w:pPr>
              <w:pStyle w:val="NoSpacing"/>
              <w:jc w:val="both"/>
              <w:rPr>
                <w:rFonts w:ascii="Times New Roman"/>
                <w:sz w:val="24"/>
                <w:szCs w:val="24"/>
              </w:rPr>
            </w:pPr>
            <w:r w:rsidRPr="006D176A">
              <w:rPr>
                <w:rFonts w:ascii="Times New Roman"/>
                <w:sz w:val="24"/>
                <w:szCs w:val="24"/>
              </w:rPr>
              <w:t>±14681.17</w:t>
            </w:r>
          </w:p>
        </w:tc>
        <w:tc>
          <w:tcPr>
            <w:tcW w:w="1674" w:type="dxa"/>
            <w:shd w:val="clear" w:color="auto" w:fill="auto"/>
            <w:vAlign w:val="center"/>
          </w:tcPr>
          <w:p w:rsidR="006D176A" w:rsidRPr="006D176A" w:rsidRDefault="00F24ADF" w:rsidP="00A721A9">
            <w:pPr>
              <w:pStyle w:val="NoSpacing"/>
              <w:jc w:val="both"/>
              <w:rPr>
                <w:rFonts w:ascii="Times New Roman"/>
                <w:sz w:val="24"/>
                <w:szCs w:val="24"/>
              </w:rPr>
            </w:pPr>
            <w:r w:rsidRPr="006D176A">
              <w:rPr>
                <w:rFonts w:ascii="Times New Roman"/>
                <w:sz w:val="24"/>
                <w:szCs w:val="24"/>
              </w:rPr>
              <w:t>9858.20</w:t>
            </w:r>
          </w:p>
          <w:p w:rsidR="00F24ADF" w:rsidRPr="006D176A" w:rsidRDefault="00F24ADF" w:rsidP="00A721A9">
            <w:pPr>
              <w:pStyle w:val="NoSpacing"/>
              <w:jc w:val="both"/>
              <w:rPr>
                <w:rFonts w:ascii="Times New Roman"/>
                <w:sz w:val="24"/>
                <w:szCs w:val="24"/>
              </w:rPr>
            </w:pPr>
            <w:r w:rsidRPr="006D176A">
              <w:rPr>
                <w:rFonts w:ascii="Times New Roman"/>
                <w:sz w:val="24"/>
                <w:szCs w:val="24"/>
              </w:rPr>
              <w:t>±9799.62</w:t>
            </w:r>
          </w:p>
        </w:tc>
        <w:tc>
          <w:tcPr>
            <w:tcW w:w="75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0.708</w:t>
            </w:r>
          </w:p>
        </w:tc>
      </w:tr>
      <w:tr w:rsidR="00F24ADF" w:rsidRPr="006D176A" w:rsidTr="006D176A">
        <w:trPr>
          <w:trHeight w:val="393"/>
          <w:jc w:val="center"/>
        </w:trPr>
        <w:tc>
          <w:tcPr>
            <w:tcW w:w="1396"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Platelet Count</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2.57±0.67</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2.62±1.19</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2.74±0.96</w:t>
            </w:r>
          </w:p>
        </w:tc>
        <w:tc>
          <w:tcPr>
            <w:tcW w:w="187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2.58±0.73</w:t>
            </w:r>
          </w:p>
        </w:tc>
        <w:tc>
          <w:tcPr>
            <w:tcW w:w="167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2.63±0.89</w:t>
            </w:r>
          </w:p>
        </w:tc>
        <w:tc>
          <w:tcPr>
            <w:tcW w:w="752"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0.908</w:t>
            </w:r>
          </w:p>
        </w:tc>
      </w:tr>
    </w:tbl>
    <w:p w:rsidR="00F24ADF" w:rsidRDefault="00F24ADF" w:rsidP="00A721A9">
      <w:pPr>
        <w:pStyle w:val="NoSpacing"/>
        <w:jc w:val="both"/>
        <w:rPr>
          <w:rFonts w:ascii="Times New Roman"/>
          <w:sz w:val="24"/>
          <w:szCs w:val="24"/>
        </w:rPr>
      </w:pPr>
      <w:r w:rsidRPr="006D176A">
        <w:rPr>
          <w:rFonts w:ascii="Times New Roman"/>
          <w:sz w:val="24"/>
          <w:szCs w:val="24"/>
        </w:rPr>
        <w:t>ANOVA test</w:t>
      </w:r>
    </w:p>
    <w:p w:rsidR="008F2612" w:rsidRDefault="008F2612" w:rsidP="00A721A9">
      <w:pPr>
        <w:pStyle w:val="NoSpacing"/>
        <w:jc w:val="both"/>
        <w:rPr>
          <w:rFonts w:ascii="Times New Roman"/>
          <w:sz w:val="24"/>
          <w:szCs w:val="24"/>
        </w:rPr>
      </w:pPr>
    </w:p>
    <w:p w:rsidR="008F2612" w:rsidRPr="006D176A" w:rsidRDefault="008F2612" w:rsidP="008F2612">
      <w:pPr>
        <w:pStyle w:val="NoSpacing"/>
        <w:jc w:val="both"/>
        <w:rPr>
          <w:rFonts w:ascii="Times New Roman"/>
          <w:sz w:val="24"/>
          <w:szCs w:val="24"/>
        </w:rPr>
      </w:pPr>
      <w:r>
        <w:rPr>
          <w:rFonts w:ascii="Times New Roman"/>
          <w:sz w:val="24"/>
          <w:szCs w:val="24"/>
        </w:rPr>
        <w:t xml:space="preserve">Graph 23. </w:t>
      </w:r>
      <w:r w:rsidRPr="006D176A">
        <w:rPr>
          <w:rFonts w:ascii="Times New Roman"/>
          <w:sz w:val="24"/>
          <w:szCs w:val="24"/>
        </w:rPr>
        <w:t>Comparison of Hb, WBC and Platelet count of patients studied in relation to GGT</w:t>
      </w:r>
    </w:p>
    <w:p w:rsidR="008F2612" w:rsidRPr="006D176A" w:rsidRDefault="008F2612"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8F2612" w:rsidP="00A721A9">
      <w:pPr>
        <w:pStyle w:val="NoSpacing"/>
        <w:jc w:val="both"/>
        <w:rPr>
          <w:rFonts w:ascii="Times New Roman"/>
          <w:sz w:val="24"/>
          <w:szCs w:val="24"/>
        </w:rPr>
      </w:pPr>
      <w:r w:rsidRPr="006D176A">
        <w:rPr>
          <w:rFonts w:ascii="Times New Roman"/>
          <w:noProof/>
          <w:sz w:val="24"/>
          <w:szCs w:val="24"/>
        </w:rPr>
        <w:drawing>
          <wp:inline distT="0" distB="0" distL="0" distR="0" wp14:anchorId="353A2002" wp14:editId="11EACA04">
            <wp:extent cx="4572000" cy="2743200"/>
            <wp:effectExtent l="0" t="0" r="0" b="0"/>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sidRPr="006D176A">
        <w:rPr>
          <w:rFonts w:ascii="Times New Roman"/>
          <w:noProof/>
          <w:sz w:val="24"/>
          <w:szCs w:val="24"/>
        </w:rPr>
        <w:drawing>
          <wp:inline distT="0" distB="0" distL="0" distR="0" wp14:anchorId="4A6B2022" wp14:editId="0ABC8B3A">
            <wp:extent cx="4572000" cy="2743200"/>
            <wp:effectExtent l="0" t="0" r="0" b="0"/>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F24ADF" w:rsidRPr="006D176A" w:rsidRDefault="00F24ADF" w:rsidP="00A721A9">
      <w:pPr>
        <w:pStyle w:val="NoSpacing"/>
        <w:jc w:val="both"/>
        <w:rPr>
          <w:rFonts w:ascii="Times New Roman"/>
          <w:sz w:val="24"/>
          <w:szCs w:val="24"/>
        </w:rPr>
      </w:pPr>
      <w:r w:rsidRPr="006D176A">
        <w:rPr>
          <w:rFonts w:ascii="Times New Roman"/>
          <w:noProof/>
          <w:sz w:val="24"/>
          <w:szCs w:val="24"/>
        </w:rPr>
        <w:lastRenderedPageBreak/>
        <w:drawing>
          <wp:inline distT="0" distB="0" distL="0" distR="0" wp14:anchorId="16CE3E25" wp14:editId="0132BFAD">
            <wp:extent cx="4572000" cy="2743200"/>
            <wp:effectExtent l="0" t="0" r="0" b="0"/>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sz w:val="24"/>
          <w:szCs w:val="24"/>
        </w:rPr>
      </w:pPr>
    </w:p>
    <w:p w:rsidR="00F24ADF" w:rsidRPr="006D176A" w:rsidRDefault="009A040A" w:rsidP="00A721A9">
      <w:pPr>
        <w:pStyle w:val="NoSpacing"/>
        <w:jc w:val="both"/>
        <w:rPr>
          <w:rFonts w:ascii="Times New Roman"/>
          <w:sz w:val="24"/>
          <w:szCs w:val="24"/>
        </w:rPr>
      </w:pPr>
      <w:r>
        <w:rPr>
          <w:rFonts w:ascii="Times New Roman"/>
          <w:sz w:val="24"/>
          <w:szCs w:val="24"/>
        </w:rPr>
        <w:t>Table 24</w:t>
      </w:r>
      <w:r w:rsidR="00F24ADF" w:rsidRPr="006D176A">
        <w:rPr>
          <w:rFonts w:ascii="Times New Roman"/>
          <w:sz w:val="24"/>
          <w:szCs w:val="24"/>
        </w:rPr>
        <w:t>: Comparison of Insulin and HOMA of patients studied in relation to GGT</w:t>
      </w:r>
    </w:p>
    <w:tbl>
      <w:tblPr>
        <w:tblW w:w="97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1"/>
        <w:gridCol w:w="1424"/>
        <w:gridCol w:w="1433"/>
        <w:gridCol w:w="1433"/>
        <w:gridCol w:w="1435"/>
        <w:gridCol w:w="1435"/>
        <w:gridCol w:w="1132"/>
      </w:tblGrid>
      <w:tr w:rsidR="00F24ADF" w:rsidRPr="006D176A" w:rsidTr="006D176A">
        <w:trPr>
          <w:trHeight w:val="431"/>
          <w:jc w:val="center"/>
        </w:trPr>
        <w:tc>
          <w:tcPr>
            <w:tcW w:w="1413"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Variables</w:t>
            </w:r>
          </w:p>
        </w:tc>
        <w:tc>
          <w:tcPr>
            <w:tcW w:w="5739" w:type="dxa"/>
            <w:gridSpan w:val="4"/>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GGT</w:t>
            </w:r>
          </w:p>
        </w:tc>
        <w:tc>
          <w:tcPr>
            <w:tcW w:w="1437"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Total</w:t>
            </w:r>
          </w:p>
        </w:tc>
        <w:tc>
          <w:tcPr>
            <w:tcW w:w="1114" w:type="dxa"/>
            <w:vMerge w:val="restart"/>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P value</w:t>
            </w:r>
          </w:p>
        </w:tc>
      </w:tr>
      <w:tr w:rsidR="00F24ADF" w:rsidRPr="006D176A" w:rsidTr="006D176A">
        <w:trPr>
          <w:trHeight w:val="431"/>
          <w:jc w:val="center"/>
        </w:trPr>
        <w:tc>
          <w:tcPr>
            <w:tcW w:w="1413"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428"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&lt;15</w:t>
            </w:r>
          </w:p>
        </w:tc>
        <w:tc>
          <w:tcPr>
            <w:tcW w:w="143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15-21</w:t>
            </w:r>
          </w:p>
        </w:tc>
        <w:tc>
          <w:tcPr>
            <w:tcW w:w="143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22-33</w:t>
            </w:r>
          </w:p>
        </w:tc>
        <w:tc>
          <w:tcPr>
            <w:tcW w:w="1437" w:type="dxa"/>
            <w:shd w:val="clear" w:color="auto" w:fill="CCFFFF"/>
            <w:vAlign w:val="center"/>
          </w:tcPr>
          <w:p w:rsidR="00F24ADF" w:rsidRPr="006D176A" w:rsidRDefault="00F24ADF" w:rsidP="00A721A9">
            <w:pPr>
              <w:pStyle w:val="NoSpacing"/>
              <w:jc w:val="both"/>
              <w:rPr>
                <w:rFonts w:ascii="Times New Roman"/>
                <w:b/>
                <w:sz w:val="24"/>
                <w:szCs w:val="24"/>
              </w:rPr>
            </w:pPr>
            <w:r w:rsidRPr="006D176A">
              <w:rPr>
                <w:rFonts w:ascii="Times New Roman"/>
                <w:b/>
                <w:sz w:val="24"/>
                <w:szCs w:val="24"/>
              </w:rPr>
              <w:t>&gt;33</w:t>
            </w:r>
          </w:p>
        </w:tc>
        <w:tc>
          <w:tcPr>
            <w:tcW w:w="1437" w:type="dxa"/>
            <w:vMerge/>
            <w:shd w:val="clear" w:color="auto" w:fill="CCFFFF"/>
            <w:vAlign w:val="center"/>
          </w:tcPr>
          <w:p w:rsidR="00F24ADF" w:rsidRPr="006D176A" w:rsidRDefault="00F24ADF" w:rsidP="00A721A9">
            <w:pPr>
              <w:pStyle w:val="NoSpacing"/>
              <w:jc w:val="both"/>
              <w:rPr>
                <w:rFonts w:ascii="Times New Roman"/>
                <w:b/>
                <w:sz w:val="24"/>
                <w:szCs w:val="24"/>
              </w:rPr>
            </w:pPr>
          </w:p>
        </w:tc>
        <w:tc>
          <w:tcPr>
            <w:tcW w:w="1114" w:type="dxa"/>
            <w:vMerge/>
            <w:shd w:val="clear" w:color="auto" w:fill="CCFFFF"/>
            <w:vAlign w:val="center"/>
          </w:tcPr>
          <w:p w:rsidR="00F24ADF" w:rsidRPr="006D176A" w:rsidRDefault="00F24ADF" w:rsidP="00A721A9">
            <w:pPr>
              <w:pStyle w:val="NoSpacing"/>
              <w:jc w:val="both"/>
              <w:rPr>
                <w:rFonts w:ascii="Times New Roman"/>
                <w:b/>
                <w:sz w:val="24"/>
                <w:szCs w:val="24"/>
              </w:rPr>
            </w:pPr>
          </w:p>
        </w:tc>
      </w:tr>
      <w:tr w:rsidR="00F24ADF" w:rsidRPr="006D176A" w:rsidTr="006D176A">
        <w:trPr>
          <w:trHeight w:val="431"/>
          <w:jc w:val="center"/>
        </w:trPr>
        <w:tc>
          <w:tcPr>
            <w:tcW w:w="141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Insulin</w:t>
            </w:r>
          </w:p>
        </w:tc>
        <w:tc>
          <w:tcPr>
            <w:tcW w:w="142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9.05±2.73</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9.13±2.88</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9.67±2.53</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11.46±3.12</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10.23±3.04</w:t>
            </w:r>
          </w:p>
        </w:tc>
        <w:tc>
          <w:tcPr>
            <w:tcW w:w="111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0.005**</w:t>
            </w:r>
          </w:p>
        </w:tc>
      </w:tr>
      <w:tr w:rsidR="00F24ADF" w:rsidRPr="006D176A" w:rsidTr="006D176A">
        <w:trPr>
          <w:trHeight w:val="431"/>
          <w:jc w:val="center"/>
        </w:trPr>
        <w:tc>
          <w:tcPr>
            <w:tcW w:w="1413"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HOMA</w:t>
            </w:r>
          </w:p>
        </w:tc>
        <w:tc>
          <w:tcPr>
            <w:tcW w:w="1428"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2.81±1.14</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4.51±1.79</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4.98±1.93</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6.98±3.02</w:t>
            </w:r>
          </w:p>
        </w:tc>
        <w:tc>
          <w:tcPr>
            <w:tcW w:w="1437"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5.48±2.74</w:t>
            </w:r>
          </w:p>
        </w:tc>
        <w:tc>
          <w:tcPr>
            <w:tcW w:w="1114" w:type="dxa"/>
            <w:shd w:val="clear" w:color="auto" w:fill="auto"/>
            <w:vAlign w:val="center"/>
          </w:tcPr>
          <w:p w:rsidR="00F24ADF" w:rsidRPr="006D176A" w:rsidRDefault="00F24ADF" w:rsidP="00A721A9">
            <w:pPr>
              <w:pStyle w:val="NoSpacing"/>
              <w:jc w:val="both"/>
              <w:rPr>
                <w:rFonts w:ascii="Times New Roman"/>
                <w:sz w:val="24"/>
                <w:szCs w:val="24"/>
              </w:rPr>
            </w:pPr>
            <w:r w:rsidRPr="006D176A">
              <w:rPr>
                <w:rFonts w:ascii="Times New Roman"/>
                <w:sz w:val="24"/>
                <w:szCs w:val="24"/>
              </w:rPr>
              <w:t>&lt;0.001**</w:t>
            </w:r>
          </w:p>
        </w:tc>
      </w:tr>
    </w:tbl>
    <w:p w:rsidR="00F24ADF" w:rsidRDefault="00F24ADF" w:rsidP="00A721A9">
      <w:pPr>
        <w:pStyle w:val="NoSpacing"/>
        <w:jc w:val="both"/>
        <w:rPr>
          <w:rFonts w:ascii="Times New Roman"/>
          <w:sz w:val="24"/>
          <w:szCs w:val="24"/>
        </w:rPr>
      </w:pPr>
      <w:r w:rsidRPr="006D176A">
        <w:rPr>
          <w:rFonts w:ascii="Times New Roman"/>
          <w:sz w:val="24"/>
          <w:szCs w:val="24"/>
        </w:rPr>
        <w:t>ANOVA test</w:t>
      </w:r>
    </w:p>
    <w:p w:rsidR="00972E8C" w:rsidRDefault="00972E8C" w:rsidP="00A721A9">
      <w:pPr>
        <w:pStyle w:val="NoSpacing"/>
        <w:jc w:val="both"/>
        <w:rPr>
          <w:rFonts w:ascii="Times New Roman"/>
          <w:sz w:val="24"/>
          <w:szCs w:val="24"/>
        </w:rPr>
      </w:pPr>
    </w:p>
    <w:p w:rsidR="00972E8C" w:rsidRPr="006D176A" w:rsidRDefault="00972E8C" w:rsidP="00A721A9">
      <w:pPr>
        <w:pStyle w:val="NoSpacing"/>
        <w:jc w:val="both"/>
        <w:rPr>
          <w:rFonts w:ascii="Times New Roman"/>
          <w:sz w:val="24"/>
          <w:szCs w:val="24"/>
        </w:rPr>
      </w:pPr>
      <w:r>
        <w:rPr>
          <w:rFonts w:ascii="Times New Roman"/>
          <w:sz w:val="24"/>
          <w:szCs w:val="24"/>
        </w:rPr>
        <w:t xml:space="preserve">Graph 24. </w:t>
      </w:r>
      <w:r w:rsidRPr="006D176A">
        <w:rPr>
          <w:rFonts w:ascii="Times New Roman"/>
          <w:sz w:val="24"/>
          <w:szCs w:val="24"/>
        </w:rPr>
        <w:t>Comparison of Insulin of patients studied in relation to GGT</w:t>
      </w:r>
    </w:p>
    <w:p w:rsidR="00F24ADF" w:rsidRPr="006D176A" w:rsidRDefault="00F24ADF" w:rsidP="00A721A9">
      <w:pPr>
        <w:pStyle w:val="NoSpacing"/>
        <w:jc w:val="both"/>
        <w:rPr>
          <w:rFonts w:ascii="Times New Roman"/>
          <w:sz w:val="24"/>
          <w:szCs w:val="24"/>
        </w:rPr>
      </w:pPr>
    </w:p>
    <w:p w:rsidR="00F24ADF" w:rsidRPr="006D176A" w:rsidRDefault="00F24ADF" w:rsidP="00A721A9">
      <w:pPr>
        <w:pStyle w:val="NoSpacing"/>
        <w:jc w:val="both"/>
        <w:rPr>
          <w:rFonts w:ascii="Times New Roman"/>
          <w:noProof/>
          <w:sz w:val="24"/>
          <w:szCs w:val="24"/>
          <w:lang w:val="en-US" w:eastAsia="en-US"/>
        </w:rPr>
      </w:pPr>
      <w:r w:rsidRPr="006D176A">
        <w:rPr>
          <w:rFonts w:ascii="Times New Roman"/>
          <w:noProof/>
          <w:sz w:val="24"/>
          <w:szCs w:val="24"/>
        </w:rPr>
        <w:drawing>
          <wp:inline distT="0" distB="0" distL="0" distR="0" wp14:anchorId="12F00619" wp14:editId="1D26B40B">
            <wp:extent cx="4572000" cy="2743200"/>
            <wp:effectExtent l="0" t="0" r="0" b="0"/>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comparing the Fasting Insulin level, there was positive correlation of Fasting insulin level with GGT and the correlation was statistically significant with p=0.005.</w:t>
      </w:r>
    </w:p>
    <w:p w:rsidR="00F24ADF" w:rsidRDefault="00972E8C" w:rsidP="00A721A9">
      <w:pPr>
        <w:pStyle w:val="NoSpacing"/>
        <w:jc w:val="both"/>
        <w:rPr>
          <w:rFonts w:ascii="Times New Roman"/>
          <w:noProof/>
          <w:sz w:val="24"/>
          <w:szCs w:val="24"/>
          <w:lang w:val="en-US" w:eastAsia="en-US"/>
        </w:rPr>
      </w:pPr>
      <w:r>
        <w:rPr>
          <w:rFonts w:ascii="Times New Roman"/>
          <w:sz w:val="24"/>
          <w:szCs w:val="24"/>
        </w:rPr>
        <w:lastRenderedPageBreak/>
        <w:t xml:space="preserve">Graph 25. </w:t>
      </w:r>
      <w:r w:rsidRPr="006D176A">
        <w:rPr>
          <w:rFonts w:ascii="Times New Roman"/>
          <w:sz w:val="24"/>
          <w:szCs w:val="24"/>
        </w:rPr>
        <w:t>Comparison of HOMA of patients studied in relation to GGT</w:t>
      </w:r>
    </w:p>
    <w:p w:rsidR="00972E8C" w:rsidRPr="006D176A" w:rsidRDefault="00972E8C" w:rsidP="00A721A9">
      <w:pPr>
        <w:pStyle w:val="NoSpacing"/>
        <w:jc w:val="both"/>
        <w:rPr>
          <w:rFonts w:ascii="Times New Roman"/>
          <w:noProof/>
          <w:sz w:val="24"/>
          <w:szCs w:val="24"/>
          <w:lang w:val="en-US" w:eastAsia="en-US"/>
        </w:rPr>
      </w:pPr>
    </w:p>
    <w:p w:rsidR="00F24ADF" w:rsidRPr="006D176A" w:rsidRDefault="00F24ADF" w:rsidP="00A721A9">
      <w:pPr>
        <w:pStyle w:val="NoSpacing"/>
        <w:jc w:val="both"/>
        <w:rPr>
          <w:rFonts w:ascii="Times New Roman"/>
          <w:sz w:val="24"/>
          <w:szCs w:val="24"/>
        </w:rPr>
      </w:pPr>
      <w:r w:rsidRPr="006D176A">
        <w:rPr>
          <w:rFonts w:ascii="Times New Roman"/>
          <w:noProof/>
          <w:sz w:val="24"/>
          <w:szCs w:val="24"/>
          <w:lang w:val="en-US" w:eastAsia="en-US"/>
        </w:rPr>
        <w:t xml:space="preserve"> </w:t>
      </w:r>
      <w:r w:rsidRPr="006D176A">
        <w:rPr>
          <w:rFonts w:ascii="Times New Roman"/>
          <w:noProof/>
          <w:sz w:val="24"/>
          <w:szCs w:val="24"/>
        </w:rPr>
        <w:drawing>
          <wp:inline distT="0" distB="0" distL="0" distR="0" wp14:anchorId="70D5C97F" wp14:editId="549FF7DF">
            <wp:extent cx="4572000" cy="274320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analysing the HOMA-IR, there was positive correlation of HOMA-IR with GGT and the correlation was statistically significant with p&lt;0.001.</w:t>
      </w:r>
    </w:p>
    <w:p w:rsidR="00F24ADF" w:rsidRPr="006D176A" w:rsidRDefault="00F24ADF" w:rsidP="00A721A9">
      <w:pPr>
        <w:pStyle w:val="NoSpacing"/>
        <w:jc w:val="both"/>
        <w:rPr>
          <w:rFonts w:ascii="Times New Roman"/>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F24ADF" w:rsidRPr="009A040A" w:rsidRDefault="009A040A" w:rsidP="009A040A">
      <w:pPr>
        <w:spacing w:line="600" w:lineRule="auto"/>
        <w:jc w:val="center"/>
        <w:rPr>
          <w:rFonts w:ascii="Times New Roman" w:hAnsi="Times New Roman" w:cs="Times New Roman"/>
          <w:b/>
          <w:sz w:val="28"/>
          <w:szCs w:val="24"/>
        </w:rPr>
      </w:pPr>
      <w:bookmarkStart w:id="0" w:name="_GoBack"/>
      <w:bookmarkEnd w:id="0"/>
      <w:r w:rsidRPr="009A040A">
        <w:rPr>
          <w:rFonts w:ascii="Times New Roman" w:hAnsi="Times New Roman" w:cs="Times New Roman"/>
          <w:b/>
          <w:sz w:val="28"/>
          <w:szCs w:val="24"/>
        </w:rPr>
        <w:lastRenderedPageBreak/>
        <w:t xml:space="preserve">6. </w:t>
      </w:r>
      <w:r w:rsidR="00F24ADF" w:rsidRPr="009A040A">
        <w:rPr>
          <w:rFonts w:ascii="Times New Roman" w:hAnsi="Times New Roman" w:cs="Times New Roman"/>
          <w:b/>
          <w:sz w:val="28"/>
          <w:szCs w:val="24"/>
        </w:rPr>
        <w:t>DISCUSSION</w:t>
      </w:r>
    </w:p>
    <w:p w:rsidR="00F24ADF" w:rsidRPr="006D176A" w:rsidRDefault="00F24ADF" w:rsidP="00A721A9">
      <w:pPr>
        <w:spacing w:line="600" w:lineRule="auto"/>
        <w:jc w:val="both"/>
        <w:rPr>
          <w:rFonts w:ascii="Times New Roman" w:hAnsi="Times New Roman" w:cs="Times New Roman"/>
          <w:color w:val="000000"/>
          <w:sz w:val="24"/>
          <w:szCs w:val="24"/>
          <w:shd w:val="clear" w:color="auto" w:fill="FFFFFF"/>
        </w:rPr>
      </w:pPr>
      <w:r w:rsidRPr="006D176A">
        <w:rPr>
          <w:rFonts w:ascii="Times New Roman" w:hAnsi="Times New Roman" w:cs="Times New Roman"/>
          <w:color w:val="000000"/>
          <w:sz w:val="24"/>
          <w:szCs w:val="24"/>
          <w:shd w:val="clear" w:color="auto" w:fill="FFFFFF"/>
        </w:rPr>
        <w:t>There has been a consistent efforts to evaluate biochemical markers to predict an early onset of metabolic syndrome, severity of insulin resistance and subsequently intervene appropriately by means of lifestyle changes and drug therapy , thereby reducing cardiovascular morbidity and mortality. Studies are lacking in adult Indian population</w:t>
      </w:r>
    </w:p>
    <w:p w:rsidR="00F24ADF" w:rsidRPr="006D176A" w:rsidRDefault="00F24ADF" w:rsidP="00A721A9">
      <w:pPr>
        <w:spacing w:line="600" w:lineRule="auto"/>
        <w:jc w:val="both"/>
        <w:rPr>
          <w:rFonts w:ascii="Times New Roman" w:hAnsi="Times New Roman" w:cs="Times New Roman"/>
          <w:color w:val="000000"/>
          <w:sz w:val="24"/>
          <w:szCs w:val="24"/>
          <w:shd w:val="clear" w:color="auto" w:fill="FFFFFF"/>
        </w:rPr>
      </w:pPr>
      <w:r w:rsidRPr="006D176A">
        <w:rPr>
          <w:rFonts w:ascii="Times New Roman" w:hAnsi="Times New Roman" w:cs="Times New Roman"/>
          <w:color w:val="000000"/>
          <w:sz w:val="24"/>
          <w:szCs w:val="24"/>
          <w:shd w:val="clear" w:color="auto" w:fill="FFFFFF"/>
        </w:rPr>
        <w:t xml:space="preserve">Tests like Homeostatic Model assessment had been proven to be useful in assessing severity of insulin resistance, but the high cost, need of expertise and the need of multiple parameters for calculation have made it impractical to use as a screening and prognosticative test for widespread use. Thus, a prompt, cost effective and easily available biochemical marker is required to predict an early onset, progression and severity of this syndrome. </w:t>
      </w:r>
    </w:p>
    <w:p w:rsidR="00F24ADF" w:rsidRPr="006D176A" w:rsidRDefault="00F24ADF" w:rsidP="00A721A9">
      <w:pPr>
        <w:spacing w:line="600" w:lineRule="auto"/>
        <w:jc w:val="both"/>
        <w:rPr>
          <w:rFonts w:ascii="Times New Roman" w:hAnsi="Times New Roman" w:cs="Times New Roman"/>
          <w:color w:val="000000"/>
          <w:sz w:val="24"/>
          <w:szCs w:val="24"/>
          <w:shd w:val="clear" w:color="auto" w:fill="FFFFFF"/>
        </w:rPr>
      </w:pPr>
      <w:r w:rsidRPr="006D176A">
        <w:rPr>
          <w:rFonts w:ascii="Times New Roman" w:hAnsi="Times New Roman" w:cs="Times New Roman"/>
          <w:color w:val="000000"/>
          <w:sz w:val="24"/>
          <w:szCs w:val="24"/>
          <w:shd w:val="clear" w:color="auto" w:fill="FFFFFF"/>
        </w:rPr>
        <w:t>The purpose of this study is to evaluate the utility of GGT as a measure of insulin resistance in patients with metabolic syndrome.</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our observational correlation clinical study, 100 cases of metabolic syndrome were studied, the mean age of the studied population is 57.16±12.26. Clustered around the 5th decade.</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Among the cases, 54(54%) were males and 46(46%) were females.</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analysing as quartiles of GGT, 11(11%) patients had GGT &lt;15, 23(23%) patients had GGT 15-21, 24(24%) patients had GGT 22-33, and 42(42%) patients had GGT&gt;33</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Out of the cases studied 85(85%) were known cases of diabetes  and 15(15%) were non diabetics. 76(76%) patients had hypertension and 59(59%) patients had dyslipidemia.</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analysis of incidence of co-morbid conditions in the quartiles of GGT, the incidence of DM and HTN had shown positive correlation with GGT level and the correlation was statistically significant with p=0.035 and 0.004 respectively.</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our study, 50 males (92.6%) had waist circumference in the range of 90 – 110 cm and 4 males(7.4%) had waist circumference more than 110cm.Among females, 16(34.8%) patients had waist circumference in the range of 80-90cm, 28(60.9%) patients had in the range of 90 – 110 and 2(4.3%) patients were having waist circumference more than 110cms.</w:t>
      </w:r>
    </w:p>
    <w:p w:rsidR="00F24ADF" w:rsidRPr="006D176A" w:rsidRDefault="00F24ADF" w:rsidP="00A721A9">
      <w:pPr>
        <w:spacing w:line="600" w:lineRule="auto"/>
        <w:jc w:val="both"/>
        <w:rPr>
          <w:rFonts w:ascii="Times New Roman" w:hAnsi="Times New Roman" w:cs="Times New Roman"/>
          <w:sz w:val="24"/>
          <w:szCs w:val="24"/>
          <w:vertAlign w:val="superscript"/>
        </w:rPr>
      </w:pPr>
      <w:r w:rsidRPr="006D176A">
        <w:rPr>
          <w:rFonts w:ascii="Times New Roman" w:hAnsi="Times New Roman" w:cs="Times New Roman"/>
          <w:sz w:val="24"/>
          <w:szCs w:val="24"/>
        </w:rPr>
        <w:t>20(37%) male patients had BMI &gt; 30Kg/m</w:t>
      </w:r>
      <w:r w:rsidRPr="006D176A">
        <w:rPr>
          <w:rFonts w:ascii="Times New Roman" w:hAnsi="Times New Roman" w:cs="Times New Roman"/>
          <w:sz w:val="24"/>
          <w:szCs w:val="24"/>
          <w:vertAlign w:val="superscript"/>
        </w:rPr>
        <w:t xml:space="preserve">2  </w:t>
      </w:r>
      <w:r w:rsidRPr="006D176A">
        <w:rPr>
          <w:rFonts w:ascii="Times New Roman" w:hAnsi="Times New Roman" w:cs="Times New Roman"/>
          <w:sz w:val="24"/>
          <w:szCs w:val="24"/>
        </w:rPr>
        <w:t>while, 39(84.8%) female patients had BMI &gt; 30Kg/m</w:t>
      </w:r>
      <w:r w:rsidRPr="006D176A">
        <w:rPr>
          <w:rFonts w:ascii="Times New Roman" w:hAnsi="Times New Roman" w:cs="Times New Roman"/>
          <w:sz w:val="24"/>
          <w:szCs w:val="24"/>
          <w:vertAlign w:val="superscript"/>
        </w:rPr>
        <w:t>2</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analysing the correlation with GGT level, there were no statistically significant difference in Height, Weight and BMI among the quartiles but there was a positive correlation of waist circumference with GGT level which was statistically significant with p&lt;0.001.</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our study, 70(70%) patients had SBP &gt;140mmHg and 86(86%) patients had DBP in the range 80-100mmHg</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comparing the vital parameters with GGT level, SBP had shown positive correlation with GGT level and the correlation was statistically significant with p=0.033</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In our study, 84 patients had fasting blood sugar &gt;126mg/dl and 9 patients had FBS in the range of 100-126.</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analysis, there was positive correlation of FBS with GGT level and the correlation was statistically significant with p &lt;0.001.</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evaluation of Lipid parameters, 22(22%) patients had total cholesterol &gt;280mg/dl ; 44(44%) patients were having in the range of  200 – 280 and 34(34%) patients had total cholesterol &lt;200mg/dl.</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86(86%) patients had LDL in the range of 70 – 190 and 6 patients had LDL &gt;190 mg/dl.</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our study, 61(61%) patients had HDL &lt;35mg/dl. 73(73%)  patients had TGL in the range of 150 – 500 mg/dl and 2(2%)  patients had &gt;TGL500 mg/dl.</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comparison of Lipid variables with GGT level, there was positive correlation of Total cholesterol with GGT level and the correlation was statistically significant with p=0.037</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There was negative correlation of HDL with GGT level and the correlation was statistically significant with p&lt;0.001.</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analysis of other blood parameters, 75(75%) patients had creatinine level &lt;1.1mg/dl and 25(25%) patients had creatinine level &gt;1.1mg/dl. 84(84%) patients had SGPT &lt;48 and 16 patients had SGPT &gt;48. 73(73%) patients had SGOT &lt;42 and 27 (27%) had SGOT&gt;42. 78(78%) patients had ALP in the range of 25 – 125 and 21(21%) patents had ALP &gt;125.</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In our study, 48(48%) patients had fasting insulin level in the range of 10-15 and 6(6%) patients had fasting insulin &gt;15</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comparing the Fasting Insulin with GGT level, there was positive correlation of Fasting insulin with GGT and the correlation was statistically significant with p=0.005.</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our study, 52(52%) patients had HOMA – IR in the range of 5-10 and 6(6%) patients had HOMA-IR &gt; 10</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analysing the correlation of HOMA-IR with GGT level, there was positive correlation of HOMA-IR with GGT and the correlation was statistically significant with p&lt;0.001.</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Balogun et al, in their study on 90 patients with type 2 diabetes and 90 nondiabetic</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concludes that, the most predominant LFT abnormality in diabetic group was</w:t>
      </w:r>
    </w:p>
    <w:p w:rsidR="00F24ADF" w:rsidRPr="005F1F5C"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found to be isolated el</w:t>
      </w:r>
      <w:r w:rsidR="005F1F5C">
        <w:rPr>
          <w:rFonts w:ascii="Times New Roman" w:hAnsi="Times New Roman" w:cs="Times New Roman"/>
          <w:sz w:val="24"/>
          <w:szCs w:val="24"/>
        </w:rPr>
        <w:t>evation of GGT</w:t>
      </w:r>
      <w:r w:rsidR="005F1F5C">
        <w:rPr>
          <w:rFonts w:ascii="Times New Roman" w:hAnsi="Times New Roman" w:cs="Times New Roman"/>
          <w:sz w:val="24"/>
          <w:szCs w:val="24"/>
          <w:vertAlign w:val="superscript"/>
        </w:rPr>
        <w:t>85</w:t>
      </w:r>
      <w:r w:rsidR="005F1F5C">
        <w:rPr>
          <w:rFonts w:ascii="Times New Roman" w:hAnsi="Times New Roman" w:cs="Times New Roman"/>
          <w:sz w:val="24"/>
          <w:szCs w:val="24"/>
        </w:rPr>
        <w:t>.</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B Kasapoglu et al, in their cross-sectional, single-center study with 908 subjects, found that transaminases were in normal ranges in 91.2 percent and GGT was in normal range in 83.4 per cent of metabolic syndrome patients. When the sample is divided into quartiles of the GGT levels, increase in GGT was positively correlated with increased metabolic syndrome prevalence.</w:t>
      </w:r>
    </w:p>
    <w:p w:rsidR="00F24ADF" w:rsidRPr="005F1F5C"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They therefore conclude that, elevated liver enzymes, although in normal ranges, especially at upper quartiles, play a central role in early diagnosis of fat overflow to the liver. Regarding </w:t>
      </w:r>
      <w:r w:rsidRPr="006D176A">
        <w:rPr>
          <w:rFonts w:ascii="Times New Roman" w:hAnsi="Times New Roman" w:cs="Times New Roman"/>
          <w:sz w:val="24"/>
          <w:szCs w:val="24"/>
        </w:rPr>
        <w:lastRenderedPageBreak/>
        <w:t>the availability and simplicity of these tests in routine clinical practice, they, especially GGT, have potential to be considered in alg</w:t>
      </w:r>
      <w:r w:rsidR="005F1F5C">
        <w:rPr>
          <w:rFonts w:ascii="Times New Roman" w:hAnsi="Times New Roman" w:cs="Times New Roman"/>
          <w:sz w:val="24"/>
          <w:szCs w:val="24"/>
        </w:rPr>
        <w:t>orithms for metabolic syndrome</w:t>
      </w:r>
      <w:r w:rsidR="005F1F5C">
        <w:rPr>
          <w:rFonts w:ascii="Times New Roman" w:hAnsi="Times New Roman" w:cs="Times New Roman"/>
          <w:sz w:val="24"/>
          <w:szCs w:val="24"/>
          <w:vertAlign w:val="superscript"/>
        </w:rPr>
        <w:t>86</w:t>
      </w:r>
      <w:r w:rsidR="005F1F5C">
        <w:rPr>
          <w:rFonts w:ascii="Times New Roman" w:hAnsi="Times New Roman" w:cs="Times New Roman"/>
          <w:sz w:val="24"/>
          <w:szCs w:val="24"/>
        </w:rPr>
        <w:t>.</w:t>
      </w:r>
    </w:p>
    <w:p w:rsidR="00F24ADF" w:rsidRPr="005F1F5C" w:rsidRDefault="00F24ADF" w:rsidP="00A721A9">
      <w:pPr>
        <w:spacing w:line="480" w:lineRule="auto"/>
        <w:jc w:val="both"/>
        <w:rPr>
          <w:rFonts w:ascii="Times New Roman" w:hAnsi="Times New Roman" w:cs="Times New Roman"/>
          <w:sz w:val="24"/>
          <w:szCs w:val="24"/>
        </w:rPr>
      </w:pPr>
      <w:r w:rsidRPr="006D176A">
        <w:rPr>
          <w:rFonts w:ascii="Times New Roman" w:hAnsi="Times New Roman" w:cs="Times New Roman"/>
          <w:sz w:val="24"/>
          <w:szCs w:val="24"/>
        </w:rPr>
        <w:t>Onat A et al. in the study on transaminases demonstrates that circulating GGT and transaminase activities are elevated in patients w</w:t>
      </w:r>
      <w:r w:rsidR="005F1F5C">
        <w:rPr>
          <w:rFonts w:ascii="Times New Roman" w:hAnsi="Times New Roman" w:cs="Times New Roman"/>
          <w:sz w:val="24"/>
          <w:szCs w:val="24"/>
        </w:rPr>
        <w:t>ith insulin resistance syndrome</w:t>
      </w:r>
      <w:r w:rsidR="005F1F5C">
        <w:rPr>
          <w:rFonts w:ascii="Times New Roman" w:hAnsi="Times New Roman" w:cs="Times New Roman"/>
          <w:sz w:val="24"/>
          <w:szCs w:val="24"/>
          <w:vertAlign w:val="superscript"/>
        </w:rPr>
        <w:t>87</w:t>
      </w:r>
      <w:r w:rsidR="005F1F5C">
        <w:rPr>
          <w:rFonts w:ascii="Times New Roman" w:hAnsi="Times New Roman" w:cs="Times New Roman"/>
          <w:sz w:val="24"/>
          <w:szCs w:val="24"/>
        </w:rPr>
        <w:t>.</w:t>
      </w:r>
    </w:p>
    <w:p w:rsidR="00F24ADF" w:rsidRPr="005F1F5C"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their prospective population-based study on 172 men and 109 women (aged 25-64 years), C Meisinger et al, states that GGT is an important predictor for incident type 2 diabetes in men and wo</w:t>
      </w:r>
      <w:r w:rsidR="005F1F5C">
        <w:rPr>
          <w:rFonts w:ascii="Times New Roman" w:hAnsi="Times New Roman" w:cs="Times New Roman"/>
          <w:sz w:val="24"/>
          <w:szCs w:val="24"/>
        </w:rPr>
        <w:t>men from the general population</w:t>
      </w:r>
      <w:r w:rsidR="005F1F5C">
        <w:rPr>
          <w:rFonts w:ascii="Times New Roman" w:hAnsi="Times New Roman" w:cs="Times New Roman"/>
          <w:sz w:val="24"/>
          <w:szCs w:val="24"/>
          <w:vertAlign w:val="superscript"/>
        </w:rPr>
        <w:t>88</w:t>
      </w:r>
      <w:r w:rsidR="005F1F5C">
        <w:rPr>
          <w:rFonts w:ascii="Times New Roman" w:hAnsi="Times New Roman" w:cs="Times New Roman"/>
          <w:sz w:val="24"/>
          <w:szCs w:val="24"/>
        </w:rPr>
        <w:t>.</w:t>
      </w:r>
    </w:p>
    <w:p w:rsidR="00F24ADF" w:rsidRPr="005F1F5C" w:rsidRDefault="00F24ADF" w:rsidP="00A721A9">
      <w:pPr>
        <w:spacing w:line="480" w:lineRule="auto"/>
        <w:jc w:val="both"/>
        <w:rPr>
          <w:rFonts w:ascii="Times New Roman" w:hAnsi="Times New Roman" w:cs="Times New Roman"/>
          <w:sz w:val="24"/>
          <w:szCs w:val="24"/>
        </w:rPr>
      </w:pPr>
      <w:r w:rsidRPr="006D176A">
        <w:rPr>
          <w:rFonts w:ascii="Times New Roman" w:hAnsi="Times New Roman" w:cs="Times New Roman"/>
          <w:sz w:val="24"/>
          <w:szCs w:val="24"/>
        </w:rPr>
        <w:t>Girdhar Gopal et al did a study in healthy obese children about the relationship of gamma glutamyl transferase (GGT ) with insulin resistance markers [fasting insulin and Homeostasis Model Assessment of - insulin resistance (HOMA-IR)]. In their study, the serum activity of GGT remained correlated with HOMA-IR even after removing the effect of BMI, weight and age on GGT values. The results showed that GGT is a determinant of HOMA- IR independently of age, BMI and weight. Thus suggested that, GGT can be used as a marker of insulin resistance as it is easier to use in clinical practice than other markers and also help to prev</w:t>
      </w:r>
      <w:r w:rsidR="005F1F5C">
        <w:rPr>
          <w:rFonts w:ascii="Times New Roman" w:hAnsi="Times New Roman" w:cs="Times New Roman"/>
          <w:sz w:val="24"/>
          <w:szCs w:val="24"/>
        </w:rPr>
        <w:t>ent the development of diabetes</w:t>
      </w:r>
      <w:r w:rsidR="005F1F5C">
        <w:rPr>
          <w:rFonts w:ascii="Times New Roman" w:hAnsi="Times New Roman" w:cs="Times New Roman"/>
          <w:sz w:val="24"/>
          <w:szCs w:val="24"/>
          <w:vertAlign w:val="superscript"/>
        </w:rPr>
        <w:t>89</w:t>
      </w:r>
      <w:r w:rsidR="005F1F5C">
        <w:rPr>
          <w:rFonts w:ascii="Times New Roman" w:hAnsi="Times New Roman" w:cs="Times New Roman"/>
          <w:sz w:val="24"/>
          <w:szCs w:val="24"/>
        </w:rPr>
        <w:t>.</w:t>
      </w:r>
    </w:p>
    <w:p w:rsidR="00F24ADF" w:rsidRPr="005F1F5C" w:rsidRDefault="00F24ADF" w:rsidP="00A721A9">
      <w:pPr>
        <w:spacing w:line="48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Douglas S. Lee et al evaluated 3451 Framingham study participants regarding the relations of GGT with CVD risk factors, and prospectively determined the risk of new-onset metabolic syndrome, incident CVD, and death. On follow-up (mean 19 years), 968 participants developed metabolic syndrome, 535 developed incident CVD, and 362 died. GGT was positively associated with body mass index, blood pressure, LDL cholesterol, triglycerides, and blood glucose in cross-sectional analysis (P&lt;0.005).They found that, the risk of metabolic syndrome increased with higher GGT (multivariable-adjusted hazard ratio [HR] per SD increment log-GGT, 1.26 [95%CI; 1.18 to 1.35]). Douglas S. Lee et al   concludes </w:t>
      </w:r>
      <w:r w:rsidRPr="006D176A">
        <w:rPr>
          <w:rFonts w:ascii="Times New Roman" w:hAnsi="Times New Roman" w:cs="Times New Roman"/>
          <w:sz w:val="24"/>
          <w:szCs w:val="24"/>
        </w:rPr>
        <w:lastRenderedPageBreak/>
        <w:t>that, an increase in serum GGT predicts onset of metabolic syndrome, incident CVD, and death suggesting that GGT is a marker of metabolic an</w:t>
      </w:r>
      <w:r w:rsidR="005F1F5C">
        <w:rPr>
          <w:rFonts w:ascii="Times New Roman" w:hAnsi="Times New Roman" w:cs="Times New Roman"/>
          <w:sz w:val="24"/>
          <w:szCs w:val="24"/>
        </w:rPr>
        <w:t>d cardiovascular risk</w:t>
      </w:r>
      <w:r w:rsidR="005F1F5C">
        <w:rPr>
          <w:rFonts w:ascii="Times New Roman" w:hAnsi="Times New Roman" w:cs="Times New Roman"/>
          <w:sz w:val="24"/>
          <w:szCs w:val="24"/>
          <w:vertAlign w:val="superscript"/>
        </w:rPr>
        <w:t>90</w:t>
      </w:r>
      <w:r w:rsidR="005F1F5C">
        <w:rPr>
          <w:rFonts w:ascii="Times New Roman" w:hAnsi="Times New Roman" w:cs="Times New Roman"/>
          <w:sz w:val="24"/>
          <w:szCs w:val="24"/>
        </w:rPr>
        <w:t>.</w:t>
      </w:r>
    </w:p>
    <w:p w:rsidR="00F24ADF" w:rsidRPr="005F1F5C"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Rantala et al in their cross-sectional, observational study of hypertensive patients and controls regarding the associations between serum gamma-glutamyl transpeptidase activity and the components of the metabolic syndrome, got a highly significant correlation between gamma-glutamyl transpeptidase and the components of the metabolic syndrome. The correlation coefficient were 0.33 between gamma-glutamyl transpeptidase and body mass index, 0.25 between gamma-glutamyl transpeptidase and systolic blood pressure in control men (P = 0.0001), 0.39 between gamma-glutamyl transpeptidase and triglycerides, and 0.32 between gamma-glutamyl transpeptidase and fasting insulin in hypertensive women (P = 0.0001). Rantala et al concludes that, there is a highly significant relationship between gamma-glutamyl transpeptidase and the components of the metabolic syndrome even after adjustment for age, body mas</w:t>
      </w:r>
      <w:r w:rsidR="005F1F5C">
        <w:rPr>
          <w:rFonts w:ascii="Times New Roman" w:hAnsi="Times New Roman" w:cs="Times New Roman"/>
          <w:sz w:val="24"/>
          <w:szCs w:val="24"/>
        </w:rPr>
        <w:t>s index and alcohol consumption</w:t>
      </w:r>
      <w:r w:rsidR="005F1F5C">
        <w:rPr>
          <w:rFonts w:ascii="Times New Roman" w:hAnsi="Times New Roman" w:cs="Times New Roman"/>
          <w:sz w:val="24"/>
          <w:szCs w:val="24"/>
          <w:vertAlign w:val="superscript"/>
        </w:rPr>
        <w:t>91</w:t>
      </w:r>
      <w:r w:rsidR="005F1F5C">
        <w:rPr>
          <w:rFonts w:ascii="Times New Roman" w:hAnsi="Times New Roman" w:cs="Times New Roman"/>
          <w:sz w:val="24"/>
          <w:szCs w:val="24"/>
        </w:rPr>
        <w:t>.</w:t>
      </w:r>
    </w:p>
    <w:p w:rsidR="00F24ADF" w:rsidRPr="005F1F5C"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another stud</w:t>
      </w:r>
      <w:r w:rsidR="005F1F5C">
        <w:rPr>
          <w:rFonts w:ascii="Times New Roman" w:hAnsi="Times New Roman" w:cs="Times New Roman"/>
          <w:sz w:val="24"/>
          <w:szCs w:val="24"/>
        </w:rPr>
        <w:t>y of Sakugawa et al,</w:t>
      </w:r>
      <w:r w:rsidRPr="006D176A">
        <w:rPr>
          <w:rFonts w:ascii="Times New Roman" w:hAnsi="Times New Roman" w:cs="Times New Roman"/>
          <w:sz w:val="24"/>
          <w:szCs w:val="24"/>
        </w:rPr>
        <w:t xml:space="preserve"> in 4211 Japanese women to evaluate the association of GGT with Metabolic syndrome and found that, in multivariate analysis, four variables (age </w:t>
      </w:r>
      <w:r w:rsidRPr="006D176A">
        <w:rPr>
          <w:rFonts w:ascii="Cambria Math" w:hAnsi="Cambria Math" w:cs="Cambria Math"/>
          <w:sz w:val="24"/>
          <w:szCs w:val="24"/>
        </w:rPr>
        <w:t>≧</w:t>
      </w:r>
      <w:r w:rsidRPr="006D176A">
        <w:rPr>
          <w:rFonts w:ascii="Times New Roman" w:hAnsi="Times New Roman" w:cs="Times New Roman"/>
          <w:sz w:val="24"/>
          <w:szCs w:val="24"/>
        </w:rPr>
        <w:t xml:space="preserve"> 50 yr, hemoglobin </w:t>
      </w:r>
      <w:r w:rsidRPr="006D176A">
        <w:rPr>
          <w:rFonts w:ascii="Cambria Math" w:hAnsi="Cambria Math" w:cs="Cambria Math"/>
          <w:sz w:val="24"/>
          <w:szCs w:val="24"/>
        </w:rPr>
        <w:t>≧</w:t>
      </w:r>
      <w:r w:rsidRPr="006D176A">
        <w:rPr>
          <w:rFonts w:ascii="Times New Roman" w:hAnsi="Times New Roman" w:cs="Times New Roman"/>
          <w:sz w:val="24"/>
          <w:szCs w:val="24"/>
        </w:rPr>
        <w:t xml:space="preserve"> 14 g/dL, triglyceride </w:t>
      </w:r>
      <w:r w:rsidRPr="006D176A">
        <w:rPr>
          <w:rFonts w:ascii="Cambria Math" w:hAnsi="Cambria Math" w:cs="Cambria Math"/>
          <w:sz w:val="24"/>
          <w:szCs w:val="24"/>
        </w:rPr>
        <w:t>≧</w:t>
      </w:r>
      <w:r w:rsidRPr="006D176A">
        <w:rPr>
          <w:rFonts w:ascii="Times New Roman" w:hAnsi="Times New Roman" w:cs="Times New Roman"/>
          <w:sz w:val="24"/>
          <w:szCs w:val="24"/>
        </w:rPr>
        <w:t xml:space="preserve"> 150 mg/dL, and presence of diabetes) were significantly and independently associated with raised GGT level. There was no significant association between the raised GGT level and the presence of fatty liver. Thus, Sakugawa et al concludes that, Metabolic syndrome seemed to be directly, not indirectly through fatty liver, associated with the rai</w:t>
      </w:r>
      <w:r w:rsidR="005F1F5C">
        <w:rPr>
          <w:rFonts w:ascii="Times New Roman" w:hAnsi="Times New Roman" w:cs="Times New Roman"/>
          <w:sz w:val="24"/>
          <w:szCs w:val="24"/>
        </w:rPr>
        <w:t>sed GGT level in Japanese women</w:t>
      </w:r>
      <w:r w:rsidR="005F1F5C">
        <w:rPr>
          <w:rFonts w:ascii="Times New Roman" w:hAnsi="Times New Roman" w:cs="Times New Roman"/>
          <w:sz w:val="24"/>
          <w:szCs w:val="24"/>
          <w:vertAlign w:val="superscript"/>
        </w:rPr>
        <w:t>92</w:t>
      </w:r>
      <w:r w:rsidR="005F1F5C">
        <w:rPr>
          <w:rFonts w:ascii="Times New Roman" w:hAnsi="Times New Roman" w:cs="Times New Roman"/>
          <w:sz w:val="24"/>
          <w:szCs w:val="24"/>
        </w:rPr>
        <w:t>.</w:t>
      </w:r>
    </w:p>
    <w:p w:rsidR="00F24ADF" w:rsidRPr="009A040A" w:rsidRDefault="009A040A" w:rsidP="009A040A">
      <w:pPr>
        <w:spacing w:line="600" w:lineRule="auto"/>
        <w:jc w:val="center"/>
        <w:rPr>
          <w:rFonts w:ascii="Times New Roman" w:hAnsi="Times New Roman" w:cs="Times New Roman"/>
          <w:b/>
          <w:sz w:val="28"/>
          <w:szCs w:val="24"/>
        </w:rPr>
      </w:pPr>
      <w:r w:rsidRPr="009A040A">
        <w:rPr>
          <w:rFonts w:ascii="Times New Roman" w:hAnsi="Times New Roman" w:cs="Times New Roman"/>
          <w:b/>
          <w:sz w:val="28"/>
          <w:szCs w:val="24"/>
        </w:rPr>
        <w:lastRenderedPageBreak/>
        <w:t xml:space="preserve">7. </w:t>
      </w:r>
      <w:r w:rsidR="00F24ADF" w:rsidRPr="009A040A">
        <w:rPr>
          <w:rFonts w:ascii="Times New Roman" w:hAnsi="Times New Roman" w:cs="Times New Roman"/>
          <w:b/>
          <w:sz w:val="28"/>
          <w:szCs w:val="24"/>
        </w:rPr>
        <w:t>CONCLUSION</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 xml:space="preserve">In conclusion, a positive correlation was found between GGT levels and Insulin Resistance in the cases studied. </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There was a linear increase in HOMA-IR with increasing GGT levels. Hence GGT can probably be used as a surrogate marker of insulin resistance in patients with metabolic syndrome and should probably find a position in algorithms for evaluation of patients with metabolic syndrome .</w:t>
      </w: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9A040A" w:rsidRDefault="009A040A" w:rsidP="00A721A9">
      <w:pPr>
        <w:spacing w:line="600" w:lineRule="auto"/>
        <w:jc w:val="both"/>
        <w:rPr>
          <w:rFonts w:ascii="Times New Roman" w:hAnsi="Times New Roman" w:cs="Times New Roman"/>
          <w:b/>
          <w:sz w:val="24"/>
          <w:szCs w:val="24"/>
        </w:rPr>
      </w:pPr>
    </w:p>
    <w:p w:rsidR="00F24ADF" w:rsidRPr="009A040A" w:rsidRDefault="009A040A" w:rsidP="009A040A">
      <w:pPr>
        <w:spacing w:line="600" w:lineRule="auto"/>
        <w:jc w:val="center"/>
        <w:rPr>
          <w:rFonts w:ascii="Times New Roman" w:hAnsi="Times New Roman" w:cs="Times New Roman"/>
          <w:b/>
          <w:sz w:val="28"/>
          <w:szCs w:val="24"/>
        </w:rPr>
      </w:pPr>
      <w:r w:rsidRPr="009A040A">
        <w:rPr>
          <w:rFonts w:ascii="Times New Roman" w:hAnsi="Times New Roman" w:cs="Times New Roman"/>
          <w:b/>
          <w:sz w:val="28"/>
          <w:szCs w:val="24"/>
        </w:rPr>
        <w:lastRenderedPageBreak/>
        <w:t xml:space="preserve">8. </w:t>
      </w:r>
      <w:r w:rsidR="00F24ADF" w:rsidRPr="009A040A">
        <w:rPr>
          <w:rFonts w:ascii="Times New Roman" w:hAnsi="Times New Roman" w:cs="Times New Roman"/>
          <w:b/>
          <w:sz w:val="28"/>
          <w:szCs w:val="24"/>
        </w:rPr>
        <w:t>SUMMARY</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prevalence of metabolic syndrome varies around the world. It reflects the age and ethnicity of the populations involved in the study and the diagnostic criteria applied. Greater industrialization is associated with rising rates of obesity, diabetes, hypertension which is anticipated to increase prevalence of the metabolic syndrome dramatically, especially as the age of the population increases.</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study was conducted in Victoria hospital and Bowring and Lady Curzon hospital attached to Bangalore medical college and Research Institute. It was an observational correlation study including 100 cases of metabolic syndrome.</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 mean age of studied population is 57.16±12.26 with 54% males and 46% females.</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In our study, on analysis of co-morbid conditions in the quartiles of GGT, the incidence of DM and HTN had shown positive correlation with GGT level and the correlation was statistically significant with p=0.035 and 0.004 respectively.</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There was a positive correlation of waist circumference with GGT level which was statistically significant with p&lt;0.001.</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SBP had shown positive correlation with GGT level and the correlation was statistically significant with p=0.033 and there was positive correlation of FBS with GGT level and the correlation was statistically significant with p &lt;0.001.</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lastRenderedPageBreak/>
        <w:t>On comparison of Lipid variables with GGT level, there was positive correlation of Total cholesterol</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and negative correlation of HDL with GGT level and the correlation was statistically significant with p=0.037 and p&lt;0.001 respectively.</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comparing the Fasting Insulin with GGT level, there was positive correlation of Fasting insulin with GGT and the correlation was statistically significant with p=0.005.</w:t>
      </w:r>
    </w:p>
    <w:p w:rsidR="00F24ADF" w:rsidRPr="006D176A" w:rsidRDefault="00F24ADF" w:rsidP="00A721A9">
      <w:pPr>
        <w:spacing w:line="600" w:lineRule="auto"/>
        <w:jc w:val="both"/>
        <w:rPr>
          <w:rFonts w:ascii="Times New Roman" w:hAnsi="Times New Roman" w:cs="Times New Roman"/>
          <w:sz w:val="24"/>
          <w:szCs w:val="24"/>
        </w:rPr>
      </w:pPr>
      <w:r w:rsidRPr="006D176A">
        <w:rPr>
          <w:rFonts w:ascii="Times New Roman" w:hAnsi="Times New Roman" w:cs="Times New Roman"/>
          <w:sz w:val="24"/>
          <w:szCs w:val="24"/>
        </w:rPr>
        <w:t>On analysing the correlation of HOMA-IR with GGT level, there was positive correlation of HOMA-IR with GGT and the correlation was statistically significant with p&lt;0.001.</w:t>
      </w:r>
    </w:p>
    <w:p w:rsidR="00F24ADF" w:rsidRPr="006D176A" w:rsidRDefault="00F24ADF" w:rsidP="00A721A9">
      <w:pPr>
        <w:pStyle w:val="NoSpacing"/>
        <w:jc w:val="both"/>
        <w:rPr>
          <w:rFonts w:ascii="Times New Roman"/>
          <w:sz w:val="24"/>
          <w:szCs w:val="24"/>
        </w:rPr>
      </w:pPr>
    </w:p>
    <w:p w:rsidR="007C64FB" w:rsidRDefault="007C64FB"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Pr="00A768C9" w:rsidRDefault="00A768C9" w:rsidP="00A768C9">
      <w:pPr>
        <w:spacing w:line="600" w:lineRule="auto"/>
        <w:jc w:val="center"/>
        <w:rPr>
          <w:rFonts w:ascii="Times New Roman" w:hAnsi="Times New Roman" w:cs="Times New Roman"/>
          <w:b/>
          <w:sz w:val="28"/>
          <w:szCs w:val="24"/>
        </w:rPr>
      </w:pPr>
      <w:r w:rsidRPr="00A768C9">
        <w:rPr>
          <w:rFonts w:ascii="Times New Roman" w:hAnsi="Times New Roman" w:cs="Times New Roman"/>
          <w:b/>
          <w:sz w:val="28"/>
          <w:szCs w:val="24"/>
        </w:rPr>
        <w:lastRenderedPageBreak/>
        <w:t>9. BIBLIOGRAPHY</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1.Ritchie SA, Connell JM. The link between abdominal obesity, metabolic syndrome and cardiovascular disease. Nutr Metab Cardiovasc Dis 2007; 17: 319–326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2.The metabolic syndrome, Diabetes Voice special issue, May 2006, 51.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3.www.idf.org/metabolic_syndrome, website of the International Diabetes</w:t>
      </w:r>
      <w:r>
        <w:rPr>
          <w:rFonts w:ascii="Times New Roman" w:hAnsi="Times New Roman" w:cs="Times New Roman"/>
          <w:sz w:val="24"/>
          <w:szCs w:val="24"/>
        </w:rPr>
        <w:t xml:space="preserve"> </w:t>
      </w:r>
      <w:r w:rsidRPr="005F1F5C">
        <w:rPr>
          <w:rFonts w:ascii="Times New Roman" w:hAnsi="Times New Roman" w:cs="Times New Roman"/>
          <w:sz w:val="24"/>
          <w:szCs w:val="24"/>
        </w:rPr>
        <w:t>Federation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4.Circulation.2004; 109: 433-438 doi: 10.1161/01.CIR.0000111245.75752.C6 Definition of Metabolic Syndrome.Report of the National Heart, Lung, and Blood Institute/American Heart Association Conference on Scientific Issues Related to Definition.Scott M. Grundy, MD, PhD; H. Bryan Brewer Jr, MD; James I. Cleeman, MD; Sidney C. Smith Jr, MD; Claude Lenfant, MD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5.Reaven GM. Banting lecture 1988: role of insulin resistance in human disease. Diabetes. 1988; 37: 1595–1607.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6.Galassi A, Reynolds K, He J. Metabolic syndrome and risk of cardiovascular disease: a meta-analysis. Am J Med 2006; 119: 812–819.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7.Dekker JM, Girman C, Rhodes T, et al. Metabolic syndrome and 10-year cardiovascular disease risk in the Hoorn Study. Circulation 2005; 112: 666–673.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 Isomaa B, Almgren P, Tuomi T, et al. Cardiovascular morbidity and mortality associated with the metabolic syndrome. Diabetes Care 2001; 24: 683–689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9.  Lakka HM, Laaksonen DE, Lakka TA, et al. The metabolic syndrome and total and cardiovascular disease mortality in middle-aged men. JAMA 2002; 288: 2709–2716.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10.  Malik S, Wong ND, Franklin SS, et al. Impact of the metabolic syndrome on mortality from coronary heart disease, cardiovascular disease, and all causes in United States adults. Circulation 2004; 110: 1245–1250.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11. Dunstan DW, Zimmet PZ, Welborn TA et al. The rising prevalence of diabetes and impaired glucose  tolerance. The Australian Diabetes, Obesity and Lifestyle Study. Diabetes Care 2002;25:829-34</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12. Stern M, Williams K, Gonzalez-Villalpando C et al. Does the metabolic syndrome improve identification of individuals at risk of type 2 diabetes and/or cardiovascular disease? Diabetes Care 2004;27(11):2676-81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13.Smith SC et al.Multiple risk factors for cardiovascular disease and diabetes mellitus. Am J Med. 2007 Mar;120(3 Suppl 1):S3-S11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14. Kaushik Pandit, Soumik Goswami, Sujoy Ghosh et al.Metabolic syndrome in South Asians.Year : 2012.Volume: 16.Issue:1.Page: 44-55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 xml:space="preserve">15. The metabolic syndrome, Diabetes Voice special issue, May 2006, 51. ],[ Ruttmann E, Brant LJ, Concin H, Diem G, Rapp K, Ulmer. H, Vorarlberg Health Monitoring and Promotion Program Study Group. Gamma glutamyl transferase as a risk factor for </w:t>
      </w:r>
      <w:r w:rsidRPr="005F1F5C">
        <w:rPr>
          <w:rFonts w:ascii="Times New Roman" w:hAnsi="Times New Roman" w:cs="Times New Roman"/>
          <w:sz w:val="24"/>
          <w:szCs w:val="24"/>
        </w:rPr>
        <w:lastRenderedPageBreak/>
        <w:t>cardiovascular disease mortality: an epidemiological investigation in a cohort of 163,944 Austrian adults. Circulation 2005; 112: 2130-2142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16. Phillips GB. "Sex hormones, risk factors and cardiovascular disease". The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American Journal of Medicine 65 (1): 7–11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17. Phillips GB. "Relationship between serum sex hormones and glucose, insulin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and lipid abnormalities in men with myocardial infarction". Proceedings of the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National Academy of Sciences of the United States of America 74 (4): 1729–33.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18. Reaven (1988). "Role of insulin resistance in human disease". Diabetes 37 (12):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1595–1607.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19. Haller H. "Epidermiology and associated risk factors of hyperlipoproteinemia".</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Zeitschrift fur die gesamte innere Medizin und ihre Grenzgebiete 32 (8): 124–8.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 Singer P. "Diagnosis of primary hyperlipoproteinemias". Zeitschrift fur die gesamte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innere Medizin und ihre Grenzgebiete 32 (9): 129–33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21. Shea S,AymongE,ZybertP.Obesity,fasting plasma insulin and C-reactive protein levels in healthy children.Obes Res. 2003 Jan;11(1):95-103.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22. Cubeddu LX,Hoffman IS. Impact of Traits of Metabolic Syndrome on β-Cell Function and Insulin Resistance in Normal Fasting, Normal Glucose Tolerant Subjects. Metab Syndr Relat Disord. 2012 Oct;10(5):344-50. Epub 2012 Jul 17.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23. Haffner SM, Valdez RA, Hazuda HP. Prospective analysis of the insulin-resistance syndrome (syndrome X). Diabetes. 1992 Jun;41(6):715-22.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24. Budak N,Ozturk A,Mazicioglu M.Decreased high-density lipoprotein cholesterol and insulin resistance were the most common criteria in 12- to 19-year-old adolescents. . Eur J Nutr. 2010 Jun;49(4):219-25. Epub 2009 Oct 30.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25. Rask-Madsen C, Khan CR.Tissue-specific insulin signaling, metabolic syndrome, and cardiovascular disease.Arterioscler Thromb Vasc Biol.2012 Sep:32(9):2052-9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26. Expert Panel on Detection, Evaluation, and Treatment of High Blood Cholesterol in Adults. Executive Summary of The Third Report of The National Cholesterol Education Program (NCEP) Expert Panel on Detection, Evaluation, And Treatment of High Blood Cholesterol In Adults (Adult Treatment Panel III). JAMA. 2001;285:2486-97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27. Alberti KG, Zimmet P, Shaw J; IDF .Epidemiology Task Force Consensus Group.</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The metabolic syndrome new worldwide definition. Lancet 2005; 366:1059-62.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28. Seon Yeong Lee, Eunju Sung, and Yoosoo Chang, Elevated Serum Gamma80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Glutamyltransferase Is a Strong Marker of Insulin Resistance in Obese Children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International Journal of Endocrinology. Volume 2013, 66-72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29. Dan L. Longo, Dennis L. Kasper, J. Larry Jameson, Anthony S. Fauci, Stephen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L.Hauser, Joseph Loscalzo, Harrison‘s principles of internal medicine, 18th edition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30. R K kotokey, Dibyjyoti kalita, Roshan agarwala, Shubham purkayastha. Prevalence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of metabolic syndrome in urban population of Dibrugarh. Journal of Indian college of</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cardiology. 2013; 31(2): 52-56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31. Bergman RN, Van Citters GW, Mittelman SD, Dea MK, Hamilton- Wessler M, Kim SP, Ellmerer M. Central role of the adipocyte in the metabolic syndrome. J Investig Med. 2001;49:119–126.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32. Yu C, Chen Y, Cline GW, Zhang D, Zong H, Wang Y, Bergeron R, Kim JK, Cushman SW, Cooney GJ, Atcheson B, White MF, Kraegen EW, Shulman GI. Mechanism by which fatty acids inhibit insulin activation of insulin receptor substrate-1 (IRS-1)–associated phosphatidylinositol 3-kinase activity in muscle. J Biol Chem. 2002;277:50230–50236.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33. Trayhurn P, Wood IS. Adipokines: inflammation and the pleiotropic role of white adipose tissue. Br J Nutr. 2004;92:347–355.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34. You T, Yang R, Lyles MF, Gong D, Nicklas BJ. Abdominal adipose tissue cytokine gene expression: relationship to obesity and metabolic risk factors. Am J Physiol Endocrinol Metab. 2005;288:E741–E747.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35. Hara T, Fujiwara H, Shoji T, Mimura T, Nakao H, Fujimoto S. Decreased plasma</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adiponectin levels in young obese males. J Atheroscler Thromb. 2003; 10(4):234–238.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36. Kern PA, Di Gregorio GB, Lu T, Rassouli N, Ranganathan G. Adiponectin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expression from human adipose tissue: relation to obesity, insulin resistance, and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tumor necrosis factor-alpha expression. Diabetes. 2003; 52(7):1779–1785.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37. Trujillo ME, Scherer PE. Adiponectin—journey from an adipocyte secretory</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protein to biomarker of the metabolic syndrome. J Intern Med. 2005; 257(2):167–175.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38. Berg AH, Scherer PE. Adipose tissue, inflammation, and cardiovascular disease.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Circ Res. 2005; 96(9):939–949.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39. Petersen KF, Shulman GI. Pathogenesis of skeletal muscle insulin resistance type 2 diabetes mellitus. Am J Cardiol. 2002;90:11G–18G.</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40. Alberti KG, Zimmet P shaw J. Metabolic syndrome a new world-wide definition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new world-wide definition. A consensus statement from the International Diabetes</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Federation. Diabet Med. 2006; 23(5):469–480.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41. Lakka HM, Laaksonen DE, Lakka TA, Niskanen LK, Kumpusalo E, Tuomilehto J, et</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al. The metabolic syndrome and total and cardiovascular disease mortality in middleaged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men. JAMA. 2002; 288:2709–2716.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42. Sattar N, Gaw A, Scherbakova O, Ford I, O'Reilly DS, Haffner SM, et al. Metabolic</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syndrome with and without C-reactive protein as a predictor of coronary heart disease and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diabetes in the West of Scotland Coronary Prevention Study. Circulation. 2003; 108:414–</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419.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43. National Cholesterol Education Program (NCEP) Expert Panel on Detection,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Evaluation, and Treatment of High Blood Cholesterol in Adults (Adult Treatment Panel</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III). Third Report of the National Cholesterol Education Program (NCEP) Expert Panel</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on Detection, Evaluation, and Treatment of High Blood Cholesterol in Adults (Adult</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Treatment Panel III) final report. Circulation. 2002; 106(25):3143–3421.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44. Eckel RH, Grundy SM, Zimmet PZ. The metabolic syndrome: epidemiology,</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mechanisms and therapy. Lancet. 2005;365:1415–1428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45. Silventoinen K, Sans S, Tolonen H, WHO MONICA Project. Trends in obesity</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and energy supply in the WHO MONICA Project. Int J Obes Relat Metab Disord.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2004; 28:710–718.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46. Wang Y, Monteiro C, Popkin BM. Trends of obesity and underweight in older</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children and adolescents in the United States, Brazil, China, and Russia. Am J Clin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Nutr. 2002; 75:971–977.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47. Rennie KL, Jebb SA. Prevalence of obesity in Great Britain. Obes Rev. 2005;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6:11– 12.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48. Ogden CL, Carroll MD, Curtin LR, McDowell MA, Tabak CJ, Flegal KM.</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Prevalence of overweight and obesity in the United States, 1999–2004. JAMA. 2006;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295(13):1549–1555.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49. Park YW, Zhu S, Palaniappan L, Heshka S, Carnethon MR, Heymsfield SB. The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metabolic syndrome: prevalence and associated risk factor findings in the U.S.</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population from the Third National Health and Nutrition Examination Survey, 1988–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1994. Arch Intern Med. 2003; 163(4):427–436.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50. Ford ES, Kohl HW 3rd, Mokdad AH, Ajani UA. Sedentary behavior, physical activity and the metabolic syndrome among U.S. adults. Obes Res. 2005; 13(3):608–614.</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51. Grundy SM, Cleeman JI, Daniels SR, Donato KA, Eckel RH, Franklin BA, et al</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for the American Heart Association; National Heart, Lung, and Blood Institute.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Diagnosis and management of the metabolic syndrome: an American Heart</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Association/National Heart, Lung and Blood Institute Scientific Statement.</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Circulation. 2005; 112(17):2735–2752.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52. Bergman RN, Van Citters GW, Mittelman SD, Dea MK, Hamilton-Wessler M,</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Kim SP, et al. Central role of the adipocyte in the metabolic syndrome. J Investig Med.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2001; 49(1):119–126.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53. Abate N, Chandalia M, Snell PG, Grundy SM. Adipose tissue metabolites and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insulin resistance in nondiabetic Asian Indian men. J Clin Endocrinol Metab.</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2004;89(6):2750– 2755.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54. Petersen KF, Befroy D, Dufour S, Dziura J, Ariyan C, Rothman DL, et al.</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Mitochondrial dysfunction in the elderly: possible role in insulin resistance. Science.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2003; 300(5622):1140–1142.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55. Yki-Jarvinen H. Fat in the liver and insulin resistance. Ann Med. 2005; 37(5):347–356.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56. Berneis KK, Krauss RM. Metabolic origins and clinical significance of LDL heterogeneity. J Lipid Res. 2002;43:1363–1379.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57. Brunzell JD. Increased apo B in small dense LDL particles predicts premature coronary artery disease. Arterioscler Thromb Vasc Biol. 2005;25:474–475.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58. Libby P, Ridker PM, Maseri A. Inflammation and atherosclerosis. Circulation.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2002; 105(9):1135–1143.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59. Rantala AO, Lilja M, Kauma H, Savolainen MJ, Reunanen 24. A, Kesaniemi YA.</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Gamma-glutamyl transpeptidase and the metabolic syndrome. J Intern Med 2000; 248:230-8.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60. Kelishadi R, Razaghi EM, Gouya MM, Ardalan G, Gheiratmand R, Delavari A,</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etal.Association of physical activity and the metabolic syndrome in children and</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adolescents: CASPIAN Study. Horm Res. 2006; 67(1):46–52.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61. Alvin C Powers. Harrison’s Principles Of Internal Medicine 18thedition.2012:2nd Volume.344.2971-72.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62. Lebovitz HE. Insulin resistance: definition and consequences. Exp Clin Endocrinol Diabetes 2001; 109(2):135-48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63. Kylin E. [Studies of the hypertension-hyperglycemia-hyperuricemia syndrome]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79(German). Zentralbl Inn Med 1923; 44: 105-27.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64. Abbasi F, Brown BW Jr, Lamendola C, McLaughlin T, Reaven GM. Relationship</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between obesity, insulin resistance, and coronary heart disease risk. J Am Coll Cardiol.</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2002; 40(5):937–943.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65. Weir GC, Bonner-Weir S. Five stages of evolving beta-cell dysfunction during progression to diabetes. Diabetes. 2004;53(suppl 3):S16-S21.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66. DeFronzo RA, Tobin JD, Andres R. Glucose clamp technique: a method for quantifying insulin secretion and resistance. Am J Physiol Endocrinol Metab Gastrointest Physiol 1979; 237: E214–E223.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67. Harano Y, Hidaka H, Takatsuki K. Glucose, insulin, and somatostatin infusion for the determination of insulin sensitivity in vivo. Metabolism 1978; 27: 1449–52.</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68. Bergman R N, Ider Y Z, Bowden C R.. Quantitative estimation of insulin sensitivity. Am J Physiol Endocrinol Metab Gastrointest Physiol 1979; 236: E667–E677.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69. Matthews D R, Hosker J P, Rudenski A S. Homeostasis model assessment: insulin resistance and beta-cell function from fasting plasma glucose and insulin concentrations in man. Diabetologia 1985; 28: 412–19.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70. Katz A, Nambi SS, Mather K, et al. Quantitative insulin-sensitivity check index: A simple, accurate method for assessing insulin sensitivity in humans. J Clin Endocrinol Metab 2000; 85: 2402-10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71. Zofia R. Assessment of insulinsensitivity/resistance in epidemiological studies. Endocr Regul 2003; 37: 189-94.</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72. McAuley KA, Williams SM, Mann JI et al. Diagnosing insulin resistance in the general population. Diabetes Care 2001; 24: 460-4.</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73. Emdin M, Pompella A, Paolicchi A. Gamma-glutamyl transferase, atherosclerosis,</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and cardiovascular disease: triggering oxidative stress within the plaque. Circulation.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2005; 112:2078 –2080.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74. Whitfield JB. Gamma-glutamyl transferase. Crit Rev Clin Lab Sci. 2001; 38:263–3553.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75. Brenner H, Rothenbacher D, Arndt V, Schuberth S, Fraisse E, Fliedner TM.</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Distribution, determinants, and prognostic value of gammaglutamyltranspeptidase for allcause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mortality in a cohort of construction workers from south Germany. Prev Med. 1997;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26:305–310.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76. Nilssen O, Forde OH, Brenn T. The Tromso Study. Distribution and population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determinants of gamma-glutamyl transferase. Am J Epidemiol. 1990; 132:318 –326.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77. Ruttmann E, Brant LJ, Concin H, Diem G, Rapp K, Ulmer H; Vorarlberg Health</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Monitoring and Promotion Program Study Group. Gammaglutamyltransferase as a risk</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factor for cardiovascular disease mortality: an epidemiological investigation in a cohort of</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163,944 Austrian adults. Circulation. 2005; 112:2130 –2137.</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78. Wannamethee SG, Shaper AG, Lennon L, Whincup PH. Hepatic enzymes, the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metabolic syndrome, and the risk of type 2 diabetes in older men. Diabetes Care. 2005;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28:2913–2918.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79. Lee DS, Evans JC, Robins SJ, Wilson PW, Albano I, Fox CS, Wang TJ, Benjamin</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EJ, D‘Agostino RB, VasanRS. Gamma glutamyl transferase and metabolic syndrome,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cardiovascular disease, and mortality risk: the Framingham Heart Study. Arterioscler</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Thromb Vasc Biol. 2007; 27: 127–133.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80. Paolicchi A, Emdin M, Ghliozeni E, Ciancia E, Passino C, Popoff G, Pompella A.</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Human atherosclerotic plaques contain gamma-glutamyl transpeptidase enzyme activity.</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Circulation. 2004; 109:1440.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81. Pompella A, Emdin M, Passino C, Paolicchi A. The significance of serum glutamyl</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transferase in cardiovascular diseases. Clin Chem. Lab Med. 2004; 42:1085–1091.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82. Heart Protection Study Collaborative Group, MRC/BHF Heart Protection Study of cholesterol-lowering with simvastatin in 5963 people with diabetes: a randomised placebo-controlled trial.Lancet. 2003;361:2005-16..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83. Eldeisen SE, Tucker KL . Nutritional strategies in the prevention and treatment of metabolic syndrome. Appl Physiol Nutr Metab.2007; 32: 46–60.</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84. Elwood, PC; Pickering JE, Fehily AM. Milk and dairy consumption, diabetes and the metabolic syndrome: the Caerphilly prospective study. J Epidemiol Community Health.2007; 61: 695–698.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85. Balogun W18. O, Adeleye JO, Akinlade KS, Adedapo KS, Kuti M. Frequent</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Occurrence of high gamma-glutamyl transferase and alanine amino transferase among</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Nigerian patients with type 2 diabetes. Afr J Med Med Sci 2008; 37: 177-83.</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86. B.kasapgolu, C.turkay, Y.bayram; Role of GGT in diagnosis of metabolic</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syndrome: A clinic-based cross-sectional survey; Indian J Med Res. 2010;132: 56-61</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87. Onat A, Hergenc G, Karabulut A, Turkmen S, Dogan Y, Uyarel 20. H, et al. Serum</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gamma glutamyltransferase as a marker of metabolic syndrome and coronary disease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likelihood in nondiabetic middle-aged and elderly adults. Prev Med 2006; 43:136-9</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88. Meisinger C, Lo¨wel H, Heier M, SchneiderA, Thorand B. Serum cglutamyltransferase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and risk of type 2 diabetes mellitus in men and women from the</w:t>
      </w:r>
      <w:r>
        <w:rPr>
          <w:rFonts w:ascii="Times New Roman" w:hAnsi="Times New Roman" w:cs="Times New Roman"/>
          <w:sz w:val="24"/>
          <w:szCs w:val="24"/>
        </w:rPr>
        <w:t xml:space="preserve"> </w:t>
      </w:r>
      <w:r w:rsidRPr="005F1F5C">
        <w:rPr>
          <w:rFonts w:ascii="Times New Roman" w:hAnsi="Times New Roman" w:cs="Times New Roman"/>
          <w:sz w:val="24"/>
          <w:szCs w:val="24"/>
        </w:rPr>
        <w:t>general population. Journal of Internal Medicine 2005; 258: 527–535.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lastRenderedPageBreak/>
        <w:t>89. Girdhar Gopal et al. Association between GGT and insulin resistance markers in healthy obese children ; JAPI ; 2007; 57 : 60-65</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90. Lee DH, Jacobs DR, Gross M et al; GGT is a predictor of incident diabetes and hypertension; the CARDIA study; clinchem 2003; 49 : 1358-66</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91. Rantala AO, Lilja M, Kauma H, Savolainen MJ, Reunanen 24. A, Kesaniemi YA.</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Gamma-glutamyl transpeptidase and the metabolic syndrome. J Intern Med 2000; 248:230-8.</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92. Sakugawa H, Nakayoshi T, Kobashigawa K, Nakasone H, Kawakami Y, Yamashiro</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T, et al. Metabolic syndrome is directly associated with gamma glutamyl transpeptidase</w:t>
      </w:r>
    </w:p>
    <w:p w:rsidR="005F1F5C" w:rsidRPr="005F1F5C" w:rsidRDefault="005F1F5C" w:rsidP="005F1F5C">
      <w:pPr>
        <w:spacing w:line="600" w:lineRule="auto"/>
        <w:jc w:val="both"/>
        <w:rPr>
          <w:rFonts w:ascii="Times New Roman" w:hAnsi="Times New Roman" w:cs="Times New Roman"/>
          <w:sz w:val="24"/>
          <w:szCs w:val="24"/>
        </w:rPr>
      </w:pPr>
      <w:r w:rsidRPr="005F1F5C">
        <w:rPr>
          <w:rFonts w:ascii="Times New Roman" w:hAnsi="Times New Roman" w:cs="Times New Roman"/>
          <w:sz w:val="24"/>
          <w:szCs w:val="24"/>
        </w:rPr>
        <w:t>elevation in Japanese women. World J Gastroenterol 2004;10:1052-5</w:t>
      </w:r>
    </w:p>
    <w:p w:rsidR="005F1F5C" w:rsidRPr="005F1F5C" w:rsidRDefault="005F1F5C" w:rsidP="00A768C9">
      <w:pPr>
        <w:spacing w:line="600" w:lineRule="auto"/>
        <w:jc w:val="center"/>
        <w:rPr>
          <w:rFonts w:ascii="Times New Roman" w:hAnsi="Times New Roman" w:cs="Times New Roman"/>
          <w:b/>
          <w:sz w:val="24"/>
          <w:szCs w:val="24"/>
        </w:rPr>
      </w:pPr>
    </w:p>
    <w:p w:rsidR="005F1F5C" w:rsidRPr="005F1F5C" w:rsidRDefault="005F1F5C" w:rsidP="00A768C9">
      <w:pPr>
        <w:spacing w:line="600" w:lineRule="auto"/>
        <w:jc w:val="center"/>
        <w:rPr>
          <w:rFonts w:ascii="Times New Roman" w:hAnsi="Times New Roman" w:cs="Times New Roman"/>
          <w:b/>
          <w:sz w:val="24"/>
          <w:szCs w:val="24"/>
        </w:rPr>
      </w:pPr>
    </w:p>
    <w:p w:rsidR="005F1F5C" w:rsidRPr="005F1F5C" w:rsidRDefault="005F1F5C" w:rsidP="00A768C9">
      <w:pPr>
        <w:spacing w:line="600" w:lineRule="auto"/>
        <w:jc w:val="center"/>
        <w:rPr>
          <w:rFonts w:ascii="Times New Roman" w:hAnsi="Times New Roman" w:cs="Times New Roman"/>
          <w:b/>
          <w:sz w:val="24"/>
          <w:szCs w:val="24"/>
        </w:rPr>
      </w:pPr>
    </w:p>
    <w:p w:rsidR="005F1F5C" w:rsidRPr="005F1F5C" w:rsidRDefault="005F1F5C" w:rsidP="00A768C9">
      <w:pPr>
        <w:spacing w:line="600" w:lineRule="auto"/>
        <w:jc w:val="center"/>
        <w:rPr>
          <w:rFonts w:ascii="Times New Roman" w:hAnsi="Times New Roman" w:cs="Times New Roman"/>
          <w:b/>
          <w:sz w:val="24"/>
          <w:szCs w:val="24"/>
        </w:rPr>
      </w:pPr>
    </w:p>
    <w:p w:rsidR="005F1F5C" w:rsidRDefault="005F1F5C" w:rsidP="00A768C9">
      <w:pPr>
        <w:spacing w:line="600" w:lineRule="auto"/>
        <w:jc w:val="center"/>
        <w:rPr>
          <w:rFonts w:ascii="Times New Roman" w:hAnsi="Times New Roman" w:cs="Times New Roman"/>
          <w:b/>
          <w:sz w:val="28"/>
          <w:szCs w:val="24"/>
        </w:rPr>
      </w:pPr>
    </w:p>
    <w:p w:rsidR="005F1F5C" w:rsidRDefault="005F1F5C" w:rsidP="00A768C9">
      <w:pPr>
        <w:spacing w:line="600" w:lineRule="auto"/>
        <w:jc w:val="center"/>
        <w:rPr>
          <w:rFonts w:ascii="Times New Roman" w:hAnsi="Times New Roman" w:cs="Times New Roman"/>
          <w:b/>
          <w:sz w:val="28"/>
          <w:szCs w:val="24"/>
        </w:rPr>
      </w:pPr>
    </w:p>
    <w:p w:rsidR="005F1F5C" w:rsidRDefault="005F1F5C" w:rsidP="00A768C9">
      <w:pPr>
        <w:spacing w:line="600" w:lineRule="auto"/>
        <w:jc w:val="center"/>
        <w:rPr>
          <w:rFonts w:ascii="Times New Roman" w:hAnsi="Times New Roman" w:cs="Times New Roman"/>
          <w:b/>
          <w:sz w:val="28"/>
          <w:szCs w:val="24"/>
        </w:rPr>
      </w:pPr>
    </w:p>
    <w:p w:rsidR="00A768C9" w:rsidRPr="00A768C9" w:rsidRDefault="00A768C9" w:rsidP="00A768C9">
      <w:pPr>
        <w:spacing w:line="600" w:lineRule="auto"/>
        <w:jc w:val="center"/>
        <w:rPr>
          <w:rFonts w:ascii="Times New Roman" w:hAnsi="Times New Roman" w:cs="Times New Roman"/>
          <w:b/>
          <w:sz w:val="28"/>
          <w:szCs w:val="24"/>
        </w:rPr>
      </w:pPr>
      <w:r w:rsidRPr="00A768C9">
        <w:rPr>
          <w:rFonts w:ascii="Times New Roman" w:hAnsi="Times New Roman" w:cs="Times New Roman"/>
          <w:b/>
          <w:sz w:val="28"/>
          <w:szCs w:val="24"/>
        </w:rPr>
        <w:lastRenderedPageBreak/>
        <w:t>10. ANNEXURES</w:t>
      </w:r>
    </w:p>
    <w:p w:rsidR="00546ABB" w:rsidRPr="00A768C9" w:rsidRDefault="00546ABB" w:rsidP="00A768C9">
      <w:pPr>
        <w:spacing w:line="600" w:lineRule="auto"/>
        <w:jc w:val="center"/>
        <w:rPr>
          <w:rFonts w:ascii="Times New Roman" w:hAnsi="Times New Roman" w:cs="Times New Roman"/>
          <w:b/>
          <w:sz w:val="28"/>
          <w:szCs w:val="24"/>
        </w:rPr>
      </w:pPr>
      <w:r w:rsidRPr="00A768C9">
        <w:rPr>
          <w:rFonts w:ascii="Times New Roman" w:hAnsi="Times New Roman" w:cs="Times New Roman"/>
          <w:b/>
          <w:sz w:val="28"/>
          <w:szCs w:val="24"/>
        </w:rPr>
        <w:t>PROFORMA</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NAME               :                                                       IP/OP NO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AGE/SEX          :                                                    ADDRESS      :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EDUCATION    :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OCCUPATION :                                                      </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b/>
          <w:sz w:val="24"/>
          <w:szCs w:val="24"/>
        </w:rPr>
        <w:t>History of</w:t>
      </w:r>
      <w:r w:rsidRPr="006D176A">
        <w:rPr>
          <w:rFonts w:ascii="Times New Roman" w:hAnsi="Times New Roman" w:cs="Times New Roman"/>
          <w:sz w:val="24"/>
          <w:szCs w:val="24"/>
        </w:rPr>
        <w:t xml:space="preserve">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Diabetes     :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Yes/no                                         duration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Treatment history  :</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Hypertension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Yes/no                                         duration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Treatment history  :</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Dyslipidemia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Yes/no                                         duration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Treatment history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Pregnancy                         – yes/no</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Chronic liver disease     – yes/no</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Chronic renal disease   – yes/no</w:t>
      </w:r>
    </w:p>
    <w:p w:rsidR="009F614F" w:rsidRPr="006D176A" w:rsidRDefault="009F614F" w:rsidP="00A721A9">
      <w:pPr>
        <w:jc w:val="both"/>
        <w:rPr>
          <w:rFonts w:ascii="Times New Roman" w:hAnsi="Times New Roman" w:cs="Times New Roman"/>
          <w:sz w:val="24"/>
          <w:szCs w:val="24"/>
        </w:rPr>
      </w:pPr>
    </w:p>
    <w:p w:rsidR="005F1F5C" w:rsidRDefault="005F1F5C" w:rsidP="00A721A9">
      <w:pPr>
        <w:jc w:val="both"/>
        <w:rPr>
          <w:rFonts w:ascii="Times New Roman" w:hAnsi="Times New Roman" w:cs="Times New Roman"/>
          <w:b/>
          <w:sz w:val="24"/>
          <w:szCs w:val="24"/>
        </w:rPr>
      </w:pPr>
    </w:p>
    <w:p w:rsidR="009F614F" w:rsidRPr="006D176A" w:rsidRDefault="009F614F" w:rsidP="00A721A9">
      <w:pPr>
        <w:jc w:val="both"/>
        <w:rPr>
          <w:rFonts w:ascii="Times New Roman" w:hAnsi="Times New Roman" w:cs="Times New Roman"/>
          <w:b/>
          <w:sz w:val="24"/>
          <w:szCs w:val="24"/>
        </w:rPr>
      </w:pPr>
      <w:r w:rsidRPr="006D176A">
        <w:rPr>
          <w:rFonts w:ascii="Times New Roman" w:hAnsi="Times New Roman" w:cs="Times New Roman"/>
          <w:b/>
          <w:sz w:val="24"/>
          <w:szCs w:val="24"/>
        </w:rPr>
        <w:lastRenderedPageBreak/>
        <w:t>Past history</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Chronic drug intake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Yes/no                                specify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Acute CVA  - yes/no                               Acute MI     - yes/no</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Any other significant past history :</w:t>
      </w:r>
    </w:p>
    <w:p w:rsidR="009F614F" w:rsidRPr="006D176A" w:rsidRDefault="009F614F" w:rsidP="00A721A9">
      <w:pPr>
        <w:jc w:val="both"/>
        <w:rPr>
          <w:rFonts w:ascii="Times New Roman" w:hAnsi="Times New Roman" w:cs="Times New Roman"/>
          <w:b/>
          <w:sz w:val="24"/>
          <w:szCs w:val="24"/>
        </w:rPr>
      </w:pPr>
    </w:p>
    <w:p w:rsidR="009F614F" w:rsidRPr="006D176A" w:rsidRDefault="009F614F" w:rsidP="00A721A9">
      <w:pPr>
        <w:jc w:val="both"/>
        <w:rPr>
          <w:rFonts w:ascii="Times New Roman" w:hAnsi="Times New Roman" w:cs="Times New Roman"/>
          <w:b/>
          <w:sz w:val="24"/>
          <w:szCs w:val="24"/>
        </w:rPr>
      </w:pPr>
      <w:r w:rsidRPr="006D176A">
        <w:rPr>
          <w:rFonts w:ascii="Times New Roman" w:hAnsi="Times New Roman" w:cs="Times New Roman"/>
          <w:b/>
          <w:sz w:val="24"/>
          <w:szCs w:val="24"/>
        </w:rPr>
        <w:t>Personal history</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Smoking</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Alcohol</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b/>
          <w:sz w:val="24"/>
          <w:szCs w:val="24"/>
        </w:rPr>
      </w:pPr>
      <w:r w:rsidRPr="006D176A">
        <w:rPr>
          <w:rFonts w:ascii="Times New Roman" w:hAnsi="Times New Roman" w:cs="Times New Roman"/>
          <w:b/>
          <w:sz w:val="24"/>
          <w:szCs w:val="24"/>
        </w:rPr>
        <w:t>General physical examination</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Height :                 cm                        weight :              kg</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Bmi :                       kg/m</w:t>
      </w:r>
      <w:r w:rsidRPr="006D176A">
        <w:rPr>
          <w:rFonts w:ascii="Times New Roman" w:hAnsi="Times New Roman" w:cs="Times New Roman"/>
          <w:sz w:val="24"/>
          <w:szCs w:val="24"/>
          <w:vertAlign w:val="superscript"/>
        </w:rPr>
        <w:t>2</w:t>
      </w:r>
      <w:r w:rsidRPr="006D176A">
        <w:rPr>
          <w:rFonts w:ascii="Times New Roman" w:hAnsi="Times New Roman" w:cs="Times New Roman"/>
          <w:sz w:val="24"/>
          <w:szCs w:val="24"/>
        </w:rPr>
        <w:t xml:space="preserve">              waist circumference -             cm</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Pulse -       bpm                                                    BP-                   mmhg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 RR -         /’                                                           Temp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Peripheral signs of atherosclerosis – yes/no</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Other significant findings : </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b/>
          <w:sz w:val="24"/>
          <w:szCs w:val="24"/>
        </w:rPr>
      </w:pPr>
      <w:r w:rsidRPr="006D176A">
        <w:rPr>
          <w:rFonts w:ascii="Times New Roman" w:hAnsi="Times New Roman" w:cs="Times New Roman"/>
          <w:b/>
          <w:sz w:val="24"/>
          <w:szCs w:val="24"/>
        </w:rPr>
        <w:t>Systemic examination</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CVS:</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RS:</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CNS:</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P/A:</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b/>
          <w:sz w:val="24"/>
          <w:szCs w:val="24"/>
        </w:rPr>
      </w:pPr>
      <w:r w:rsidRPr="006D176A">
        <w:rPr>
          <w:rFonts w:ascii="Times New Roman" w:hAnsi="Times New Roman" w:cs="Times New Roman"/>
          <w:b/>
          <w:sz w:val="24"/>
          <w:szCs w:val="24"/>
        </w:rPr>
        <w:lastRenderedPageBreak/>
        <w:t>Investigations:</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CBC:</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S.UREA:                                 S.CREATININE:</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LFT </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 LIPID PROFILE       </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   </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FASTING SERUM INSULIN :                         mcU/L</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FBS :                    mg/dl                         PPBS :                   mg/dl</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 xml:space="preserve">Insulin Resistance: </w:t>
      </w: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Gamma Glutamyl Transferase :                    U/L</w:t>
      </w:r>
    </w:p>
    <w:p w:rsidR="00546ABB" w:rsidRPr="006D176A" w:rsidRDefault="00546ABB" w:rsidP="00A721A9">
      <w:pPr>
        <w:spacing w:line="600" w:lineRule="auto"/>
        <w:jc w:val="both"/>
        <w:rPr>
          <w:rFonts w:ascii="Times New Roman" w:hAnsi="Times New Roman" w:cs="Times New Roman"/>
          <w:sz w:val="24"/>
          <w:szCs w:val="24"/>
        </w:rPr>
      </w:pPr>
    </w:p>
    <w:p w:rsidR="00A768C9" w:rsidRDefault="00A768C9" w:rsidP="00A721A9">
      <w:pPr>
        <w:jc w:val="both"/>
        <w:rPr>
          <w:rFonts w:ascii="Times New Roman" w:hAnsi="Times New Roman" w:cs="Times New Roman"/>
          <w:b/>
          <w:sz w:val="24"/>
          <w:szCs w:val="24"/>
        </w:rPr>
      </w:pPr>
    </w:p>
    <w:p w:rsidR="005F1F5C" w:rsidRDefault="005F1F5C" w:rsidP="00A721A9">
      <w:pPr>
        <w:jc w:val="both"/>
        <w:rPr>
          <w:rFonts w:ascii="Times New Roman" w:hAnsi="Times New Roman" w:cs="Times New Roman"/>
          <w:b/>
          <w:sz w:val="24"/>
          <w:szCs w:val="24"/>
        </w:rPr>
      </w:pPr>
    </w:p>
    <w:p w:rsidR="005F1F5C" w:rsidRDefault="005F1F5C" w:rsidP="00A721A9">
      <w:pPr>
        <w:jc w:val="both"/>
        <w:rPr>
          <w:rFonts w:ascii="Times New Roman" w:hAnsi="Times New Roman" w:cs="Times New Roman"/>
          <w:b/>
          <w:sz w:val="24"/>
          <w:szCs w:val="24"/>
        </w:rPr>
      </w:pPr>
    </w:p>
    <w:p w:rsidR="005F1F5C" w:rsidRDefault="005F1F5C" w:rsidP="00A721A9">
      <w:pPr>
        <w:jc w:val="both"/>
        <w:rPr>
          <w:rFonts w:ascii="Times New Roman" w:hAnsi="Times New Roman" w:cs="Times New Roman"/>
          <w:b/>
          <w:sz w:val="24"/>
          <w:szCs w:val="24"/>
        </w:rPr>
      </w:pPr>
    </w:p>
    <w:p w:rsidR="005F1F5C" w:rsidRDefault="00B72E45" w:rsidP="00A721A9">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A768C9" w:rsidRDefault="00A768C9" w:rsidP="00A721A9">
      <w:pPr>
        <w:jc w:val="both"/>
        <w:rPr>
          <w:rFonts w:ascii="Times New Roman" w:hAnsi="Times New Roman" w:cs="Times New Roman"/>
          <w:b/>
          <w:sz w:val="24"/>
          <w:szCs w:val="24"/>
        </w:rPr>
      </w:pPr>
    </w:p>
    <w:p w:rsidR="00A768C9" w:rsidRDefault="00871B2B" w:rsidP="00A721A9">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9F614F" w:rsidRPr="00A768C9" w:rsidRDefault="009F614F" w:rsidP="00A768C9">
      <w:pPr>
        <w:jc w:val="center"/>
        <w:rPr>
          <w:rFonts w:ascii="Times New Roman" w:hAnsi="Times New Roman" w:cs="Times New Roman"/>
          <w:b/>
          <w:sz w:val="28"/>
          <w:szCs w:val="24"/>
        </w:rPr>
      </w:pPr>
      <w:r w:rsidRPr="00A768C9">
        <w:rPr>
          <w:rFonts w:ascii="Times New Roman" w:hAnsi="Times New Roman" w:cs="Times New Roman"/>
          <w:b/>
          <w:sz w:val="28"/>
          <w:szCs w:val="24"/>
        </w:rPr>
        <w:lastRenderedPageBreak/>
        <w:t>INFORMED CONSENT</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I have been explained in a language understood by me about the study entitled “THE STUDY OF CORRELATION BETWEEN GAMMA GLUTAMYL TRANSFERASE LEVEL AND INSULIN RESISTANCE IN PATIENTS WITH METABOLIC SYNDROME”</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I have been explained about the procedures and investigations that will be done during the study. I have no objections in sharing my medical information and details in case records with the investigator of this study. Personal identity will not be revealed but data may be used for publication/dissertation purpose.</w:t>
      </w:r>
    </w:p>
    <w:p w:rsidR="009F614F"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I understand that my participation in this study is entirely voluntary and I am willing to take part in this study</w:t>
      </w:r>
    </w:p>
    <w:p w:rsidR="00871B2B" w:rsidRDefault="00871B2B" w:rsidP="00A721A9">
      <w:pPr>
        <w:jc w:val="both"/>
        <w:rPr>
          <w:rFonts w:ascii="Times New Roman" w:hAnsi="Times New Roman" w:cs="Times New Roman"/>
          <w:sz w:val="24"/>
          <w:szCs w:val="24"/>
        </w:rPr>
      </w:pPr>
    </w:p>
    <w:p w:rsidR="00871B2B" w:rsidRPr="006D176A" w:rsidRDefault="00871B2B"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Place:                                                                   Signature:</w:t>
      </w:r>
    </w:p>
    <w:p w:rsidR="009F614F" w:rsidRPr="006D176A" w:rsidRDefault="009F614F" w:rsidP="00A721A9">
      <w:pPr>
        <w:jc w:val="both"/>
        <w:rPr>
          <w:rFonts w:ascii="Times New Roman" w:hAnsi="Times New Roman" w:cs="Times New Roman"/>
          <w:sz w:val="24"/>
          <w:szCs w:val="24"/>
        </w:rPr>
      </w:pPr>
      <w:r w:rsidRPr="006D176A">
        <w:rPr>
          <w:rFonts w:ascii="Times New Roman" w:hAnsi="Times New Roman" w:cs="Times New Roman"/>
          <w:sz w:val="24"/>
          <w:szCs w:val="24"/>
        </w:rPr>
        <w:t>Date:                                                                    Name:</w:t>
      </w:r>
    </w:p>
    <w:p w:rsidR="009F614F" w:rsidRDefault="009F614F"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21A9">
      <w:pPr>
        <w:spacing w:line="600" w:lineRule="auto"/>
        <w:jc w:val="both"/>
        <w:rPr>
          <w:rFonts w:ascii="Times New Roman" w:hAnsi="Times New Roman" w:cs="Times New Roman"/>
          <w:sz w:val="24"/>
          <w:szCs w:val="24"/>
        </w:rPr>
      </w:pPr>
    </w:p>
    <w:p w:rsidR="00A768C9" w:rsidRDefault="00A768C9" w:rsidP="00A768C9">
      <w:pPr>
        <w:spacing w:line="600" w:lineRule="auto"/>
        <w:jc w:val="center"/>
        <w:rPr>
          <w:rFonts w:ascii="Times New Roman" w:hAnsi="Times New Roman" w:cs="Times New Roman"/>
          <w:b/>
          <w:sz w:val="28"/>
          <w:szCs w:val="24"/>
        </w:rPr>
      </w:pPr>
      <w:r w:rsidRPr="00A768C9">
        <w:rPr>
          <w:rFonts w:ascii="Times New Roman" w:hAnsi="Times New Roman" w:cs="Times New Roman"/>
          <w:b/>
          <w:sz w:val="28"/>
          <w:szCs w:val="24"/>
        </w:rPr>
        <w:lastRenderedPageBreak/>
        <w:t>KEY TO MASTERCHART</w:t>
      </w:r>
    </w:p>
    <w:p w:rsidR="006B537A" w:rsidRDefault="006B537A" w:rsidP="006D240B">
      <w:pPr>
        <w:spacing w:line="600" w:lineRule="auto"/>
        <w:rPr>
          <w:rFonts w:ascii="Times New Roman" w:hAnsi="Times New Roman" w:cs="Times New Roman"/>
          <w:sz w:val="24"/>
          <w:szCs w:val="24"/>
        </w:rPr>
      </w:pPr>
      <w:r w:rsidRPr="006B537A">
        <w:rPr>
          <w:rFonts w:ascii="Times New Roman" w:hAnsi="Times New Roman" w:cs="Times New Roman"/>
          <w:sz w:val="24"/>
          <w:szCs w:val="24"/>
        </w:rPr>
        <w:t>SL NO -  Serial number</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AGE(YRS) – Age in years</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SEX</w:t>
      </w:r>
      <w:r w:rsidR="00204134" w:rsidRPr="008D41A9">
        <w:rPr>
          <w:rFonts w:ascii="Times New Roman" w:hAnsi="Times New Roman" w:cs="Times New Roman"/>
          <w:sz w:val="24"/>
          <w:szCs w:val="24"/>
        </w:rPr>
        <w:t xml:space="preserve"> : </w:t>
      </w:r>
      <w:r w:rsidRPr="008D41A9">
        <w:rPr>
          <w:rFonts w:ascii="Times New Roman" w:hAnsi="Times New Roman" w:cs="Times New Roman"/>
          <w:sz w:val="24"/>
          <w:szCs w:val="24"/>
        </w:rPr>
        <w:tab/>
        <w:t>F – Female</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ab/>
        <w:t>M – Male</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DM – Diabetes Mellitus</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HTN – Hypertension</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DURATION(YR) – Duration in years</w:t>
      </w:r>
    </w:p>
    <w:p w:rsidR="006D240B" w:rsidRPr="008D41A9" w:rsidRDefault="006B537A" w:rsidP="006D240B">
      <w:pPr>
        <w:spacing w:line="600" w:lineRule="auto"/>
        <w:rPr>
          <w:rFonts w:ascii="Times New Roman" w:hAnsi="Times New Roman" w:cs="Times New Roman"/>
          <w:sz w:val="24"/>
          <w:szCs w:val="24"/>
        </w:rPr>
      </w:pPr>
      <w:r>
        <w:rPr>
          <w:rFonts w:ascii="Times New Roman" w:hAnsi="Times New Roman" w:cs="Times New Roman"/>
          <w:sz w:val="24"/>
          <w:szCs w:val="24"/>
        </w:rPr>
        <w:t>HEIGHT(MTS) – Height in metres</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WEIGHT(KGS)  -Weight in Kilo grams</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 xml:space="preserve">WC(CM) – Waist circumference in </w:t>
      </w:r>
      <w:r w:rsidR="00204134" w:rsidRPr="008D41A9">
        <w:rPr>
          <w:rFonts w:ascii="Times New Roman" w:hAnsi="Times New Roman" w:cs="Times New Roman"/>
          <w:sz w:val="24"/>
          <w:szCs w:val="24"/>
        </w:rPr>
        <w:t>centimetres</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 xml:space="preserve">BMI– Basal Metabolic Index </w:t>
      </w:r>
      <w:r w:rsidR="00412DD6" w:rsidRPr="008D41A9">
        <w:rPr>
          <w:rFonts w:ascii="Times New Roman" w:hAnsi="Times New Roman" w:cs="Times New Roman"/>
          <w:sz w:val="24"/>
          <w:szCs w:val="24"/>
        </w:rPr>
        <w:t>BP</w:t>
      </w:r>
      <w:r w:rsidRPr="008D41A9">
        <w:rPr>
          <w:rFonts w:ascii="Times New Roman" w:hAnsi="Times New Roman" w:cs="Times New Roman"/>
          <w:sz w:val="24"/>
          <w:szCs w:val="24"/>
        </w:rPr>
        <w:t xml:space="preserve"> – Blood Pressure </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FBS</w:t>
      </w:r>
      <w:r w:rsidR="00412DD6" w:rsidRPr="008D41A9">
        <w:rPr>
          <w:rFonts w:ascii="Times New Roman" w:hAnsi="Times New Roman" w:cs="Times New Roman"/>
          <w:sz w:val="24"/>
          <w:szCs w:val="24"/>
        </w:rPr>
        <w:t xml:space="preserve"> </w:t>
      </w:r>
      <w:r w:rsidRPr="008D41A9">
        <w:rPr>
          <w:rFonts w:ascii="Times New Roman" w:hAnsi="Times New Roman" w:cs="Times New Roman"/>
          <w:sz w:val="24"/>
          <w:szCs w:val="24"/>
        </w:rPr>
        <w:t xml:space="preserve">– Fasting Blood Sugar </w:t>
      </w:r>
    </w:p>
    <w:p w:rsidR="006D240B"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TC</w:t>
      </w:r>
      <w:r w:rsidR="00412DD6" w:rsidRPr="008D41A9">
        <w:rPr>
          <w:rFonts w:ascii="Times New Roman" w:hAnsi="Times New Roman" w:cs="Times New Roman"/>
          <w:sz w:val="24"/>
          <w:szCs w:val="24"/>
        </w:rPr>
        <w:t xml:space="preserve"> </w:t>
      </w:r>
      <w:r w:rsidRPr="008D41A9">
        <w:rPr>
          <w:rFonts w:ascii="Times New Roman" w:hAnsi="Times New Roman" w:cs="Times New Roman"/>
          <w:sz w:val="24"/>
          <w:szCs w:val="24"/>
        </w:rPr>
        <w:t xml:space="preserve">– Total cholesterol </w:t>
      </w:r>
    </w:p>
    <w:p w:rsidR="00204134" w:rsidRPr="008D41A9" w:rsidRDefault="006D240B"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HB</w:t>
      </w:r>
      <w:r w:rsidR="00204134" w:rsidRPr="008D41A9">
        <w:rPr>
          <w:rFonts w:ascii="Times New Roman" w:hAnsi="Times New Roman" w:cs="Times New Roman"/>
          <w:sz w:val="24"/>
          <w:szCs w:val="24"/>
        </w:rPr>
        <w:t xml:space="preserve"> </w:t>
      </w:r>
      <w:r w:rsidRPr="008D41A9">
        <w:rPr>
          <w:rFonts w:ascii="Times New Roman" w:hAnsi="Times New Roman" w:cs="Times New Roman"/>
          <w:sz w:val="24"/>
          <w:szCs w:val="24"/>
        </w:rPr>
        <w:t xml:space="preserve">– Haemoglobin </w:t>
      </w:r>
    </w:p>
    <w:p w:rsidR="006D240B" w:rsidRPr="008D41A9" w:rsidRDefault="00204134"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t>WBC</w:t>
      </w:r>
      <w:r w:rsidR="006D240B" w:rsidRPr="008D41A9">
        <w:rPr>
          <w:rFonts w:ascii="Times New Roman" w:hAnsi="Times New Roman" w:cs="Times New Roman"/>
          <w:sz w:val="24"/>
          <w:szCs w:val="24"/>
        </w:rPr>
        <w:t xml:space="preserve"> – White Blood Cells</w:t>
      </w:r>
    </w:p>
    <w:p w:rsidR="00204134" w:rsidRPr="008D41A9" w:rsidRDefault="00204134" w:rsidP="006D240B">
      <w:pPr>
        <w:spacing w:line="600" w:lineRule="auto"/>
        <w:rPr>
          <w:rFonts w:ascii="Times New Roman" w:hAnsi="Times New Roman" w:cs="Times New Roman"/>
          <w:sz w:val="24"/>
          <w:szCs w:val="24"/>
        </w:rPr>
      </w:pPr>
      <w:r w:rsidRPr="008D41A9">
        <w:rPr>
          <w:rFonts w:ascii="Times New Roman" w:hAnsi="Times New Roman" w:cs="Times New Roman"/>
          <w:sz w:val="24"/>
          <w:szCs w:val="24"/>
        </w:rPr>
        <w:lastRenderedPageBreak/>
        <w:t>PLT – Platelet count</w:t>
      </w:r>
    </w:p>
    <w:p w:rsidR="00211D5E" w:rsidRPr="008D41A9" w:rsidRDefault="00211D5E" w:rsidP="00211D5E">
      <w:pPr>
        <w:spacing w:line="600" w:lineRule="auto"/>
        <w:rPr>
          <w:rFonts w:ascii="Times New Roman" w:hAnsi="Times New Roman" w:cs="Times New Roman"/>
          <w:sz w:val="24"/>
          <w:szCs w:val="24"/>
        </w:rPr>
      </w:pPr>
      <w:r w:rsidRPr="008D41A9">
        <w:rPr>
          <w:rFonts w:ascii="Times New Roman" w:hAnsi="Times New Roman" w:cs="Times New Roman"/>
          <w:sz w:val="24"/>
          <w:szCs w:val="24"/>
        </w:rPr>
        <w:t>SGOT- serum glutamyl oxaloacetate transferase</w:t>
      </w:r>
    </w:p>
    <w:p w:rsidR="00211D5E" w:rsidRPr="008D41A9" w:rsidRDefault="00211D5E" w:rsidP="00211D5E">
      <w:pPr>
        <w:spacing w:line="600" w:lineRule="auto"/>
        <w:rPr>
          <w:rFonts w:ascii="Times New Roman" w:hAnsi="Times New Roman" w:cs="Times New Roman"/>
          <w:sz w:val="24"/>
          <w:szCs w:val="24"/>
        </w:rPr>
      </w:pPr>
      <w:r w:rsidRPr="008D41A9">
        <w:rPr>
          <w:rFonts w:ascii="Times New Roman" w:hAnsi="Times New Roman" w:cs="Times New Roman"/>
          <w:sz w:val="24"/>
          <w:szCs w:val="24"/>
        </w:rPr>
        <w:t>SGPT- serum glutamyl pyruvate transferase</w:t>
      </w:r>
    </w:p>
    <w:p w:rsidR="006D240B" w:rsidRPr="008D41A9" w:rsidRDefault="00211D5E" w:rsidP="00211D5E">
      <w:pPr>
        <w:spacing w:line="600" w:lineRule="auto"/>
        <w:rPr>
          <w:rFonts w:ascii="Times New Roman" w:hAnsi="Times New Roman" w:cs="Times New Roman"/>
          <w:sz w:val="24"/>
          <w:szCs w:val="24"/>
        </w:rPr>
      </w:pPr>
      <w:r w:rsidRPr="008D41A9">
        <w:rPr>
          <w:rFonts w:ascii="Times New Roman" w:hAnsi="Times New Roman" w:cs="Times New Roman"/>
          <w:sz w:val="24"/>
          <w:szCs w:val="24"/>
        </w:rPr>
        <w:t>TG- triglycerides</w:t>
      </w:r>
    </w:p>
    <w:p w:rsidR="00204134" w:rsidRPr="008D41A9" w:rsidRDefault="00204134" w:rsidP="00211D5E">
      <w:pPr>
        <w:spacing w:line="600" w:lineRule="auto"/>
        <w:rPr>
          <w:rFonts w:ascii="Times New Roman" w:hAnsi="Times New Roman" w:cs="Times New Roman"/>
          <w:sz w:val="24"/>
          <w:szCs w:val="24"/>
        </w:rPr>
      </w:pPr>
      <w:r w:rsidRPr="008D41A9">
        <w:rPr>
          <w:rFonts w:ascii="Times New Roman" w:hAnsi="Times New Roman" w:cs="Times New Roman"/>
          <w:sz w:val="24"/>
          <w:szCs w:val="24"/>
        </w:rPr>
        <w:t>GGT – Gamma Glutamyl Transferase</w:t>
      </w:r>
    </w:p>
    <w:p w:rsidR="00204134" w:rsidRPr="008D41A9" w:rsidRDefault="00204134" w:rsidP="00211D5E">
      <w:pPr>
        <w:spacing w:line="600" w:lineRule="auto"/>
        <w:rPr>
          <w:rFonts w:ascii="Times New Roman" w:hAnsi="Times New Roman" w:cs="Times New Roman"/>
          <w:sz w:val="24"/>
          <w:szCs w:val="24"/>
        </w:rPr>
      </w:pPr>
      <w:r w:rsidRPr="008D41A9">
        <w:rPr>
          <w:rFonts w:ascii="Times New Roman" w:hAnsi="Times New Roman" w:cs="Times New Roman"/>
          <w:sz w:val="24"/>
          <w:szCs w:val="24"/>
        </w:rPr>
        <w:t xml:space="preserve">HOMA – IR - </w:t>
      </w:r>
      <w:r w:rsidR="00412DD6" w:rsidRPr="008D41A9">
        <w:rPr>
          <w:rFonts w:ascii="Times New Roman" w:hAnsi="Times New Roman" w:cs="Times New Roman"/>
          <w:sz w:val="24"/>
          <w:szCs w:val="24"/>
        </w:rPr>
        <w:t xml:space="preserve"> Homeostasis Model Assessment  - Insulin Resistance</w:t>
      </w:r>
    </w:p>
    <w:p w:rsidR="00204134" w:rsidRPr="00A768C9" w:rsidRDefault="00204134" w:rsidP="00211D5E">
      <w:pPr>
        <w:spacing w:line="600" w:lineRule="auto"/>
        <w:rPr>
          <w:rFonts w:ascii="Times New Roman" w:hAnsi="Times New Roman" w:cs="Times New Roman"/>
          <w:b/>
          <w:sz w:val="28"/>
          <w:szCs w:val="24"/>
        </w:rPr>
      </w:pPr>
    </w:p>
    <w:sectPr w:rsidR="00204134" w:rsidRPr="00A768C9" w:rsidSect="00530A7A">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F3F" w:rsidRDefault="00A55F3F" w:rsidP="006D176A">
      <w:pPr>
        <w:spacing w:after="0" w:line="240" w:lineRule="auto"/>
      </w:pPr>
      <w:r>
        <w:separator/>
      </w:r>
    </w:p>
  </w:endnote>
  <w:endnote w:type="continuationSeparator" w:id="0">
    <w:p w:rsidR="00A55F3F" w:rsidRDefault="00A55F3F" w:rsidP="006D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720424"/>
      <w:docPartObj>
        <w:docPartGallery w:val="Page Numbers (Bottom of Page)"/>
        <w:docPartUnique/>
      </w:docPartObj>
    </w:sdtPr>
    <w:sdtEndPr>
      <w:rPr>
        <w:noProof/>
      </w:rPr>
    </w:sdtEndPr>
    <w:sdtContent>
      <w:p w:rsidR="00530A7A" w:rsidRDefault="00530A7A">
        <w:pPr>
          <w:pStyle w:val="Footer"/>
          <w:jc w:val="center"/>
        </w:pPr>
        <w:r>
          <w:fldChar w:fldCharType="begin"/>
        </w:r>
        <w:r>
          <w:instrText xml:space="preserve"> PAGE   \* MERGEFORMAT </w:instrText>
        </w:r>
        <w:r>
          <w:fldChar w:fldCharType="separate"/>
        </w:r>
        <w:r w:rsidR="00972E8C">
          <w:rPr>
            <w:noProof/>
          </w:rPr>
          <w:t>73</w:t>
        </w:r>
        <w:r>
          <w:rPr>
            <w:noProof/>
          </w:rPr>
          <w:fldChar w:fldCharType="end"/>
        </w:r>
      </w:p>
    </w:sdtContent>
  </w:sdt>
  <w:p w:rsidR="00530A7A" w:rsidRDefault="00530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F3F" w:rsidRDefault="00A55F3F" w:rsidP="006D176A">
      <w:pPr>
        <w:spacing w:after="0" w:line="240" w:lineRule="auto"/>
      </w:pPr>
      <w:r>
        <w:separator/>
      </w:r>
    </w:p>
  </w:footnote>
  <w:footnote w:type="continuationSeparator" w:id="0">
    <w:p w:rsidR="00A55F3F" w:rsidRDefault="00A55F3F" w:rsidP="006D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D6813"/>
    <w:multiLevelType w:val="hybridMultilevel"/>
    <w:tmpl w:val="3BE67882"/>
    <w:lvl w:ilvl="0" w:tplc="7AB60878">
      <w:start w:val="3"/>
      <w:numFmt w:val="upperLetter"/>
      <w:lvlText w:val="%1."/>
      <w:lvlJc w:val="left"/>
      <w:pPr>
        <w:ind w:left="720" w:hanging="360"/>
      </w:pPr>
      <w:rPr>
        <w:rFonts w:ascii="Times New Roman" w:eastAsia="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2B0719"/>
    <w:multiLevelType w:val="multilevel"/>
    <w:tmpl w:val="F16E9E2A"/>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
    <w:nsid w:val="2A0B1745"/>
    <w:multiLevelType w:val="multilevel"/>
    <w:tmpl w:val="D74655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37E6CA6"/>
    <w:multiLevelType w:val="hybridMultilevel"/>
    <w:tmpl w:val="6CA20E98"/>
    <w:lvl w:ilvl="0" w:tplc="D1CADFB2">
      <w:start w:val="1"/>
      <w:numFmt w:val="upperLetter"/>
      <w:lvlText w:val="%1."/>
      <w:lvlJc w:val="left"/>
      <w:pPr>
        <w:ind w:left="420" w:hanging="360"/>
      </w:pPr>
      <w:rPr>
        <w:rFonts w:ascii="Times New Roman" w:eastAsia="Times New Roman" w:hAnsi="Times New Roman" w:cs="Times New Roman" w:hint="default"/>
        <w:b/>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nsid w:val="4A7C3928"/>
    <w:multiLevelType w:val="hybridMultilevel"/>
    <w:tmpl w:val="A70E74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6C03158"/>
    <w:multiLevelType w:val="multilevel"/>
    <w:tmpl w:val="86981B5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8845442"/>
    <w:multiLevelType w:val="hybridMultilevel"/>
    <w:tmpl w:val="26F04190"/>
    <w:lvl w:ilvl="0" w:tplc="B0F676F6">
      <w:start w:val="1"/>
      <w:numFmt w:val="bullet"/>
      <w:lvlText w:val=""/>
      <w:lvlJc w:val="left"/>
      <w:pPr>
        <w:ind w:left="720" w:hanging="360"/>
      </w:pPr>
      <w:rPr>
        <w:rFonts w:ascii="Symbol" w:hAnsi="Symbol" w:hint="default"/>
      </w:rPr>
    </w:lvl>
    <w:lvl w:ilvl="1" w:tplc="176E5966">
      <w:start w:val="1"/>
      <w:numFmt w:val="bullet"/>
      <w:lvlText w:val="o"/>
      <w:lvlJc w:val="left"/>
      <w:pPr>
        <w:ind w:left="1440" w:hanging="360"/>
      </w:pPr>
      <w:rPr>
        <w:rFonts w:ascii="Courier New" w:hAnsi="Courier New" w:cs="Courier New" w:hint="default"/>
      </w:rPr>
    </w:lvl>
    <w:lvl w:ilvl="2" w:tplc="23828EE0">
      <w:start w:val="1"/>
      <w:numFmt w:val="bullet"/>
      <w:lvlText w:val=""/>
      <w:lvlJc w:val="left"/>
      <w:pPr>
        <w:ind w:left="2160" w:hanging="360"/>
      </w:pPr>
      <w:rPr>
        <w:rFonts w:ascii="Wingdings" w:hAnsi="Wingdings" w:hint="default"/>
      </w:rPr>
    </w:lvl>
    <w:lvl w:ilvl="3" w:tplc="C2108266">
      <w:start w:val="1"/>
      <w:numFmt w:val="bullet"/>
      <w:lvlText w:val=""/>
      <w:lvlJc w:val="left"/>
      <w:pPr>
        <w:ind w:left="2880" w:hanging="360"/>
      </w:pPr>
      <w:rPr>
        <w:rFonts w:ascii="Symbol" w:hAnsi="Symbol" w:hint="default"/>
      </w:rPr>
    </w:lvl>
    <w:lvl w:ilvl="4" w:tplc="17BA7F34">
      <w:start w:val="1"/>
      <w:numFmt w:val="bullet"/>
      <w:lvlText w:val="o"/>
      <w:lvlJc w:val="left"/>
      <w:pPr>
        <w:ind w:left="3600" w:hanging="360"/>
      </w:pPr>
      <w:rPr>
        <w:rFonts w:ascii="Courier New" w:hAnsi="Courier New" w:cs="Courier New" w:hint="default"/>
      </w:rPr>
    </w:lvl>
    <w:lvl w:ilvl="5" w:tplc="7958A536">
      <w:start w:val="1"/>
      <w:numFmt w:val="bullet"/>
      <w:lvlText w:val=""/>
      <w:lvlJc w:val="left"/>
      <w:pPr>
        <w:ind w:left="4320" w:hanging="360"/>
      </w:pPr>
      <w:rPr>
        <w:rFonts w:ascii="Wingdings" w:hAnsi="Wingdings" w:hint="default"/>
      </w:rPr>
    </w:lvl>
    <w:lvl w:ilvl="6" w:tplc="9A7ACEA2">
      <w:start w:val="1"/>
      <w:numFmt w:val="bullet"/>
      <w:lvlText w:val=""/>
      <w:lvlJc w:val="left"/>
      <w:pPr>
        <w:ind w:left="5040" w:hanging="360"/>
      </w:pPr>
      <w:rPr>
        <w:rFonts w:ascii="Symbol" w:hAnsi="Symbol" w:hint="default"/>
      </w:rPr>
    </w:lvl>
    <w:lvl w:ilvl="7" w:tplc="AD5C1F9A">
      <w:start w:val="1"/>
      <w:numFmt w:val="bullet"/>
      <w:lvlText w:val="o"/>
      <w:lvlJc w:val="left"/>
      <w:pPr>
        <w:ind w:left="5760" w:hanging="360"/>
      </w:pPr>
      <w:rPr>
        <w:rFonts w:ascii="Courier New" w:hAnsi="Courier New" w:cs="Courier New" w:hint="default"/>
      </w:rPr>
    </w:lvl>
    <w:lvl w:ilvl="8" w:tplc="DD4A0EFE">
      <w:start w:val="1"/>
      <w:numFmt w:val="bullet"/>
      <w:lvlText w:val=""/>
      <w:lvlJc w:val="left"/>
      <w:pPr>
        <w:ind w:left="6480" w:hanging="360"/>
      </w:pPr>
      <w:rPr>
        <w:rFonts w:ascii="Wingdings" w:hAnsi="Wingdings" w:hint="default"/>
      </w:rPr>
    </w:lvl>
  </w:abstractNum>
  <w:abstractNum w:abstractNumId="7">
    <w:nsid w:val="6EF86580"/>
    <w:multiLevelType w:val="hybridMultilevel"/>
    <w:tmpl w:val="EB5A7712"/>
    <w:lvl w:ilvl="0" w:tplc="4070562A">
      <w:start w:val="3"/>
      <w:numFmt w:val="upperLetter"/>
      <w:lvlText w:val="%1."/>
      <w:lvlJc w:val="left"/>
      <w:pPr>
        <w:ind w:left="720" w:hanging="360"/>
      </w:pPr>
      <w:rPr>
        <w:rFonts w:ascii="Times New Roman" w:eastAsia="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9B618B8"/>
    <w:multiLevelType w:val="hybridMultilevel"/>
    <w:tmpl w:val="5094B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42351E"/>
    <w:multiLevelType w:val="multilevel"/>
    <w:tmpl w:val="030E8EA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7"/>
  </w:num>
  <w:num w:numId="3">
    <w:abstractNumId w:val="0"/>
  </w:num>
  <w:num w:numId="4">
    <w:abstractNumId w:val="9"/>
  </w:num>
  <w:num w:numId="5">
    <w:abstractNumId w:val="5"/>
  </w:num>
  <w:num w:numId="6">
    <w:abstractNumId w:val="1"/>
  </w:num>
  <w:num w:numId="7">
    <w:abstractNumId w:val="2"/>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D4"/>
    <w:rsid w:val="000115AD"/>
    <w:rsid w:val="0003626D"/>
    <w:rsid w:val="00052D31"/>
    <w:rsid w:val="000623C1"/>
    <w:rsid w:val="00064D59"/>
    <w:rsid w:val="000903D0"/>
    <w:rsid w:val="000B22E7"/>
    <w:rsid w:val="001154BC"/>
    <w:rsid w:val="00173F3C"/>
    <w:rsid w:val="001A464B"/>
    <w:rsid w:val="001A582C"/>
    <w:rsid w:val="001A6073"/>
    <w:rsid w:val="001B1D25"/>
    <w:rsid w:val="001C64FD"/>
    <w:rsid w:val="001E330C"/>
    <w:rsid w:val="001F2809"/>
    <w:rsid w:val="00204134"/>
    <w:rsid w:val="00211D5E"/>
    <w:rsid w:val="00276416"/>
    <w:rsid w:val="00295E9F"/>
    <w:rsid w:val="002978E4"/>
    <w:rsid w:val="00350EDC"/>
    <w:rsid w:val="003554B9"/>
    <w:rsid w:val="003728B3"/>
    <w:rsid w:val="0037633F"/>
    <w:rsid w:val="00390F75"/>
    <w:rsid w:val="003A4702"/>
    <w:rsid w:val="003A7136"/>
    <w:rsid w:val="003C6B34"/>
    <w:rsid w:val="003F45F2"/>
    <w:rsid w:val="003F742F"/>
    <w:rsid w:val="00403141"/>
    <w:rsid w:val="00412DD6"/>
    <w:rsid w:val="00434B0B"/>
    <w:rsid w:val="00447689"/>
    <w:rsid w:val="0046782F"/>
    <w:rsid w:val="0047452C"/>
    <w:rsid w:val="004A72D6"/>
    <w:rsid w:val="004B36AC"/>
    <w:rsid w:val="004C3906"/>
    <w:rsid w:val="004D7C05"/>
    <w:rsid w:val="00503D25"/>
    <w:rsid w:val="00530A7A"/>
    <w:rsid w:val="00532329"/>
    <w:rsid w:val="00546ABB"/>
    <w:rsid w:val="005802D4"/>
    <w:rsid w:val="005B0504"/>
    <w:rsid w:val="005B1225"/>
    <w:rsid w:val="005B3B6D"/>
    <w:rsid w:val="005C4B3F"/>
    <w:rsid w:val="005D0D43"/>
    <w:rsid w:val="005D280C"/>
    <w:rsid w:val="005E4BA8"/>
    <w:rsid w:val="005E76CD"/>
    <w:rsid w:val="005F1F5C"/>
    <w:rsid w:val="00602274"/>
    <w:rsid w:val="00623316"/>
    <w:rsid w:val="00644BB4"/>
    <w:rsid w:val="00650ED8"/>
    <w:rsid w:val="00652983"/>
    <w:rsid w:val="00665686"/>
    <w:rsid w:val="00670C9E"/>
    <w:rsid w:val="00672C27"/>
    <w:rsid w:val="00692944"/>
    <w:rsid w:val="006A20E2"/>
    <w:rsid w:val="006B537A"/>
    <w:rsid w:val="006C4E64"/>
    <w:rsid w:val="006D0CC4"/>
    <w:rsid w:val="006D176A"/>
    <w:rsid w:val="006D240B"/>
    <w:rsid w:val="006F279E"/>
    <w:rsid w:val="0071103F"/>
    <w:rsid w:val="00732465"/>
    <w:rsid w:val="00755EF4"/>
    <w:rsid w:val="00763705"/>
    <w:rsid w:val="007C020C"/>
    <w:rsid w:val="007C64FB"/>
    <w:rsid w:val="007D2E35"/>
    <w:rsid w:val="007E22C3"/>
    <w:rsid w:val="007F0C63"/>
    <w:rsid w:val="007F0E0C"/>
    <w:rsid w:val="007F5B33"/>
    <w:rsid w:val="00803D00"/>
    <w:rsid w:val="00813928"/>
    <w:rsid w:val="00820387"/>
    <w:rsid w:val="00822BAB"/>
    <w:rsid w:val="008230A3"/>
    <w:rsid w:val="008331E6"/>
    <w:rsid w:val="00853A91"/>
    <w:rsid w:val="00862520"/>
    <w:rsid w:val="00862AB4"/>
    <w:rsid w:val="00871B2B"/>
    <w:rsid w:val="008803E8"/>
    <w:rsid w:val="008B130E"/>
    <w:rsid w:val="008C08D6"/>
    <w:rsid w:val="008D41A9"/>
    <w:rsid w:val="008E6E6F"/>
    <w:rsid w:val="008F0935"/>
    <w:rsid w:val="008F2612"/>
    <w:rsid w:val="00914052"/>
    <w:rsid w:val="0093346F"/>
    <w:rsid w:val="0093460D"/>
    <w:rsid w:val="00934C06"/>
    <w:rsid w:val="009662FC"/>
    <w:rsid w:val="00972E8C"/>
    <w:rsid w:val="00974E64"/>
    <w:rsid w:val="009808CC"/>
    <w:rsid w:val="0098353A"/>
    <w:rsid w:val="00987B30"/>
    <w:rsid w:val="009A040A"/>
    <w:rsid w:val="009B3A87"/>
    <w:rsid w:val="009B40C0"/>
    <w:rsid w:val="009F614F"/>
    <w:rsid w:val="00A404FC"/>
    <w:rsid w:val="00A46658"/>
    <w:rsid w:val="00A466AC"/>
    <w:rsid w:val="00A55F3F"/>
    <w:rsid w:val="00A56A21"/>
    <w:rsid w:val="00A721A9"/>
    <w:rsid w:val="00A768C9"/>
    <w:rsid w:val="00A93A57"/>
    <w:rsid w:val="00AA7B3E"/>
    <w:rsid w:val="00AC177E"/>
    <w:rsid w:val="00AF50DE"/>
    <w:rsid w:val="00B14B93"/>
    <w:rsid w:val="00B22FD1"/>
    <w:rsid w:val="00B51204"/>
    <w:rsid w:val="00B52997"/>
    <w:rsid w:val="00B72E45"/>
    <w:rsid w:val="00B758DA"/>
    <w:rsid w:val="00BB22D3"/>
    <w:rsid w:val="00BB550D"/>
    <w:rsid w:val="00BB589B"/>
    <w:rsid w:val="00C43388"/>
    <w:rsid w:val="00C635FF"/>
    <w:rsid w:val="00C75AC5"/>
    <w:rsid w:val="00CD4B63"/>
    <w:rsid w:val="00CD4D93"/>
    <w:rsid w:val="00CF118E"/>
    <w:rsid w:val="00CF3C51"/>
    <w:rsid w:val="00D00531"/>
    <w:rsid w:val="00D02C13"/>
    <w:rsid w:val="00D06105"/>
    <w:rsid w:val="00D16BD0"/>
    <w:rsid w:val="00D25358"/>
    <w:rsid w:val="00D45155"/>
    <w:rsid w:val="00D63A67"/>
    <w:rsid w:val="00D64132"/>
    <w:rsid w:val="00D96824"/>
    <w:rsid w:val="00E1351B"/>
    <w:rsid w:val="00E555C8"/>
    <w:rsid w:val="00E75B6E"/>
    <w:rsid w:val="00E77A0B"/>
    <w:rsid w:val="00EC63A9"/>
    <w:rsid w:val="00ED54DA"/>
    <w:rsid w:val="00F01E6B"/>
    <w:rsid w:val="00F05203"/>
    <w:rsid w:val="00F24ADF"/>
    <w:rsid w:val="00F2602C"/>
    <w:rsid w:val="00F273B3"/>
    <w:rsid w:val="00F403B3"/>
    <w:rsid w:val="00F83195"/>
    <w:rsid w:val="00F94F13"/>
    <w:rsid w:val="00FB5AF6"/>
    <w:rsid w:val="00FC126D"/>
    <w:rsid w:val="00FE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0F75"/>
    <w:pPr>
      <w:keepNext/>
      <w:spacing w:before="240" w:after="60"/>
      <w:outlineLvl w:val="1"/>
    </w:pPr>
    <w:rPr>
      <w:rFonts w:ascii="Cambria" w:eastAsia="Times New Roman" w:hAnsi="Cambria"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76CD"/>
    <w:rPr>
      <w:color w:val="0000FF"/>
      <w:u w:val="single"/>
    </w:rPr>
  </w:style>
  <w:style w:type="character" w:customStyle="1" w:styleId="apple-converted-space">
    <w:name w:val="apple-converted-space"/>
    <w:basedOn w:val="DefaultParagraphFont"/>
    <w:rsid w:val="005E76CD"/>
  </w:style>
  <w:style w:type="character" w:styleId="Emphasis">
    <w:name w:val="Emphasis"/>
    <w:basedOn w:val="DefaultParagraphFont"/>
    <w:uiPriority w:val="20"/>
    <w:qFormat/>
    <w:rsid w:val="005E76CD"/>
    <w:rPr>
      <w:i/>
      <w:iCs/>
    </w:rPr>
  </w:style>
  <w:style w:type="character" w:customStyle="1" w:styleId="cit-source">
    <w:name w:val="cit-source"/>
    <w:basedOn w:val="DefaultParagraphFont"/>
    <w:rsid w:val="005E76CD"/>
  </w:style>
  <w:style w:type="character" w:customStyle="1" w:styleId="cit-pub-date">
    <w:name w:val="cit-pub-date"/>
    <w:basedOn w:val="DefaultParagraphFont"/>
    <w:rsid w:val="005E76CD"/>
  </w:style>
  <w:style w:type="character" w:customStyle="1" w:styleId="cit-vol">
    <w:name w:val="cit-vol"/>
    <w:basedOn w:val="DefaultParagraphFont"/>
    <w:rsid w:val="005E76CD"/>
  </w:style>
  <w:style w:type="character" w:customStyle="1" w:styleId="cit-fpage">
    <w:name w:val="cit-fpage"/>
    <w:basedOn w:val="DefaultParagraphFont"/>
    <w:rsid w:val="005E76CD"/>
  </w:style>
  <w:style w:type="character" w:styleId="HTMLCite">
    <w:name w:val="HTML Cite"/>
    <w:basedOn w:val="DefaultParagraphFont"/>
    <w:uiPriority w:val="99"/>
    <w:semiHidden/>
    <w:unhideWhenUsed/>
    <w:rsid w:val="006A20E2"/>
    <w:rPr>
      <w:i/>
      <w:iCs/>
    </w:rPr>
  </w:style>
  <w:style w:type="character" w:customStyle="1" w:styleId="slug-pub-date">
    <w:name w:val="slug-pub-date"/>
    <w:basedOn w:val="DefaultParagraphFont"/>
    <w:rsid w:val="006A20E2"/>
  </w:style>
  <w:style w:type="character" w:customStyle="1" w:styleId="slug-vol">
    <w:name w:val="slug-vol"/>
    <w:basedOn w:val="DefaultParagraphFont"/>
    <w:rsid w:val="006A20E2"/>
  </w:style>
  <w:style w:type="character" w:customStyle="1" w:styleId="slug-pages">
    <w:name w:val="slug-pages"/>
    <w:basedOn w:val="DefaultParagraphFont"/>
    <w:rsid w:val="006A20E2"/>
  </w:style>
  <w:style w:type="character" w:customStyle="1" w:styleId="slug-doi">
    <w:name w:val="slug-doi"/>
    <w:basedOn w:val="DefaultParagraphFont"/>
    <w:rsid w:val="006A20E2"/>
  </w:style>
  <w:style w:type="paragraph" w:styleId="BalloonText">
    <w:name w:val="Balloon Text"/>
    <w:basedOn w:val="Normal"/>
    <w:link w:val="BalloonTextChar"/>
    <w:uiPriority w:val="99"/>
    <w:semiHidden/>
    <w:unhideWhenUsed/>
    <w:rsid w:val="008C0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8D6"/>
    <w:rPr>
      <w:rFonts w:ascii="Tahoma" w:hAnsi="Tahoma" w:cs="Tahoma"/>
      <w:sz w:val="16"/>
      <w:szCs w:val="16"/>
    </w:rPr>
  </w:style>
  <w:style w:type="table" w:styleId="TableGrid">
    <w:name w:val="Table Grid"/>
    <w:basedOn w:val="TableNormal"/>
    <w:uiPriority w:val="59"/>
    <w:rsid w:val="00434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118E"/>
    <w:pPr>
      <w:ind w:left="720"/>
      <w:contextualSpacing/>
    </w:pPr>
  </w:style>
  <w:style w:type="character" w:customStyle="1" w:styleId="Heading2Char">
    <w:name w:val="Heading 2 Char"/>
    <w:basedOn w:val="DefaultParagraphFont"/>
    <w:link w:val="Heading2"/>
    <w:uiPriority w:val="9"/>
    <w:semiHidden/>
    <w:rsid w:val="00390F75"/>
    <w:rPr>
      <w:rFonts w:ascii="Cambria" w:eastAsia="Times New Roman" w:hAnsi="Cambria" w:cs="Times New Roman"/>
      <w:b/>
      <w:bCs/>
      <w:i/>
      <w:iCs/>
      <w:sz w:val="28"/>
      <w:szCs w:val="28"/>
      <w:lang w:val="en-US"/>
    </w:rPr>
  </w:style>
  <w:style w:type="paragraph" w:styleId="NoSpacing">
    <w:name w:val="No Spacing"/>
    <w:uiPriority w:val="1"/>
    <w:qFormat/>
    <w:rsid w:val="00390F75"/>
    <w:pPr>
      <w:spacing w:after="0" w:line="240" w:lineRule="auto"/>
    </w:pPr>
    <w:rPr>
      <w:rFonts w:ascii="Calibri" w:eastAsia="Times New Roman" w:hAnsi="Times New Roman" w:cs="Times New Roman"/>
      <w:lang w:eastAsia="en-IN"/>
    </w:rPr>
  </w:style>
  <w:style w:type="paragraph" w:styleId="NormalWeb">
    <w:name w:val="Normal (Web)"/>
    <w:basedOn w:val="Normal"/>
    <w:uiPriority w:val="99"/>
    <w:rsid w:val="00390F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390F75"/>
    <w:rPr>
      <w:b/>
      <w:bCs/>
    </w:rPr>
  </w:style>
  <w:style w:type="paragraph" w:styleId="BodyText">
    <w:name w:val="Body Text"/>
    <w:basedOn w:val="Normal"/>
    <w:link w:val="BodyTextChar"/>
    <w:rsid w:val="00390F75"/>
    <w:pPr>
      <w:spacing w:after="0" w:line="240" w:lineRule="auto"/>
      <w:jc w:val="both"/>
    </w:pPr>
    <w:rPr>
      <w:rFonts w:ascii="Arial" w:eastAsia="Times New Roman" w:hAnsi="Arial" w:cs="Times New Roman"/>
      <w:sz w:val="24"/>
      <w:szCs w:val="24"/>
      <w:lang w:val="en-US"/>
    </w:rPr>
  </w:style>
  <w:style w:type="character" w:customStyle="1" w:styleId="BodyTextChar">
    <w:name w:val="Body Text Char"/>
    <w:basedOn w:val="DefaultParagraphFont"/>
    <w:link w:val="BodyText"/>
    <w:rsid w:val="00390F75"/>
    <w:rPr>
      <w:rFonts w:ascii="Arial" w:eastAsia="Times New Roman" w:hAnsi="Arial" w:cs="Times New Roman"/>
      <w:sz w:val="24"/>
      <w:szCs w:val="24"/>
      <w:lang w:val="en-US"/>
    </w:rPr>
  </w:style>
  <w:style w:type="paragraph" w:styleId="Header">
    <w:name w:val="header"/>
    <w:basedOn w:val="Normal"/>
    <w:link w:val="HeaderChar"/>
    <w:uiPriority w:val="99"/>
    <w:unhideWhenUsed/>
    <w:rsid w:val="006D1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76A"/>
  </w:style>
  <w:style w:type="paragraph" w:styleId="Footer">
    <w:name w:val="footer"/>
    <w:basedOn w:val="Normal"/>
    <w:link w:val="FooterChar"/>
    <w:uiPriority w:val="99"/>
    <w:unhideWhenUsed/>
    <w:rsid w:val="006D1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0F75"/>
    <w:pPr>
      <w:keepNext/>
      <w:spacing w:before="240" w:after="60"/>
      <w:outlineLvl w:val="1"/>
    </w:pPr>
    <w:rPr>
      <w:rFonts w:ascii="Cambria" w:eastAsia="Times New Roman" w:hAnsi="Cambria" w:cs="Times New Roman"/>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76CD"/>
    <w:rPr>
      <w:color w:val="0000FF"/>
      <w:u w:val="single"/>
    </w:rPr>
  </w:style>
  <w:style w:type="character" w:customStyle="1" w:styleId="apple-converted-space">
    <w:name w:val="apple-converted-space"/>
    <w:basedOn w:val="DefaultParagraphFont"/>
    <w:rsid w:val="005E76CD"/>
  </w:style>
  <w:style w:type="character" w:styleId="Emphasis">
    <w:name w:val="Emphasis"/>
    <w:basedOn w:val="DefaultParagraphFont"/>
    <w:uiPriority w:val="20"/>
    <w:qFormat/>
    <w:rsid w:val="005E76CD"/>
    <w:rPr>
      <w:i/>
      <w:iCs/>
    </w:rPr>
  </w:style>
  <w:style w:type="character" w:customStyle="1" w:styleId="cit-source">
    <w:name w:val="cit-source"/>
    <w:basedOn w:val="DefaultParagraphFont"/>
    <w:rsid w:val="005E76CD"/>
  </w:style>
  <w:style w:type="character" w:customStyle="1" w:styleId="cit-pub-date">
    <w:name w:val="cit-pub-date"/>
    <w:basedOn w:val="DefaultParagraphFont"/>
    <w:rsid w:val="005E76CD"/>
  </w:style>
  <w:style w:type="character" w:customStyle="1" w:styleId="cit-vol">
    <w:name w:val="cit-vol"/>
    <w:basedOn w:val="DefaultParagraphFont"/>
    <w:rsid w:val="005E76CD"/>
  </w:style>
  <w:style w:type="character" w:customStyle="1" w:styleId="cit-fpage">
    <w:name w:val="cit-fpage"/>
    <w:basedOn w:val="DefaultParagraphFont"/>
    <w:rsid w:val="005E76CD"/>
  </w:style>
  <w:style w:type="character" w:styleId="HTMLCite">
    <w:name w:val="HTML Cite"/>
    <w:basedOn w:val="DefaultParagraphFont"/>
    <w:uiPriority w:val="99"/>
    <w:semiHidden/>
    <w:unhideWhenUsed/>
    <w:rsid w:val="006A20E2"/>
    <w:rPr>
      <w:i/>
      <w:iCs/>
    </w:rPr>
  </w:style>
  <w:style w:type="character" w:customStyle="1" w:styleId="slug-pub-date">
    <w:name w:val="slug-pub-date"/>
    <w:basedOn w:val="DefaultParagraphFont"/>
    <w:rsid w:val="006A20E2"/>
  </w:style>
  <w:style w:type="character" w:customStyle="1" w:styleId="slug-vol">
    <w:name w:val="slug-vol"/>
    <w:basedOn w:val="DefaultParagraphFont"/>
    <w:rsid w:val="006A20E2"/>
  </w:style>
  <w:style w:type="character" w:customStyle="1" w:styleId="slug-pages">
    <w:name w:val="slug-pages"/>
    <w:basedOn w:val="DefaultParagraphFont"/>
    <w:rsid w:val="006A20E2"/>
  </w:style>
  <w:style w:type="character" w:customStyle="1" w:styleId="slug-doi">
    <w:name w:val="slug-doi"/>
    <w:basedOn w:val="DefaultParagraphFont"/>
    <w:rsid w:val="006A20E2"/>
  </w:style>
  <w:style w:type="paragraph" w:styleId="BalloonText">
    <w:name w:val="Balloon Text"/>
    <w:basedOn w:val="Normal"/>
    <w:link w:val="BalloonTextChar"/>
    <w:uiPriority w:val="99"/>
    <w:semiHidden/>
    <w:unhideWhenUsed/>
    <w:rsid w:val="008C0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8D6"/>
    <w:rPr>
      <w:rFonts w:ascii="Tahoma" w:hAnsi="Tahoma" w:cs="Tahoma"/>
      <w:sz w:val="16"/>
      <w:szCs w:val="16"/>
    </w:rPr>
  </w:style>
  <w:style w:type="table" w:styleId="TableGrid">
    <w:name w:val="Table Grid"/>
    <w:basedOn w:val="TableNormal"/>
    <w:uiPriority w:val="59"/>
    <w:rsid w:val="00434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118E"/>
    <w:pPr>
      <w:ind w:left="720"/>
      <w:contextualSpacing/>
    </w:pPr>
  </w:style>
  <w:style w:type="character" w:customStyle="1" w:styleId="Heading2Char">
    <w:name w:val="Heading 2 Char"/>
    <w:basedOn w:val="DefaultParagraphFont"/>
    <w:link w:val="Heading2"/>
    <w:uiPriority w:val="9"/>
    <w:semiHidden/>
    <w:rsid w:val="00390F75"/>
    <w:rPr>
      <w:rFonts w:ascii="Cambria" w:eastAsia="Times New Roman" w:hAnsi="Cambria" w:cs="Times New Roman"/>
      <w:b/>
      <w:bCs/>
      <w:i/>
      <w:iCs/>
      <w:sz w:val="28"/>
      <w:szCs w:val="28"/>
      <w:lang w:val="en-US"/>
    </w:rPr>
  </w:style>
  <w:style w:type="paragraph" w:styleId="NoSpacing">
    <w:name w:val="No Spacing"/>
    <w:uiPriority w:val="1"/>
    <w:qFormat/>
    <w:rsid w:val="00390F75"/>
    <w:pPr>
      <w:spacing w:after="0" w:line="240" w:lineRule="auto"/>
    </w:pPr>
    <w:rPr>
      <w:rFonts w:ascii="Calibri" w:eastAsia="Times New Roman" w:hAnsi="Times New Roman" w:cs="Times New Roman"/>
      <w:lang w:eastAsia="en-IN"/>
    </w:rPr>
  </w:style>
  <w:style w:type="paragraph" w:styleId="NormalWeb">
    <w:name w:val="Normal (Web)"/>
    <w:basedOn w:val="Normal"/>
    <w:uiPriority w:val="99"/>
    <w:rsid w:val="00390F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qFormat/>
    <w:rsid w:val="00390F75"/>
    <w:rPr>
      <w:b/>
      <w:bCs/>
    </w:rPr>
  </w:style>
  <w:style w:type="paragraph" w:styleId="BodyText">
    <w:name w:val="Body Text"/>
    <w:basedOn w:val="Normal"/>
    <w:link w:val="BodyTextChar"/>
    <w:rsid w:val="00390F75"/>
    <w:pPr>
      <w:spacing w:after="0" w:line="240" w:lineRule="auto"/>
      <w:jc w:val="both"/>
    </w:pPr>
    <w:rPr>
      <w:rFonts w:ascii="Arial" w:eastAsia="Times New Roman" w:hAnsi="Arial" w:cs="Times New Roman"/>
      <w:sz w:val="24"/>
      <w:szCs w:val="24"/>
      <w:lang w:val="en-US"/>
    </w:rPr>
  </w:style>
  <w:style w:type="character" w:customStyle="1" w:styleId="BodyTextChar">
    <w:name w:val="Body Text Char"/>
    <w:basedOn w:val="DefaultParagraphFont"/>
    <w:link w:val="BodyText"/>
    <w:rsid w:val="00390F75"/>
    <w:rPr>
      <w:rFonts w:ascii="Arial" w:eastAsia="Times New Roman" w:hAnsi="Arial" w:cs="Times New Roman"/>
      <w:sz w:val="24"/>
      <w:szCs w:val="24"/>
      <w:lang w:val="en-US"/>
    </w:rPr>
  </w:style>
  <w:style w:type="paragraph" w:styleId="Header">
    <w:name w:val="header"/>
    <w:basedOn w:val="Normal"/>
    <w:link w:val="HeaderChar"/>
    <w:uiPriority w:val="99"/>
    <w:unhideWhenUsed/>
    <w:rsid w:val="006D1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76A"/>
  </w:style>
  <w:style w:type="paragraph" w:styleId="Footer">
    <w:name w:val="footer"/>
    <w:basedOn w:val="Normal"/>
    <w:link w:val="FooterChar"/>
    <w:uiPriority w:val="99"/>
    <w:unhideWhenUsed/>
    <w:rsid w:val="006D1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7139">
      <w:bodyDiv w:val="1"/>
      <w:marLeft w:val="0"/>
      <w:marRight w:val="0"/>
      <w:marTop w:val="0"/>
      <w:marBottom w:val="0"/>
      <w:divBdr>
        <w:top w:val="none" w:sz="0" w:space="0" w:color="auto"/>
        <w:left w:val="none" w:sz="0" w:space="0" w:color="auto"/>
        <w:bottom w:val="none" w:sz="0" w:space="0" w:color="auto"/>
        <w:right w:val="none" w:sz="0" w:space="0" w:color="auto"/>
      </w:divBdr>
    </w:div>
    <w:div w:id="244650715">
      <w:bodyDiv w:val="1"/>
      <w:marLeft w:val="0"/>
      <w:marRight w:val="0"/>
      <w:marTop w:val="0"/>
      <w:marBottom w:val="0"/>
      <w:divBdr>
        <w:top w:val="none" w:sz="0" w:space="0" w:color="auto"/>
        <w:left w:val="none" w:sz="0" w:space="0" w:color="auto"/>
        <w:bottom w:val="none" w:sz="0" w:space="0" w:color="auto"/>
        <w:right w:val="none" w:sz="0" w:space="0" w:color="auto"/>
      </w:divBdr>
    </w:div>
    <w:div w:id="257178951">
      <w:bodyDiv w:val="1"/>
      <w:marLeft w:val="0"/>
      <w:marRight w:val="0"/>
      <w:marTop w:val="0"/>
      <w:marBottom w:val="0"/>
      <w:divBdr>
        <w:top w:val="none" w:sz="0" w:space="0" w:color="auto"/>
        <w:left w:val="none" w:sz="0" w:space="0" w:color="auto"/>
        <w:bottom w:val="none" w:sz="0" w:space="0" w:color="auto"/>
        <w:right w:val="none" w:sz="0" w:space="0" w:color="auto"/>
      </w:divBdr>
    </w:div>
    <w:div w:id="311250298">
      <w:bodyDiv w:val="1"/>
      <w:marLeft w:val="0"/>
      <w:marRight w:val="0"/>
      <w:marTop w:val="0"/>
      <w:marBottom w:val="0"/>
      <w:divBdr>
        <w:top w:val="none" w:sz="0" w:space="0" w:color="auto"/>
        <w:left w:val="none" w:sz="0" w:space="0" w:color="auto"/>
        <w:bottom w:val="none" w:sz="0" w:space="0" w:color="auto"/>
        <w:right w:val="none" w:sz="0" w:space="0" w:color="auto"/>
      </w:divBdr>
    </w:div>
    <w:div w:id="388502600">
      <w:bodyDiv w:val="1"/>
      <w:marLeft w:val="0"/>
      <w:marRight w:val="0"/>
      <w:marTop w:val="0"/>
      <w:marBottom w:val="0"/>
      <w:divBdr>
        <w:top w:val="none" w:sz="0" w:space="0" w:color="auto"/>
        <w:left w:val="none" w:sz="0" w:space="0" w:color="auto"/>
        <w:bottom w:val="none" w:sz="0" w:space="0" w:color="auto"/>
        <w:right w:val="none" w:sz="0" w:space="0" w:color="auto"/>
      </w:divBdr>
    </w:div>
    <w:div w:id="399669457">
      <w:bodyDiv w:val="1"/>
      <w:marLeft w:val="0"/>
      <w:marRight w:val="0"/>
      <w:marTop w:val="0"/>
      <w:marBottom w:val="0"/>
      <w:divBdr>
        <w:top w:val="none" w:sz="0" w:space="0" w:color="auto"/>
        <w:left w:val="none" w:sz="0" w:space="0" w:color="auto"/>
        <w:bottom w:val="none" w:sz="0" w:space="0" w:color="auto"/>
        <w:right w:val="none" w:sz="0" w:space="0" w:color="auto"/>
      </w:divBdr>
    </w:div>
    <w:div w:id="408967633">
      <w:bodyDiv w:val="1"/>
      <w:marLeft w:val="0"/>
      <w:marRight w:val="0"/>
      <w:marTop w:val="0"/>
      <w:marBottom w:val="0"/>
      <w:divBdr>
        <w:top w:val="none" w:sz="0" w:space="0" w:color="auto"/>
        <w:left w:val="none" w:sz="0" w:space="0" w:color="auto"/>
        <w:bottom w:val="none" w:sz="0" w:space="0" w:color="auto"/>
        <w:right w:val="none" w:sz="0" w:space="0" w:color="auto"/>
      </w:divBdr>
    </w:div>
    <w:div w:id="412358452">
      <w:bodyDiv w:val="1"/>
      <w:marLeft w:val="0"/>
      <w:marRight w:val="0"/>
      <w:marTop w:val="0"/>
      <w:marBottom w:val="0"/>
      <w:divBdr>
        <w:top w:val="none" w:sz="0" w:space="0" w:color="auto"/>
        <w:left w:val="none" w:sz="0" w:space="0" w:color="auto"/>
        <w:bottom w:val="none" w:sz="0" w:space="0" w:color="auto"/>
        <w:right w:val="none" w:sz="0" w:space="0" w:color="auto"/>
      </w:divBdr>
    </w:div>
    <w:div w:id="506097170">
      <w:bodyDiv w:val="1"/>
      <w:marLeft w:val="0"/>
      <w:marRight w:val="0"/>
      <w:marTop w:val="0"/>
      <w:marBottom w:val="0"/>
      <w:divBdr>
        <w:top w:val="none" w:sz="0" w:space="0" w:color="auto"/>
        <w:left w:val="none" w:sz="0" w:space="0" w:color="auto"/>
        <w:bottom w:val="none" w:sz="0" w:space="0" w:color="auto"/>
        <w:right w:val="none" w:sz="0" w:space="0" w:color="auto"/>
      </w:divBdr>
    </w:div>
    <w:div w:id="584384755">
      <w:bodyDiv w:val="1"/>
      <w:marLeft w:val="0"/>
      <w:marRight w:val="0"/>
      <w:marTop w:val="0"/>
      <w:marBottom w:val="0"/>
      <w:divBdr>
        <w:top w:val="none" w:sz="0" w:space="0" w:color="auto"/>
        <w:left w:val="none" w:sz="0" w:space="0" w:color="auto"/>
        <w:bottom w:val="none" w:sz="0" w:space="0" w:color="auto"/>
        <w:right w:val="none" w:sz="0" w:space="0" w:color="auto"/>
      </w:divBdr>
    </w:div>
    <w:div w:id="613632506">
      <w:bodyDiv w:val="1"/>
      <w:marLeft w:val="0"/>
      <w:marRight w:val="0"/>
      <w:marTop w:val="0"/>
      <w:marBottom w:val="0"/>
      <w:divBdr>
        <w:top w:val="none" w:sz="0" w:space="0" w:color="auto"/>
        <w:left w:val="none" w:sz="0" w:space="0" w:color="auto"/>
        <w:bottom w:val="none" w:sz="0" w:space="0" w:color="auto"/>
        <w:right w:val="none" w:sz="0" w:space="0" w:color="auto"/>
      </w:divBdr>
    </w:div>
    <w:div w:id="655912156">
      <w:bodyDiv w:val="1"/>
      <w:marLeft w:val="0"/>
      <w:marRight w:val="0"/>
      <w:marTop w:val="0"/>
      <w:marBottom w:val="0"/>
      <w:divBdr>
        <w:top w:val="none" w:sz="0" w:space="0" w:color="auto"/>
        <w:left w:val="none" w:sz="0" w:space="0" w:color="auto"/>
        <w:bottom w:val="none" w:sz="0" w:space="0" w:color="auto"/>
        <w:right w:val="none" w:sz="0" w:space="0" w:color="auto"/>
      </w:divBdr>
    </w:div>
    <w:div w:id="675157280">
      <w:bodyDiv w:val="1"/>
      <w:marLeft w:val="0"/>
      <w:marRight w:val="0"/>
      <w:marTop w:val="0"/>
      <w:marBottom w:val="0"/>
      <w:divBdr>
        <w:top w:val="none" w:sz="0" w:space="0" w:color="auto"/>
        <w:left w:val="none" w:sz="0" w:space="0" w:color="auto"/>
        <w:bottom w:val="none" w:sz="0" w:space="0" w:color="auto"/>
        <w:right w:val="none" w:sz="0" w:space="0" w:color="auto"/>
      </w:divBdr>
    </w:div>
    <w:div w:id="696781410">
      <w:bodyDiv w:val="1"/>
      <w:marLeft w:val="0"/>
      <w:marRight w:val="0"/>
      <w:marTop w:val="0"/>
      <w:marBottom w:val="0"/>
      <w:divBdr>
        <w:top w:val="none" w:sz="0" w:space="0" w:color="auto"/>
        <w:left w:val="none" w:sz="0" w:space="0" w:color="auto"/>
        <w:bottom w:val="none" w:sz="0" w:space="0" w:color="auto"/>
        <w:right w:val="none" w:sz="0" w:space="0" w:color="auto"/>
      </w:divBdr>
    </w:div>
    <w:div w:id="706219139">
      <w:bodyDiv w:val="1"/>
      <w:marLeft w:val="0"/>
      <w:marRight w:val="0"/>
      <w:marTop w:val="0"/>
      <w:marBottom w:val="0"/>
      <w:divBdr>
        <w:top w:val="none" w:sz="0" w:space="0" w:color="auto"/>
        <w:left w:val="none" w:sz="0" w:space="0" w:color="auto"/>
        <w:bottom w:val="none" w:sz="0" w:space="0" w:color="auto"/>
        <w:right w:val="none" w:sz="0" w:space="0" w:color="auto"/>
      </w:divBdr>
    </w:div>
    <w:div w:id="783426183">
      <w:bodyDiv w:val="1"/>
      <w:marLeft w:val="0"/>
      <w:marRight w:val="0"/>
      <w:marTop w:val="0"/>
      <w:marBottom w:val="0"/>
      <w:divBdr>
        <w:top w:val="none" w:sz="0" w:space="0" w:color="auto"/>
        <w:left w:val="none" w:sz="0" w:space="0" w:color="auto"/>
        <w:bottom w:val="none" w:sz="0" w:space="0" w:color="auto"/>
        <w:right w:val="none" w:sz="0" w:space="0" w:color="auto"/>
      </w:divBdr>
    </w:div>
    <w:div w:id="823666131">
      <w:bodyDiv w:val="1"/>
      <w:marLeft w:val="0"/>
      <w:marRight w:val="0"/>
      <w:marTop w:val="0"/>
      <w:marBottom w:val="0"/>
      <w:divBdr>
        <w:top w:val="none" w:sz="0" w:space="0" w:color="auto"/>
        <w:left w:val="none" w:sz="0" w:space="0" w:color="auto"/>
        <w:bottom w:val="none" w:sz="0" w:space="0" w:color="auto"/>
        <w:right w:val="none" w:sz="0" w:space="0" w:color="auto"/>
      </w:divBdr>
    </w:div>
    <w:div w:id="830366900">
      <w:bodyDiv w:val="1"/>
      <w:marLeft w:val="0"/>
      <w:marRight w:val="0"/>
      <w:marTop w:val="0"/>
      <w:marBottom w:val="0"/>
      <w:divBdr>
        <w:top w:val="none" w:sz="0" w:space="0" w:color="auto"/>
        <w:left w:val="none" w:sz="0" w:space="0" w:color="auto"/>
        <w:bottom w:val="none" w:sz="0" w:space="0" w:color="auto"/>
        <w:right w:val="none" w:sz="0" w:space="0" w:color="auto"/>
      </w:divBdr>
    </w:div>
    <w:div w:id="844440791">
      <w:bodyDiv w:val="1"/>
      <w:marLeft w:val="0"/>
      <w:marRight w:val="0"/>
      <w:marTop w:val="0"/>
      <w:marBottom w:val="0"/>
      <w:divBdr>
        <w:top w:val="none" w:sz="0" w:space="0" w:color="auto"/>
        <w:left w:val="none" w:sz="0" w:space="0" w:color="auto"/>
        <w:bottom w:val="none" w:sz="0" w:space="0" w:color="auto"/>
        <w:right w:val="none" w:sz="0" w:space="0" w:color="auto"/>
      </w:divBdr>
    </w:div>
    <w:div w:id="880092619">
      <w:bodyDiv w:val="1"/>
      <w:marLeft w:val="0"/>
      <w:marRight w:val="0"/>
      <w:marTop w:val="0"/>
      <w:marBottom w:val="0"/>
      <w:divBdr>
        <w:top w:val="none" w:sz="0" w:space="0" w:color="auto"/>
        <w:left w:val="none" w:sz="0" w:space="0" w:color="auto"/>
        <w:bottom w:val="none" w:sz="0" w:space="0" w:color="auto"/>
        <w:right w:val="none" w:sz="0" w:space="0" w:color="auto"/>
      </w:divBdr>
    </w:div>
    <w:div w:id="950237250">
      <w:bodyDiv w:val="1"/>
      <w:marLeft w:val="0"/>
      <w:marRight w:val="0"/>
      <w:marTop w:val="0"/>
      <w:marBottom w:val="0"/>
      <w:divBdr>
        <w:top w:val="none" w:sz="0" w:space="0" w:color="auto"/>
        <w:left w:val="none" w:sz="0" w:space="0" w:color="auto"/>
        <w:bottom w:val="none" w:sz="0" w:space="0" w:color="auto"/>
        <w:right w:val="none" w:sz="0" w:space="0" w:color="auto"/>
      </w:divBdr>
    </w:div>
    <w:div w:id="992219039">
      <w:bodyDiv w:val="1"/>
      <w:marLeft w:val="0"/>
      <w:marRight w:val="0"/>
      <w:marTop w:val="0"/>
      <w:marBottom w:val="0"/>
      <w:divBdr>
        <w:top w:val="none" w:sz="0" w:space="0" w:color="auto"/>
        <w:left w:val="none" w:sz="0" w:space="0" w:color="auto"/>
        <w:bottom w:val="none" w:sz="0" w:space="0" w:color="auto"/>
        <w:right w:val="none" w:sz="0" w:space="0" w:color="auto"/>
      </w:divBdr>
    </w:div>
    <w:div w:id="1028533327">
      <w:bodyDiv w:val="1"/>
      <w:marLeft w:val="0"/>
      <w:marRight w:val="0"/>
      <w:marTop w:val="0"/>
      <w:marBottom w:val="0"/>
      <w:divBdr>
        <w:top w:val="none" w:sz="0" w:space="0" w:color="auto"/>
        <w:left w:val="none" w:sz="0" w:space="0" w:color="auto"/>
        <w:bottom w:val="none" w:sz="0" w:space="0" w:color="auto"/>
        <w:right w:val="none" w:sz="0" w:space="0" w:color="auto"/>
      </w:divBdr>
    </w:div>
    <w:div w:id="1142190263">
      <w:bodyDiv w:val="1"/>
      <w:marLeft w:val="0"/>
      <w:marRight w:val="0"/>
      <w:marTop w:val="0"/>
      <w:marBottom w:val="0"/>
      <w:divBdr>
        <w:top w:val="none" w:sz="0" w:space="0" w:color="auto"/>
        <w:left w:val="none" w:sz="0" w:space="0" w:color="auto"/>
        <w:bottom w:val="none" w:sz="0" w:space="0" w:color="auto"/>
        <w:right w:val="none" w:sz="0" w:space="0" w:color="auto"/>
      </w:divBdr>
    </w:div>
    <w:div w:id="1180779654">
      <w:bodyDiv w:val="1"/>
      <w:marLeft w:val="0"/>
      <w:marRight w:val="0"/>
      <w:marTop w:val="0"/>
      <w:marBottom w:val="0"/>
      <w:divBdr>
        <w:top w:val="none" w:sz="0" w:space="0" w:color="auto"/>
        <w:left w:val="none" w:sz="0" w:space="0" w:color="auto"/>
        <w:bottom w:val="none" w:sz="0" w:space="0" w:color="auto"/>
        <w:right w:val="none" w:sz="0" w:space="0" w:color="auto"/>
      </w:divBdr>
    </w:div>
    <w:div w:id="1209103957">
      <w:bodyDiv w:val="1"/>
      <w:marLeft w:val="0"/>
      <w:marRight w:val="0"/>
      <w:marTop w:val="0"/>
      <w:marBottom w:val="0"/>
      <w:divBdr>
        <w:top w:val="none" w:sz="0" w:space="0" w:color="auto"/>
        <w:left w:val="none" w:sz="0" w:space="0" w:color="auto"/>
        <w:bottom w:val="none" w:sz="0" w:space="0" w:color="auto"/>
        <w:right w:val="none" w:sz="0" w:space="0" w:color="auto"/>
      </w:divBdr>
    </w:div>
    <w:div w:id="1212693573">
      <w:bodyDiv w:val="1"/>
      <w:marLeft w:val="0"/>
      <w:marRight w:val="0"/>
      <w:marTop w:val="0"/>
      <w:marBottom w:val="0"/>
      <w:divBdr>
        <w:top w:val="none" w:sz="0" w:space="0" w:color="auto"/>
        <w:left w:val="none" w:sz="0" w:space="0" w:color="auto"/>
        <w:bottom w:val="none" w:sz="0" w:space="0" w:color="auto"/>
        <w:right w:val="none" w:sz="0" w:space="0" w:color="auto"/>
      </w:divBdr>
    </w:div>
    <w:div w:id="1221482852">
      <w:bodyDiv w:val="1"/>
      <w:marLeft w:val="0"/>
      <w:marRight w:val="0"/>
      <w:marTop w:val="0"/>
      <w:marBottom w:val="0"/>
      <w:divBdr>
        <w:top w:val="none" w:sz="0" w:space="0" w:color="auto"/>
        <w:left w:val="none" w:sz="0" w:space="0" w:color="auto"/>
        <w:bottom w:val="none" w:sz="0" w:space="0" w:color="auto"/>
        <w:right w:val="none" w:sz="0" w:space="0" w:color="auto"/>
      </w:divBdr>
    </w:div>
    <w:div w:id="1240795961">
      <w:bodyDiv w:val="1"/>
      <w:marLeft w:val="0"/>
      <w:marRight w:val="0"/>
      <w:marTop w:val="0"/>
      <w:marBottom w:val="0"/>
      <w:divBdr>
        <w:top w:val="none" w:sz="0" w:space="0" w:color="auto"/>
        <w:left w:val="none" w:sz="0" w:space="0" w:color="auto"/>
        <w:bottom w:val="none" w:sz="0" w:space="0" w:color="auto"/>
        <w:right w:val="none" w:sz="0" w:space="0" w:color="auto"/>
      </w:divBdr>
    </w:div>
    <w:div w:id="1317685662">
      <w:bodyDiv w:val="1"/>
      <w:marLeft w:val="0"/>
      <w:marRight w:val="0"/>
      <w:marTop w:val="0"/>
      <w:marBottom w:val="0"/>
      <w:divBdr>
        <w:top w:val="none" w:sz="0" w:space="0" w:color="auto"/>
        <w:left w:val="none" w:sz="0" w:space="0" w:color="auto"/>
        <w:bottom w:val="none" w:sz="0" w:space="0" w:color="auto"/>
        <w:right w:val="none" w:sz="0" w:space="0" w:color="auto"/>
      </w:divBdr>
    </w:div>
    <w:div w:id="1346595790">
      <w:bodyDiv w:val="1"/>
      <w:marLeft w:val="0"/>
      <w:marRight w:val="0"/>
      <w:marTop w:val="0"/>
      <w:marBottom w:val="0"/>
      <w:divBdr>
        <w:top w:val="none" w:sz="0" w:space="0" w:color="auto"/>
        <w:left w:val="none" w:sz="0" w:space="0" w:color="auto"/>
        <w:bottom w:val="none" w:sz="0" w:space="0" w:color="auto"/>
        <w:right w:val="none" w:sz="0" w:space="0" w:color="auto"/>
      </w:divBdr>
    </w:div>
    <w:div w:id="1355767162">
      <w:bodyDiv w:val="1"/>
      <w:marLeft w:val="0"/>
      <w:marRight w:val="0"/>
      <w:marTop w:val="0"/>
      <w:marBottom w:val="0"/>
      <w:divBdr>
        <w:top w:val="none" w:sz="0" w:space="0" w:color="auto"/>
        <w:left w:val="none" w:sz="0" w:space="0" w:color="auto"/>
        <w:bottom w:val="none" w:sz="0" w:space="0" w:color="auto"/>
        <w:right w:val="none" w:sz="0" w:space="0" w:color="auto"/>
      </w:divBdr>
    </w:div>
    <w:div w:id="1378550253">
      <w:bodyDiv w:val="1"/>
      <w:marLeft w:val="0"/>
      <w:marRight w:val="0"/>
      <w:marTop w:val="0"/>
      <w:marBottom w:val="0"/>
      <w:divBdr>
        <w:top w:val="none" w:sz="0" w:space="0" w:color="auto"/>
        <w:left w:val="none" w:sz="0" w:space="0" w:color="auto"/>
        <w:bottom w:val="none" w:sz="0" w:space="0" w:color="auto"/>
        <w:right w:val="none" w:sz="0" w:space="0" w:color="auto"/>
      </w:divBdr>
    </w:div>
    <w:div w:id="1454402667">
      <w:bodyDiv w:val="1"/>
      <w:marLeft w:val="0"/>
      <w:marRight w:val="0"/>
      <w:marTop w:val="0"/>
      <w:marBottom w:val="0"/>
      <w:divBdr>
        <w:top w:val="none" w:sz="0" w:space="0" w:color="auto"/>
        <w:left w:val="none" w:sz="0" w:space="0" w:color="auto"/>
        <w:bottom w:val="none" w:sz="0" w:space="0" w:color="auto"/>
        <w:right w:val="none" w:sz="0" w:space="0" w:color="auto"/>
      </w:divBdr>
    </w:div>
    <w:div w:id="1535926867">
      <w:bodyDiv w:val="1"/>
      <w:marLeft w:val="0"/>
      <w:marRight w:val="0"/>
      <w:marTop w:val="0"/>
      <w:marBottom w:val="0"/>
      <w:divBdr>
        <w:top w:val="none" w:sz="0" w:space="0" w:color="auto"/>
        <w:left w:val="none" w:sz="0" w:space="0" w:color="auto"/>
        <w:bottom w:val="none" w:sz="0" w:space="0" w:color="auto"/>
        <w:right w:val="none" w:sz="0" w:space="0" w:color="auto"/>
      </w:divBdr>
    </w:div>
    <w:div w:id="1617130081">
      <w:bodyDiv w:val="1"/>
      <w:marLeft w:val="0"/>
      <w:marRight w:val="0"/>
      <w:marTop w:val="0"/>
      <w:marBottom w:val="0"/>
      <w:divBdr>
        <w:top w:val="none" w:sz="0" w:space="0" w:color="auto"/>
        <w:left w:val="none" w:sz="0" w:space="0" w:color="auto"/>
        <w:bottom w:val="none" w:sz="0" w:space="0" w:color="auto"/>
        <w:right w:val="none" w:sz="0" w:space="0" w:color="auto"/>
      </w:divBdr>
    </w:div>
    <w:div w:id="1618834688">
      <w:bodyDiv w:val="1"/>
      <w:marLeft w:val="0"/>
      <w:marRight w:val="0"/>
      <w:marTop w:val="0"/>
      <w:marBottom w:val="0"/>
      <w:divBdr>
        <w:top w:val="none" w:sz="0" w:space="0" w:color="auto"/>
        <w:left w:val="none" w:sz="0" w:space="0" w:color="auto"/>
        <w:bottom w:val="none" w:sz="0" w:space="0" w:color="auto"/>
        <w:right w:val="none" w:sz="0" w:space="0" w:color="auto"/>
      </w:divBdr>
    </w:div>
    <w:div w:id="1648783723">
      <w:bodyDiv w:val="1"/>
      <w:marLeft w:val="0"/>
      <w:marRight w:val="0"/>
      <w:marTop w:val="0"/>
      <w:marBottom w:val="0"/>
      <w:divBdr>
        <w:top w:val="none" w:sz="0" w:space="0" w:color="auto"/>
        <w:left w:val="none" w:sz="0" w:space="0" w:color="auto"/>
        <w:bottom w:val="none" w:sz="0" w:space="0" w:color="auto"/>
        <w:right w:val="none" w:sz="0" w:space="0" w:color="auto"/>
      </w:divBdr>
    </w:div>
    <w:div w:id="1652051937">
      <w:bodyDiv w:val="1"/>
      <w:marLeft w:val="0"/>
      <w:marRight w:val="0"/>
      <w:marTop w:val="0"/>
      <w:marBottom w:val="0"/>
      <w:divBdr>
        <w:top w:val="none" w:sz="0" w:space="0" w:color="auto"/>
        <w:left w:val="none" w:sz="0" w:space="0" w:color="auto"/>
        <w:bottom w:val="none" w:sz="0" w:space="0" w:color="auto"/>
        <w:right w:val="none" w:sz="0" w:space="0" w:color="auto"/>
      </w:divBdr>
    </w:div>
    <w:div w:id="1659338322">
      <w:bodyDiv w:val="1"/>
      <w:marLeft w:val="0"/>
      <w:marRight w:val="0"/>
      <w:marTop w:val="0"/>
      <w:marBottom w:val="0"/>
      <w:divBdr>
        <w:top w:val="none" w:sz="0" w:space="0" w:color="auto"/>
        <w:left w:val="none" w:sz="0" w:space="0" w:color="auto"/>
        <w:bottom w:val="none" w:sz="0" w:space="0" w:color="auto"/>
        <w:right w:val="none" w:sz="0" w:space="0" w:color="auto"/>
      </w:divBdr>
    </w:div>
    <w:div w:id="1677075761">
      <w:bodyDiv w:val="1"/>
      <w:marLeft w:val="0"/>
      <w:marRight w:val="0"/>
      <w:marTop w:val="0"/>
      <w:marBottom w:val="0"/>
      <w:divBdr>
        <w:top w:val="none" w:sz="0" w:space="0" w:color="auto"/>
        <w:left w:val="none" w:sz="0" w:space="0" w:color="auto"/>
        <w:bottom w:val="none" w:sz="0" w:space="0" w:color="auto"/>
        <w:right w:val="none" w:sz="0" w:space="0" w:color="auto"/>
      </w:divBdr>
    </w:div>
    <w:div w:id="1681926892">
      <w:bodyDiv w:val="1"/>
      <w:marLeft w:val="0"/>
      <w:marRight w:val="0"/>
      <w:marTop w:val="0"/>
      <w:marBottom w:val="0"/>
      <w:divBdr>
        <w:top w:val="none" w:sz="0" w:space="0" w:color="auto"/>
        <w:left w:val="none" w:sz="0" w:space="0" w:color="auto"/>
        <w:bottom w:val="none" w:sz="0" w:space="0" w:color="auto"/>
        <w:right w:val="none" w:sz="0" w:space="0" w:color="auto"/>
      </w:divBdr>
    </w:div>
    <w:div w:id="1709598061">
      <w:bodyDiv w:val="1"/>
      <w:marLeft w:val="0"/>
      <w:marRight w:val="0"/>
      <w:marTop w:val="0"/>
      <w:marBottom w:val="0"/>
      <w:divBdr>
        <w:top w:val="none" w:sz="0" w:space="0" w:color="auto"/>
        <w:left w:val="none" w:sz="0" w:space="0" w:color="auto"/>
        <w:bottom w:val="none" w:sz="0" w:space="0" w:color="auto"/>
        <w:right w:val="none" w:sz="0" w:space="0" w:color="auto"/>
      </w:divBdr>
    </w:div>
    <w:div w:id="1816990982">
      <w:bodyDiv w:val="1"/>
      <w:marLeft w:val="0"/>
      <w:marRight w:val="0"/>
      <w:marTop w:val="0"/>
      <w:marBottom w:val="0"/>
      <w:divBdr>
        <w:top w:val="none" w:sz="0" w:space="0" w:color="auto"/>
        <w:left w:val="none" w:sz="0" w:space="0" w:color="auto"/>
        <w:bottom w:val="none" w:sz="0" w:space="0" w:color="auto"/>
        <w:right w:val="none" w:sz="0" w:space="0" w:color="auto"/>
      </w:divBdr>
    </w:div>
    <w:div w:id="1817601170">
      <w:bodyDiv w:val="1"/>
      <w:marLeft w:val="0"/>
      <w:marRight w:val="0"/>
      <w:marTop w:val="0"/>
      <w:marBottom w:val="0"/>
      <w:divBdr>
        <w:top w:val="none" w:sz="0" w:space="0" w:color="auto"/>
        <w:left w:val="none" w:sz="0" w:space="0" w:color="auto"/>
        <w:bottom w:val="none" w:sz="0" w:space="0" w:color="auto"/>
        <w:right w:val="none" w:sz="0" w:space="0" w:color="auto"/>
      </w:divBdr>
    </w:div>
    <w:div w:id="1819572847">
      <w:bodyDiv w:val="1"/>
      <w:marLeft w:val="0"/>
      <w:marRight w:val="0"/>
      <w:marTop w:val="0"/>
      <w:marBottom w:val="0"/>
      <w:divBdr>
        <w:top w:val="none" w:sz="0" w:space="0" w:color="auto"/>
        <w:left w:val="none" w:sz="0" w:space="0" w:color="auto"/>
        <w:bottom w:val="none" w:sz="0" w:space="0" w:color="auto"/>
        <w:right w:val="none" w:sz="0" w:space="0" w:color="auto"/>
      </w:divBdr>
    </w:div>
    <w:div w:id="1837375137">
      <w:bodyDiv w:val="1"/>
      <w:marLeft w:val="0"/>
      <w:marRight w:val="0"/>
      <w:marTop w:val="0"/>
      <w:marBottom w:val="0"/>
      <w:divBdr>
        <w:top w:val="none" w:sz="0" w:space="0" w:color="auto"/>
        <w:left w:val="none" w:sz="0" w:space="0" w:color="auto"/>
        <w:bottom w:val="none" w:sz="0" w:space="0" w:color="auto"/>
        <w:right w:val="none" w:sz="0" w:space="0" w:color="auto"/>
      </w:divBdr>
    </w:div>
    <w:div w:id="1844588578">
      <w:bodyDiv w:val="1"/>
      <w:marLeft w:val="0"/>
      <w:marRight w:val="0"/>
      <w:marTop w:val="0"/>
      <w:marBottom w:val="0"/>
      <w:divBdr>
        <w:top w:val="none" w:sz="0" w:space="0" w:color="auto"/>
        <w:left w:val="none" w:sz="0" w:space="0" w:color="auto"/>
        <w:bottom w:val="none" w:sz="0" w:space="0" w:color="auto"/>
        <w:right w:val="none" w:sz="0" w:space="0" w:color="auto"/>
      </w:divBdr>
    </w:div>
    <w:div w:id="1878883224">
      <w:bodyDiv w:val="1"/>
      <w:marLeft w:val="0"/>
      <w:marRight w:val="0"/>
      <w:marTop w:val="0"/>
      <w:marBottom w:val="0"/>
      <w:divBdr>
        <w:top w:val="none" w:sz="0" w:space="0" w:color="auto"/>
        <w:left w:val="none" w:sz="0" w:space="0" w:color="auto"/>
        <w:bottom w:val="none" w:sz="0" w:space="0" w:color="auto"/>
        <w:right w:val="none" w:sz="0" w:space="0" w:color="auto"/>
      </w:divBdr>
    </w:div>
    <w:div w:id="1889220801">
      <w:bodyDiv w:val="1"/>
      <w:marLeft w:val="0"/>
      <w:marRight w:val="0"/>
      <w:marTop w:val="0"/>
      <w:marBottom w:val="0"/>
      <w:divBdr>
        <w:top w:val="none" w:sz="0" w:space="0" w:color="auto"/>
        <w:left w:val="none" w:sz="0" w:space="0" w:color="auto"/>
        <w:bottom w:val="none" w:sz="0" w:space="0" w:color="auto"/>
        <w:right w:val="none" w:sz="0" w:space="0" w:color="auto"/>
      </w:divBdr>
    </w:div>
    <w:div w:id="1910116831">
      <w:bodyDiv w:val="1"/>
      <w:marLeft w:val="0"/>
      <w:marRight w:val="0"/>
      <w:marTop w:val="0"/>
      <w:marBottom w:val="0"/>
      <w:divBdr>
        <w:top w:val="none" w:sz="0" w:space="0" w:color="auto"/>
        <w:left w:val="none" w:sz="0" w:space="0" w:color="auto"/>
        <w:bottom w:val="none" w:sz="0" w:space="0" w:color="auto"/>
        <w:right w:val="none" w:sz="0" w:space="0" w:color="auto"/>
      </w:divBdr>
    </w:div>
    <w:div w:id="1947732901">
      <w:bodyDiv w:val="1"/>
      <w:marLeft w:val="0"/>
      <w:marRight w:val="0"/>
      <w:marTop w:val="0"/>
      <w:marBottom w:val="0"/>
      <w:divBdr>
        <w:top w:val="none" w:sz="0" w:space="0" w:color="auto"/>
        <w:left w:val="none" w:sz="0" w:space="0" w:color="auto"/>
        <w:bottom w:val="none" w:sz="0" w:space="0" w:color="auto"/>
        <w:right w:val="none" w:sz="0" w:space="0" w:color="auto"/>
      </w:divBdr>
    </w:div>
    <w:div w:id="1953248258">
      <w:bodyDiv w:val="1"/>
      <w:marLeft w:val="0"/>
      <w:marRight w:val="0"/>
      <w:marTop w:val="0"/>
      <w:marBottom w:val="0"/>
      <w:divBdr>
        <w:top w:val="none" w:sz="0" w:space="0" w:color="auto"/>
        <w:left w:val="none" w:sz="0" w:space="0" w:color="auto"/>
        <w:bottom w:val="none" w:sz="0" w:space="0" w:color="auto"/>
        <w:right w:val="none" w:sz="0" w:space="0" w:color="auto"/>
      </w:divBdr>
    </w:div>
    <w:div w:id="2013754522">
      <w:bodyDiv w:val="1"/>
      <w:marLeft w:val="0"/>
      <w:marRight w:val="0"/>
      <w:marTop w:val="0"/>
      <w:marBottom w:val="0"/>
      <w:divBdr>
        <w:top w:val="none" w:sz="0" w:space="0" w:color="auto"/>
        <w:left w:val="none" w:sz="0" w:space="0" w:color="auto"/>
        <w:bottom w:val="none" w:sz="0" w:space="0" w:color="auto"/>
        <w:right w:val="none" w:sz="0" w:space="0" w:color="auto"/>
      </w:divBdr>
    </w:div>
    <w:div w:id="2042396129">
      <w:bodyDiv w:val="1"/>
      <w:marLeft w:val="0"/>
      <w:marRight w:val="0"/>
      <w:marTop w:val="0"/>
      <w:marBottom w:val="0"/>
      <w:divBdr>
        <w:top w:val="none" w:sz="0" w:space="0" w:color="auto"/>
        <w:left w:val="none" w:sz="0" w:space="0" w:color="auto"/>
        <w:bottom w:val="none" w:sz="0" w:space="0" w:color="auto"/>
        <w:right w:val="none" w:sz="0" w:space="0" w:color="auto"/>
      </w:divBdr>
    </w:div>
    <w:div w:id="20957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chart" Target="charts/chart28.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chart" Target="charts/chart31.xml"/><Relationship Id="rId47" Type="http://schemas.openxmlformats.org/officeDocument/2006/relationships/chart" Target="charts/chart36.xml"/><Relationship Id="rId50" Type="http://schemas.openxmlformats.org/officeDocument/2006/relationships/chart" Target="charts/chart39.xml"/><Relationship Id="rId55" Type="http://schemas.openxmlformats.org/officeDocument/2006/relationships/chart" Target="charts/chart44.xm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chart" Target="charts/chart30.xml"/><Relationship Id="rId54" Type="http://schemas.openxmlformats.org/officeDocument/2006/relationships/chart" Target="charts/chart43.xml"/><Relationship Id="rId62" Type="http://schemas.openxmlformats.org/officeDocument/2006/relationships/chart" Target="charts/chart5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chart" Target="charts/chart29.xml"/><Relationship Id="rId45" Type="http://schemas.openxmlformats.org/officeDocument/2006/relationships/chart" Target="charts/chart34.xml"/><Relationship Id="rId53" Type="http://schemas.openxmlformats.org/officeDocument/2006/relationships/chart" Target="charts/chart42.xml"/><Relationship Id="rId58" Type="http://schemas.openxmlformats.org/officeDocument/2006/relationships/chart" Target="charts/chart47.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8.xml"/><Relationship Id="rId57" Type="http://schemas.openxmlformats.org/officeDocument/2006/relationships/chart" Target="charts/chart46.xml"/><Relationship Id="rId61" Type="http://schemas.openxmlformats.org/officeDocument/2006/relationships/chart" Target="charts/chart50.xml"/><Relationship Id="rId10" Type="http://schemas.openxmlformats.org/officeDocument/2006/relationships/image" Target="media/image2.emf"/><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chart" Target="charts/chart33.xml"/><Relationship Id="rId52" Type="http://schemas.openxmlformats.org/officeDocument/2006/relationships/chart" Target="charts/chart41.xml"/><Relationship Id="rId60" Type="http://schemas.openxmlformats.org/officeDocument/2006/relationships/chart" Target="charts/chart49.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2.xml"/><Relationship Id="rId48" Type="http://schemas.openxmlformats.org/officeDocument/2006/relationships/chart" Target="charts/chart37.xml"/><Relationship Id="rId56" Type="http://schemas.openxmlformats.org/officeDocument/2006/relationships/chart" Target="charts/chart45.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40.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chart" Target="charts/chart27.xml"/><Relationship Id="rId46" Type="http://schemas.openxmlformats.org/officeDocument/2006/relationships/chart" Target="charts/chart35.xml"/><Relationship Id="rId59" Type="http://schemas.openxmlformats.org/officeDocument/2006/relationships/chart" Target="charts/chart48.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0.xml"/></Relationships>
</file>

<file path=word/charts/_rels/chart2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1.xml"/></Relationships>
</file>

<file path=word/charts/_rels/chart2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2.xml"/></Relationships>
</file>

<file path=word/charts/_rels/chart2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3.xml"/></Relationships>
</file>

<file path=word/charts/_rels/chart2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4.xml"/></Relationships>
</file>

<file path=word/charts/_rels/chart2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5.xml"/></Relationships>
</file>

<file path=word/charts/_rels/chart2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6.xml"/></Relationships>
</file>

<file path=word/charts/_rels/chart2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7.xml"/></Relationships>
</file>

<file path=word/charts/_rels/chart28.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Book1" TargetMode="External"/><Relationship Id="rId1" Type="http://schemas.openxmlformats.org/officeDocument/2006/relationships/themeOverride" Target="../theme/themeOverride28.xml"/></Relationships>
</file>

<file path=word/charts/_rels/chart29.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9.xm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_rels/chart30.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Book1" TargetMode="External"/><Relationship Id="rId1" Type="http://schemas.openxmlformats.org/officeDocument/2006/relationships/themeOverride" Target="../theme/themeOverride30.xml"/></Relationships>
</file>

<file path=word/charts/_rels/chart3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1.xml"/></Relationships>
</file>

<file path=word/charts/_rels/chart3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2.xml"/></Relationships>
</file>

<file path=word/charts/_rels/chart3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3.xml"/></Relationships>
</file>

<file path=word/charts/_rels/chart3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4.xml"/></Relationships>
</file>

<file path=word/charts/_rels/chart3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5.xml"/></Relationships>
</file>

<file path=word/charts/_rels/chart3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6.xml"/></Relationships>
</file>

<file path=word/charts/_rels/chart3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7.xml"/></Relationships>
</file>

<file path=word/charts/_rels/chart38.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8.xml"/></Relationships>
</file>

<file path=word/charts/_rels/chart39.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39.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sif\Desktop\Asif.xlsm" TargetMode="External"/><Relationship Id="rId1" Type="http://schemas.openxmlformats.org/officeDocument/2006/relationships/themeOverride" Target="../theme/themeOverride4.xml"/></Relationships>
</file>

<file path=word/charts/_rels/chart40.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0.xml"/></Relationships>
</file>

<file path=word/charts/_rels/chart41.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1.xml"/></Relationships>
</file>

<file path=word/charts/_rels/chart42.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2.xml"/></Relationships>
</file>

<file path=word/charts/_rels/chart43.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3.xml"/></Relationships>
</file>

<file path=word/charts/_rels/chart44.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4.xml"/></Relationships>
</file>

<file path=word/charts/_rels/chart45.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5.xml"/></Relationships>
</file>

<file path=word/charts/_rels/chart46.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6.xml"/></Relationships>
</file>

<file path=word/charts/_rels/chart47.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7.xml"/></Relationships>
</file>

<file path=word/charts/_rels/chart48.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8.xml"/></Relationships>
</file>

<file path=word/charts/_rels/chart49.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49.xml"/></Relationships>
</file>

<file path=word/charts/_rels/chart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5.xml"/></Relationships>
</file>

<file path=word/charts/_rels/chart50.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50.xml"/></Relationships>
</file>

<file path=word/charts/_rels/chart51.xml.rels><?xml version="1.0" encoding="UTF-8" standalone="yes"?>
<Relationships xmlns="http://schemas.openxmlformats.org/package/2006/relationships"><Relationship Id="rId2" Type="http://schemas.openxmlformats.org/officeDocument/2006/relationships/oleObject" Target="file:///C:\Users\HP\Downloads\Asif.xlsm" TargetMode="External"/><Relationship Id="rId1" Type="http://schemas.openxmlformats.org/officeDocument/2006/relationships/themeOverride" Target="../theme/themeOverride51.xml"/></Relationships>
</file>

<file path=word/charts/_rels/chart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Sheet1!$B$4</c:f>
              <c:strCache>
                <c:ptCount val="1"/>
                <c:pt idx="0">
                  <c:v>%</c:v>
                </c:pt>
              </c:strCache>
            </c:strRef>
          </c:tx>
          <c:spPr>
            <a:pattFill prst="solidDmnd">
              <a:fgClr>
                <a:schemeClr val="accent1"/>
              </a:fgClr>
              <a:bgClr>
                <a:srgbClr val="FF0000"/>
              </a:bgClr>
            </a:pattFill>
          </c:spPr>
          <c:invertIfNegative val="0"/>
          <c:cat>
            <c:strRef>
              <c:f>Sheet1!$A$5:$A$11</c:f>
              <c:strCache>
                <c:ptCount val="7"/>
                <c:pt idx="0">
                  <c:v>21-30</c:v>
                </c:pt>
                <c:pt idx="1">
                  <c:v>31-40</c:v>
                </c:pt>
                <c:pt idx="2">
                  <c:v>41-50</c:v>
                </c:pt>
                <c:pt idx="3">
                  <c:v>51-60</c:v>
                </c:pt>
                <c:pt idx="4">
                  <c:v>61-70</c:v>
                </c:pt>
                <c:pt idx="5">
                  <c:v>71-80</c:v>
                </c:pt>
                <c:pt idx="6">
                  <c:v>&gt;80</c:v>
                </c:pt>
              </c:strCache>
            </c:strRef>
          </c:cat>
          <c:val>
            <c:numRef>
              <c:f>Sheet1!$B$5:$B$11</c:f>
              <c:numCache>
                <c:formatCode>General</c:formatCode>
                <c:ptCount val="7"/>
                <c:pt idx="0">
                  <c:v>3</c:v>
                </c:pt>
                <c:pt idx="1">
                  <c:v>9</c:v>
                </c:pt>
                <c:pt idx="2">
                  <c:v>16</c:v>
                </c:pt>
                <c:pt idx="3">
                  <c:v>31</c:v>
                </c:pt>
                <c:pt idx="4">
                  <c:v>31</c:v>
                </c:pt>
                <c:pt idx="5">
                  <c:v>9</c:v>
                </c:pt>
                <c:pt idx="6">
                  <c:v>1</c:v>
                </c:pt>
              </c:numCache>
            </c:numRef>
          </c:val>
        </c:ser>
        <c:dLbls>
          <c:showLegendKey val="0"/>
          <c:showVal val="0"/>
          <c:showCatName val="0"/>
          <c:showSerName val="0"/>
          <c:showPercent val="0"/>
          <c:showBubbleSize val="0"/>
        </c:dLbls>
        <c:gapWidth val="150"/>
        <c:shape val="cylinder"/>
        <c:axId val="174959616"/>
        <c:axId val="181424128"/>
        <c:axId val="0"/>
      </c:bar3DChart>
      <c:catAx>
        <c:axId val="174959616"/>
        <c:scaling>
          <c:orientation val="minMax"/>
        </c:scaling>
        <c:delete val="0"/>
        <c:axPos val="b"/>
        <c:title>
          <c:tx>
            <c:rich>
              <a:bodyPr/>
              <a:lstStyle/>
              <a:p>
                <a:pPr>
                  <a:defRPr/>
                </a:pPr>
                <a:r>
                  <a:rPr lang="en-US"/>
                  <a:t>Age in years</a:t>
                </a:r>
              </a:p>
            </c:rich>
          </c:tx>
          <c:overlay val="0"/>
        </c:title>
        <c:majorTickMark val="out"/>
        <c:minorTickMark val="none"/>
        <c:tickLblPos val="nextTo"/>
        <c:crossAx val="181424128"/>
        <c:crosses val="autoZero"/>
        <c:auto val="1"/>
        <c:lblAlgn val="ctr"/>
        <c:lblOffset val="100"/>
        <c:noMultiLvlLbl val="0"/>
      </c:catAx>
      <c:valAx>
        <c:axId val="181424128"/>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174959616"/>
        <c:crosses val="autoZero"/>
        <c:crossBetween val="between"/>
      </c:valAx>
    </c:plotArea>
    <c:plotVisOnly val="1"/>
    <c:dispBlanksAs val="gap"/>
    <c:showDLblsOverMax val="0"/>
  </c:chart>
  <c:spPr>
    <a:ln>
      <a:noFill/>
    </a:ln>
  </c:sp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Sheet1!$A$82:$A$84</c:f>
              <c:strCache>
                <c:ptCount val="3"/>
                <c:pt idx="0">
                  <c:v>·&lt;120</c:v>
                </c:pt>
                <c:pt idx="1">
                  <c:v>·120-140</c:v>
                </c:pt>
                <c:pt idx="2">
                  <c:v>·&gt;140</c:v>
                </c:pt>
              </c:strCache>
            </c:strRef>
          </c:cat>
          <c:val>
            <c:numRef>
              <c:f>Sheet1!$B$82:$B$84</c:f>
              <c:numCache>
                <c:formatCode>General</c:formatCode>
                <c:ptCount val="3"/>
                <c:pt idx="0">
                  <c:v>0</c:v>
                </c:pt>
                <c:pt idx="1">
                  <c:v>30</c:v>
                </c:pt>
                <c:pt idx="2">
                  <c:v>70</c:v>
                </c:pt>
              </c:numCache>
            </c:numRef>
          </c:val>
        </c:ser>
        <c:dLbls>
          <c:showLegendKey val="0"/>
          <c:showVal val="0"/>
          <c:showCatName val="0"/>
          <c:showSerName val="0"/>
          <c:showPercent val="0"/>
          <c:showBubbleSize val="0"/>
        </c:dLbls>
        <c:gapWidth val="150"/>
        <c:shape val="cylinder"/>
        <c:axId val="184385920"/>
        <c:axId val="184387840"/>
        <c:axId val="0"/>
      </c:bar3DChart>
      <c:catAx>
        <c:axId val="184385920"/>
        <c:scaling>
          <c:orientation val="minMax"/>
        </c:scaling>
        <c:delete val="0"/>
        <c:axPos val="b"/>
        <c:title>
          <c:tx>
            <c:rich>
              <a:bodyPr/>
              <a:lstStyle/>
              <a:p>
                <a:pPr>
                  <a:defRPr/>
                </a:pPr>
                <a:r>
                  <a:rPr lang="en-US"/>
                  <a:t>SBP (mm Hg)</a:t>
                </a:r>
              </a:p>
            </c:rich>
          </c:tx>
          <c:overlay val="0"/>
        </c:title>
        <c:majorTickMark val="out"/>
        <c:minorTickMark val="none"/>
        <c:tickLblPos val="nextTo"/>
        <c:crossAx val="184387840"/>
        <c:crosses val="autoZero"/>
        <c:auto val="1"/>
        <c:lblAlgn val="ctr"/>
        <c:lblOffset val="100"/>
        <c:noMultiLvlLbl val="0"/>
      </c:catAx>
      <c:valAx>
        <c:axId val="18438784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184385920"/>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Sheet1!$A$86:$A$88</c:f>
              <c:strCache>
                <c:ptCount val="3"/>
                <c:pt idx="0">
                  <c:v>·&lt;80</c:v>
                </c:pt>
                <c:pt idx="1">
                  <c:v>·80-100</c:v>
                </c:pt>
                <c:pt idx="2">
                  <c:v>·&gt;100</c:v>
                </c:pt>
              </c:strCache>
            </c:strRef>
          </c:cat>
          <c:val>
            <c:numRef>
              <c:f>Sheet1!$B$86:$B$88</c:f>
              <c:numCache>
                <c:formatCode>General</c:formatCode>
                <c:ptCount val="3"/>
                <c:pt idx="0">
                  <c:v>11</c:v>
                </c:pt>
                <c:pt idx="1">
                  <c:v>86</c:v>
                </c:pt>
                <c:pt idx="2">
                  <c:v>3</c:v>
                </c:pt>
              </c:numCache>
            </c:numRef>
          </c:val>
        </c:ser>
        <c:dLbls>
          <c:showLegendKey val="0"/>
          <c:showVal val="0"/>
          <c:showCatName val="0"/>
          <c:showSerName val="0"/>
          <c:showPercent val="0"/>
          <c:showBubbleSize val="0"/>
        </c:dLbls>
        <c:gapWidth val="150"/>
        <c:shape val="cylinder"/>
        <c:axId val="184408320"/>
        <c:axId val="184410496"/>
        <c:axId val="0"/>
      </c:bar3DChart>
      <c:catAx>
        <c:axId val="184408320"/>
        <c:scaling>
          <c:orientation val="minMax"/>
        </c:scaling>
        <c:delete val="0"/>
        <c:axPos val="b"/>
        <c:title>
          <c:tx>
            <c:rich>
              <a:bodyPr/>
              <a:lstStyle/>
              <a:p>
                <a:pPr>
                  <a:defRPr/>
                </a:pPr>
                <a:r>
                  <a:rPr lang="en-US"/>
                  <a:t>DBP (mm Hg)</a:t>
                </a:r>
              </a:p>
            </c:rich>
          </c:tx>
          <c:overlay val="0"/>
        </c:title>
        <c:majorTickMark val="out"/>
        <c:minorTickMark val="none"/>
        <c:tickLblPos val="nextTo"/>
        <c:crossAx val="184410496"/>
        <c:crosses val="autoZero"/>
        <c:auto val="1"/>
        <c:lblAlgn val="ctr"/>
        <c:lblOffset val="100"/>
        <c:noMultiLvlLbl val="0"/>
      </c:catAx>
      <c:valAx>
        <c:axId val="18441049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184408320"/>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Sheet1!$A$92:$A$94</c:f>
              <c:strCache>
                <c:ptCount val="3"/>
                <c:pt idx="0">
                  <c:v>&lt;100</c:v>
                </c:pt>
                <c:pt idx="1">
                  <c:v>100-126</c:v>
                </c:pt>
                <c:pt idx="2">
                  <c:v>&gt;126</c:v>
                </c:pt>
              </c:strCache>
            </c:strRef>
          </c:cat>
          <c:val>
            <c:numRef>
              <c:f>Sheet1!$B$92:$B$94</c:f>
              <c:numCache>
                <c:formatCode>General</c:formatCode>
                <c:ptCount val="3"/>
                <c:pt idx="0">
                  <c:v>7</c:v>
                </c:pt>
                <c:pt idx="1">
                  <c:v>9</c:v>
                </c:pt>
                <c:pt idx="2">
                  <c:v>84</c:v>
                </c:pt>
              </c:numCache>
            </c:numRef>
          </c:val>
        </c:ser>
        <c:dLbls>
          <c:showLegendKey val="0"/>
          <c:showVal val="0"/>
          <c:showCatName val="0"/>
          <c:showSerName val="0"/>
          <c:showPercent val="0"/>
          <c:showBubbleSize val="0"/>
        </c:dLbls>
        <c:gapWidth val="150"/>
        <c:shape val="cylinder"/>
        <c:axId val="236532096"/>
        <c:axId val="236534016"/>
        <c:axId val="0"/>
      </c:bar3DChart>
      <c:catAx>
        <c:axId val="236532096"/>
        <c:scaling>
          <c:orientation val="minMax"/>
        </c:scaling>
        <c:delete val="0"/>
        <c:axPos val="b"/>
        <c:title>
          <c:tx>
            <c:rich>
              <a:bodyPr/>
              <a:lstStyle/>
              <a:p>
                <a:pPr>
                  <a:defRPr/>
                </a:pPr>
                <a:r>
                  <a:rPr lang="en-US"/>
                  <a:t>FBS (mg/dl)</a:t>
                </a:r>
              </a:p>
            </c:rich>
          </c:tx>
          <c:overlay val="0"/>
        </c:title>
        <c:majorTickMark val="out"/>
        <c:minorTickMark val="none"/>
        <c:tickLblPos val="nextTo"/>
        <c:crossAx val="236534016"/>
        <c:crosses val="autoZero"/>
        <c:auto val="1"/>
        <c:lblAlgn val="ctr"/>
        <c:lblOffset val="100"/>
        <c:noMultiLvlLbl val="0"/>
      </c:catAx>
      <c:valAx>
        <c:axId val="23653401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6532096"/>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Sheet1!$A$106:$A$107</c:f>
              <c:strCache>
                <c:ptCount val="2"/>
                <c:pt idx="0">
                  <c:v>&lt;1.1</c:v>
                </c:pt>
                <c:pt idx="1">
                  <c:v>&gt;1.1</c:v>
                </c:pt>
              </c:strCache>
            </c:strRef>
          </c:cat>
          <c:val>
            <c:numRef>
              <c:f>Sheet1!$B$106:$B$107</c:f>
              <c:numCache>
                <c:formatCode>General</c:formatCode>
                <c:ptCount val="2"/>
                <c:pt idx="0">
                  <c:v>75</c:v>
                </c:pt>
                <c:pt idx="1">
                  <c:v>25</c:v>
                </c:pt>
              </c:numCache>
            </c:numRef>
          </c:val>
        </c:ser>
        <c:dLbls>
          <c:showLegendKey val="0"/>
          <c:showVal val="0"/>
          <c:showCatName val="0"/>
          <c:showSerName val="0"/>
          <c:showPercent val="0"/>
          <c:showBubbleSize val="0"/>
        </c:dLbls>
        <c:gapWidth val="150"/>
        <c:shape val="cylinder"/>
        <c:axId val="236648704"/>
        <c:axId val="236659072"/>
        <c:axId val="0"/>
      </c:bar3DChart>
      <c:catAx>
        <c:axId val="236648704"/>
        <c:scaling>
          <c:orientation val="minMax"/>
        </c:scaling>
        <c:delete val="0"/>
        <c:axPos val="b"/>
        <c:title>
          <c:tx>
            <c:rich>
              <a:bodyPr/>
              <a:lstStyle/>
              <a:p>
                <a:pPr>
                  <a:defRPr/>
                </a:pPr>
                <a:r>
                  <a:rPr lang="en-US"/>
                  <a:t>Creatinine (mg/dl)</a:t>
                </a:r>
              </a:p>
            </c:rich>
          </c:tx>
          <c:overlay val="0"/>
        </c:title>
        <c:majorTickMark val="out"/>
        <c:minorTickMark val="none"/>
        <c:tickLblPos val="nextTo"/>
        <c:crossAx val="236659072"/>
        <c:crosses val="autoZero"/>
        <c:auto val="1"/>
        <c:lblAlgn val="ctr"/>
        <c:lblOffset val="100"/>
        <c:noMultiLvlLbl val="0"/>
      </c:catAx>
      <c:valAx>
        <c:axId val="236659072"/>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6648704"/>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Sheet1!$A$113:$A$115</c:f>
              <c:strCache>
                <c:ptCount val="3"/>
                <c:pt idx="0">
                  <c:v>·&lt;200</c:v>
                </c:pt>
                <c:pt idx="1">
                  <c:v>·200-280</c:v>
                </c:pt>
                <c:pt idx="2">
                  <c:v>·&gt;280</c:v>
                </c:pt>
              </c:strCache>
            </c:strRef>
          </c:cat>
          <c:val>
            <c:numRef>
              <c:f>Sheet1!$B$113:$B$115</c:f>
              <c:numCache>
                <c:formatCode>General</c:formatCode>
                <c:ptCount val="3"/>
                <c:pt idx="0">
                  <c:v>34</c:v>
                </c:pt>
                <c:pt idx="1">
                  <c:v>44</c:v>
                </c:pt>
                <c:pt idx="2">
                  <c:v>22</c:v>
                </c:pt>
              </c:numCache>
            </c:numRef>
          </c:val>
        </c:ser>
        <c:dLbls>
          <c:showLegendKey val="0"/>
          <c:showVal val="0"/>
          <c:showCatName val="0"/>
          <c:showSerName val="0"/>
          <c:showPercent val="0"/>
          <c:showBubbleSize val="0"/>
        </c:dLbls>
        <c:gapWidth val="150"/>
        <c:shape val="cylinder"/>
        <c:axId val="236695936"/>
        <c:axId val="236697856"/>
        <c:axId val="0"/>
      </c:bar3DChart>
      <c:catAx>
        <c:axId val="236695936"/>
        <c:scaling>
          <c:orientation val="minMax"/>
        </c:scaling>
        <c:delete val="0"/>
        <c:axPos val="b"/>
        <c:title>
          <c:tx>
            <c:rich>
              <a:bodyPr/>
              <a:lstStyle/>
              <a:p>
                <a:pPr>
                  <a:defRPr/>
                </a:pPr>
                <a:r>
                  <a:rPr lang="en-US"/>
                  <a:t>Total Cholesterol (mg/dl)</a:t>
                </a:r>
              </a:p>
            </c:rich>
          </c:tx>
          <c:overlay val="0"/>
        </c:title>
        <c:majorTickMark val="out"/>
        <c:minorTickMark val="none"/>
        <c:tickLblPos val="nextTo"/>
        <c:crossAx val="236697856"/>
        <c:crosses val="autoZero"/>
        <c:auto val="1"/>
        <c:lblAlgn val="ctr"/>
        <c:lblOffset val="100"/>
        <c:noMultiLvlLbl val="0"/>
      </c:catAx>
      <c:valAx>
        <c:axId val="23669785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6695936"/>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Sheet1!$A$117:$A$119</c:f>
              <c:strCache>
                <c:ptCount val="3"/>
                <c:pt idx="0">
                  <c:v>·&lt;70</c:v>
                </c:pt>
                <c:pt idx="1">
                  <c:v>·70-190</c:v>
                </c:pt>
                <c:pt idx="2">
                  <c:v>·&gt;190</c:v>
                </c:pt>
              </c:strCache>
            </c:strRef>
          </c:cat>
          <c:val>
            <c:numRef>
              <c:f>Sheet1!$B$117:$B$119</c:f>
              <c:numCache>
                <c:formatCode>General</c:formatCode>
                <c:ptCount val="3"/>
                <c:pt idx="0">
                  <c:v>8</c:v>
                </c:pt>
                <c:pt idx="1">
                  <c:v>86</c:v>
                </c:pt>
                <c:pt idx="2">
                  <c:v>6</c:v>
                </c:pt>
              </c:numCache>
            </c:numRef>
          </c:val>
        </c:ser>
        <c:dLbls>
          <c:showLegendKey val="0"/>
          <c:showVal val="0"/>
          <c:showCatName val="0"/>
          <c:showSerName val="0"/>
          <c:showPercent val="0"/>
          <c:showBubbleSize val="0"/>
        </c:dLbls>
        <c:gapWidth val="150"/>
        <c:shape val="cylinder"/>
        <c:axId val="236796160"/>
        <c:axId val="236876160"/>
        <c:axId val="0"/>
      </c:bar3DChart>
      <c:catAx>
        <c:axId val="236796160"/>
        <c:scaling>
          <c:orientation val="minMax"/>
        </c:scaling>
        <c:delete val="0"/>
        <c:axPos val="b"/>
        <c:title>
          <c:tx>
            <c:rich>
              <a:bodyPr/>
              <a:lstStyle/>
              <a:p>
                <a:pPr>
                  <a:defRPr/>
                </a:pPr>
                <a:r>
                  <a:rPr lang="en-US"/>
                  <a:t>LDL(mg/dl)</a:t>
                </a:r>
              </a:p>
            </c:rich>
          </c:tx>
          <c:overlay val="0"/>
        </c:title>
        <c:majorTickMark val="out"/>
        <c:minorTickMark val="none"/>
        <c:tickLblPos val="nextTo"/>
        <c:crossAx val="236876160"/>
        <c:crosses val="autoZero"/>
        <c:auto val="1"/>
        <c:lblAlgn val="ctr"/>
        <c:lblOffset val="100"/>
        <c:noMultiLvlLbl val="0"/>
      </c:catAx>
      <c:valAx>
        <c:axId val="23687616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6796160"/>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Sheet1!$A$121:$A$123</c:f>
              <c:strCache>
                <c:ptCount val="3"/>
                <c:pt idx="0">
                  <c:v>·&lt;35</c:v>
                </c:pt>
                <c:pt idx="1">
                  <c:v>·35-60</c:v>
                </c:pt>
                <c:pt idx="2">
                  <c:v>·&gt;60</c:v>
                </c:pt>
              </c:strCache>
            </c:strRef>
          </c:cat>
          <c:val>
            <c:numRef>
              <c:f>Sheet1!$B$121:$B$123</c:f>
              <c:numCache>
                <c:formatCode>General</c:formatCode>
                <c:ptCount val="3"/>
                <c:pt idx="0">
                  <c:v>61</c:v>
                </c:pt>
                <c:pt idx="1">
                  <c:v>37</c:v>
                </c:pt>
                <c:pt idx="2">
                  <c:v>2</c:v>
                </c:pt>
              </c:numCache>
            </c:numRef>
          </c:val>
        </c:ser>
        <c:dLbls>
          <c:showLegendKey val="0"/>
          <c:showVal val="0"/>
          <c:showCatName val="0"/>
          <c:showSerName val="0"/>
          <c:showPercent val="0"/>
          <c:showBubbleSize val="0"/>
        </c:dLbls>
        <c:gapWidth val="150"/>
        <c:shape val="cylinder"/>
        <c:axId val="236917120"/>
        <c:axId val="236919040"/>
        <c:axId val="0"/>
      </c:bar3DChart>
      <c:catAx>
        <c:axId val="236917120"/>
        <c:scaling>
          <c:orientation val="minMax"/>
        </c:scaling>
        <c:delete val="0"/>
        <c:axPos val="b"/>
        <c:title>
          <c:tx>
            <c:rich>
              <a:bodyPr/>
              <a:lstStyle/>
              <a:p>
                <a:pPr>
                  <a:defRPr/>
                </a:pPr>
                <a:r>
                  <a:rPr lang="en-US"/>
                  <a:t>HDL(mg/dl)</a:t>
                </a:r>
              </a:p>
            </c:rich>
          </c:tx>
          <c:overlay val="0"/>
        </c:title>
        <c:majorTickMark val="out"/>
        <c:minorTickMark val="none"/>
        <c:tickLblPos val="nextTo"/>
        <c:crossAx val="236919040"/>
        <c:crosses val="autoZero"/>
        <c:auto val="1"/>
        <c:lblAlgn val="ctr"/>
        <c:lblOffset val="100"/>
        <c:noMultiLvlLbl val="0"/>
      </c:catAx>
      <c:valAx>
        <c:axId val="23691904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6917120"/>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Sheet1!$A$125:$A$127</c:f>
              <c:strCache>
                <c:ptCount val="3"/>
                <c:pt idx="0">
                  <c:v>·&lt;35</c:v>
                </c:pt>
                <c:pt idx="1">
                  <c:v>·35-60</c:v>
                </c:pt>
                <c:pt idx="2">
                  <c:v>·&gt;60</c:v>
                </c:pt>
              </c:strCache>
            </c:strRef>
          </c:cat>
          <c:val>
            <c:numRef>
              <c:f>Sheet1!$B$125:$B$127</c:f>
              <c:numCache>
                <c:formatCode>General</c:formatCode>
                <c:ptCount val="3"/>
                <c:pt idx="0">
                  <c:v>41</c:v>
                </c:pt>
                <c:pt idx="1">
                  <c:v>52</c:v>
                </c:pt>
                <c:pt idx="2">
                  <c:v>7</c:v>
                </c:pt>
              </c:numCache>
            </c:numRef>
          </c:val>
        </c:ser>
        <c:dLbls>
          <c:showLegendKey val="0"/>
          <c:showVal val="0"/>
          <c:showCatName val="0"/>
          <c:showSerName val="0"/>
          <c:showPercent val="0"/>
          <c:showBubbleSize val="0"/>
        </c:dLbls>
        <c:gapWidth val="150"/>
        <c:shape val="cylinder"/>
        <c:axId val="239167744"/>
        <c:axId val="239182208"/>
        <c:axId val="0"/>
      </c:bar3DChart>
      <c:catAx>
        <c:axId val="239167744"/>
        <c:scaling>
          <c:orientation val="minMax"/>
        </c:scaling>
        <c:delete val="0"/>
        <c:axPos val="b"/>
        <c:title>
          <c:tx>
            <c:rich>
              <a:bodyPr/>
              <a:lstStyle/>
              <a:p>
                <a:pPr>
                  <a:defRPr/>
                </a:pPr>
                <a:r>
                  <a:rPr lang="en-US"/>
                  <a:t>VLDL(mg/dl)</a:t>
                </a:r>
              </a:p>
            </c:rich>
          </c:tx>
          <c:overlay val="0"/>
        </c:title>
        <c:majorTickMark val="out"/>
        <c:minorTickMark val="none"/>
        <c:tickLblPos val="nextTo"/>
        <c:crossAx val="239182208"/>
        <c:crosses val="autoZero"/>
        <c:auto val="1"/>
        <c:lblAlgn val="ctr"/>
        <c:lblOffset val="100"/>
        <c:noMultiLvlLbl val="0"/>
      </c:catAx>
      <c:valAx>
        <c:axId val="239182208"/>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9167744"/>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Sheet1!$A$129:$A$131</c:f>
              <c:strCache>
                <c:ptCount val="3"/>
                <c:pt idx="0">
                  <c:v>·&lt;150</c:v>
                </c:pt>
                <c:pt idx="1">
                  <c:v>·150-500</c:v>
                </c:pt>
                <c:pt idx="2">
                  <c:v>·&gt;500</c:v>
                </c:pt>
              </c:strCache>
            </c:strRef>
          </c:cat>
          <c:val>
            <c:numRef>
              <c:f>Sheet1!$B$129:$B$131</c:f>
              <c:numCache>
                <c:formatCode>General</c:formatCode>
                <c:ptCount val="3"/>
                <c:pt idx="0">
                  <c:v>25</c:v>
                </c:pt>
                <c:pt idx="1">
                  <c:v>73</c:v>
                </c:pt>
                <c:pt idx="2">
                  <c:v>2</c:v>
                </c:pt>
              </c:numCache>
            </c:numRef>
          </c:val>
        </c:ser>
        <c:dLbls>
          <c:showLegendKey val="0"/>
          <c:showVal val="0"/>
          <c:showCatName val="0"/>
          <c:showSerName val="0"/>
          <c:showPercent val="0"/>
          <c:showBubbleSize val="0"/>
        </c:dLbls>
        <c:gapWidth val="150"/>
        <c:shape val="cylinder"/>
        <c:axId val="239214976"/>
        <c:axId val="239216896"/>
        <c:axId val="0"/>
      </c:bar3DChart>
      <c:catAx>
        <c:axId val="239214976"/>
        <c:scaling>
          <c:orientation val="minMax"/>
        </c:scaling>
        <c:delete val="0"/>
        <c:axPos val="b"/>
        <c:title>
          <c:tx>
            <c:rich>
              <a:bodyPr/>
              <a:lstStyle/>
              <a:p>
                <a:pPr>
                  <a:defRPr/>
                </a:pPr>
                <a:r>
                  <a:rPr lang="en-US"/>
                  <a:t>TGL(mg/dl)</a:t>
                </a:r>
              </a:p>
            </c:rich>
          </c:tx>
          <c:overlay val="0"/>
        </c:title>
        <c:majorTickMark val="out"/>
        <c:minorTickMark val="none"/>
        <c:tickLblPos val="nextTo"/>
        <c:crossAx val="239216896"/>
        <c:crosses val="autoZero"/>
        <c:auto val="1"/>
        <c:lblAlgn val="ctr"/>
        <c:lblOffset val="100"/>
        <c:noMultiLvlLbl val="0"/>
      </c:catAx>
      <c:valAx>
        <c:axId val="23921689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9214976"/>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Sheet1!$A$137:$A$139</c:f>
              <c:strCache>
                <c:ptCount val="3"/>
                <c:pt idx="0">
                  <c:v>·&lt;12</c:v>
                </c:pt>
                <c:pt idx="1">
                  <c:v>·12-16</c:v>
                </c:pt>
                <c:pt idx="2">
                  <c:v>·&gt;16</c:v>
                </c:pt>
              </c:strCache>
            </c:strRef>
          </c:cat>
          <c:val>
            <c:numRef>
              <c:f>Sheet1!$B$137:$B$139</c:f>
              <c:numCache>
                <c:formatCode>General</c:formatCode>
                <c:ptCount val="3"/>
                <c:pt idx="0">
                  <c:v>33</c:v>
                </c:pt>
                <c:pt idx="1">
                  <c:v>59</c:v>
                </c:pt>
                <c:pt idx="2">
                  <c:v>8</c:v>
                </c:pt>
              </c:numCache>
            </c:numRef>
          </c:val>
        </c:ser>
        <c:dLbls>
          <c:showLegendKey val="0"/>
          <c:showVal val="0"/>
          <c:showCatName val="0"/>
          <c:showSerName val="0"/>
          <c:showPercent val="0"/>
          <c:showBubbleSize val="0"/>
        </c:dLbls>
        <c:gapWidth val="150"/>
        <c:shape val="cylinder"/>
        <c:axId val="239249664"/>
        <c:axId val="239251840"/>
        <c:axId val="0"/>
      </c:bar3DChart>
      <c:catAx>
        <c:axId val="239249664"/>
        <c:scaling>
          <c:orientation val="minMax"/>
        </c:scaling>
        <c:delete val="0"/>
        <c:axPos val="b"/>
        <c:title>
          <c:tx>
            <c:rich>
              <a:bodyPr/>
              <a:lstStyle/>
              <a:p>
                <a:pPr>
                  <a:defRPr/>
                </a:pPr>
                <a:r>
                  <a:rPr lang="en-US"/>
                  <a:t>Hemoglobin (g/dl)</a:t>
                </a:r>
              </a:p>
            </c:rich>
          </c:tx>
          <c:overlay val="0"/>
        </c:title>
        <c:majorTickMark val="out"/>
        <c:minorTickMark val="none"/>
        <c:tickLblPos val="nextTo"/>
        <c:crossAx val="239251840"/>
        <c:crosses val="autoZero"/>
        <c:auto val="1"/>
        <c:lblAlgn val="ctr"/>
        <c:lblOffset val="100"/>
        <c:noMultiLvlLbl val="0"/>
      </c:catAx>
      <c:valAx>
        <c:axId val="23925184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9249664"/>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sz="1200"/>
              <a:t>Gender</a:t>
            </a:r>
          </a:p>
        </c:rich>
      </c:tx>
      <c:layout>
        <c:manualLayout>
          <c:xMode val="edge"/>
          <c:yMode val="edge"/>
          <c:x val="0.39045822397200353"/>
          <c:y val="0.91666666666666663"/>
        </c:manualLayout>
      </c:layout>
      <c:overlay val="0"/>
    </c:title>
    <c:autoTitleDeleted val="0"/>
    <c:view3D>
      <c:rotX val="40"/>
      <c:rotY val="0"/>
      <c:rAngAx val="0"/>
      <c:perspective val="30"/>
    </c:view3D>
    <c:floor>
      <c:thickness val="0"/>
    </c:floor>
    <c:sideWall>
      <c:thickness val="0"/>
    </c:sideWall>
    <c:backWall>
      <c:thickness val="0"/>
    </c:backWall>
    <c:plotArea>
      <c:layout>
        <c:manualLayout>
          <c:layoutTarget val="inner"/>
          <c:xMode val="edge"/>
          <c:yMode val="edge"/>
          <c:x val="8.3922790901137356E-2"/>
          <c:y val="2.6258384368620595E-2"/>
          <c:w val="0.87769706911636047"/>
          <c:h val="0.86715915718868475"/>
        </c:manualLayout>
      </c:layout>
      <c:pie3DChart>
        <c:varyColors val="1"/>
        <c:ser>
          <c:idx val="0"/>
          <c:order val="0"/>
          <c:tx>
            <c:strRef>
              <c:f>Sheet1!$B$16</c:f>
              <c:strCache>
                <c:ptCount val="1"/>
                <c:pt idx="0">
                  <c:v>%</c:v>
                </c:pt>
              </c:strCache>
            </c:strRef>
          </c:tx>
          <c:dLbls>
            <c:showLegendKey val="0"/>
            <c:showVal val="0"/>
            <c:showCatName val="0"/>
            <c:showSerName val="0"/>
            <c:showPercent val="1"/>
            <c:showBubbleSize val="0"/>
            <c:showLeaderLines val="1"/>
          </c:dLbls>
          <c:cat>
            <c:strRef>
              <c:f>Sheet1!$A$17:$A$18</c:f>
              <c:strCache>
                <c:ptCount val="2"/>
                <c:pt idx="0">
                  <c:v>Female</c:v>
                </c:pt>
                <c:pt idx="1">
                  <c:v>Male</c:v>
                </c:pt>
              </c:strCache>
            </c:strRef>
          </c:cat>
          <c:val>
            <c:numRef>
              <c:f>Sheet1!$B$17:$B$18</c:f>
              <c:numCache>
                <c:formatCode>General</c:formatCode>
                <c:ptCount val="2"/>
                <c:pt idx="0">
                  <c:v>46</c:v>
                </c:pt>
                <c:pt idx="1">
                  <c:v>54</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0.73606118822776023"/>
          <c:y val="0.78121318168562259"/>
          <c:w val="0.21353789539194198"/>
          <c:h val="0.16743438320209975"/>
        </c:manualLayout>
      </c:layout>
      <c:overlay val="0"/>
    </c:legend>
    <c:plotVisOnly val="1"/>
    <c:dispBlanksAs val="gap"/>
    <c:showDLblsOverMax val="0"/>
  </c:chart>
  <c:spPr>
    <a:ln>
      <a:noFill/>
    </a:ln>
  </c:sp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Sheet1!$A$141:$A$143</c:f>
              <c:strCache>
                <c:ptCount val="3"/>
                <c:pt idx="0">
                  <c:v>·&lt;6000</c:v>
                </c:pt>
                <c:pt idx="1">
                  <c:v>·6000-12000</c:v>
                </c:pt>
                <c:pt idx="2">
                  <c:v>·&gt;12000</c:v>
                </c:pt>
              </c:strCache>
            </c:strRef>
          </c:cat>
          <c:val>
            <c:numRef>
              <c:f>Sheet1!$B$141:$B$143</c:f>
              <c:numCache>
                <c:formatCode>General</c:formatCode>
                <c:ptCount val="3"/>
                <c:pt idx="0">
                  <c:v>15</c:v>
                </c:pt>
                <c:pt idx="1">
                  <c:v>71</c:v>
                </c:pt>
                <c:pt idx="2">
                  <c:v>14</c:v>
                </c:pt>
              </c:numCache>
            </c:numRef>
          </c:val>
        </c:ser>
        <c:dLbls>
          <c:showLegendKey val="0"/>
          <c:showVal val="0"/>
          <c:showCatName val="0"/>
          <c:showSerName val="0"/>
          <c:showPercent val="0"/>
          <c:showBubbleSize val="0"/>
        </c:dLbls>
        <c:gapWidth val="150"/>
        <c:shape val="cylinder"/>
        <c:axId val="239309184"/>
        <c:axId val="239311104"/>
        <c:axId val="0"/>
      </c:bar3DChart>
      <c:catAx>
        <c:axId val="239309184"/>
        <c:scaling>
          <c:orientation val="minMax"/>
        </c:scaling>
        <c:delete val="0"/>
        <c:axPos val="b"/>
        <c:title>
          <c:tx>
            <c:rich>
              <a:bodyPr/>
              <a:lstStyle/>
              <a:p>
                <a:pPr>
                  <a:defRPr/>
                </a:pPr>
                <a:r>
                  <a:rPr lang="en-US"/>
                  <a:t>WBC</a:t>
                </a:r>
              </a:p>
            </c:rich>
          </c:tx>
          <c:overlay val="0"/>
        </c:title>
        <c:majorTickMark val="out"/>
        <c:minorTickMark val="none"/>
        <c:tickLblPos val="nextTo"/>
        <c:crossAx val="239311104"/>
        <c:crosses val="autoZero"/>
        <c:auto val="1"/>
        <c:lblAlgn val="ctr"/>
        <c:lblOffset val="100"/>
        <c:noMultiLvlLbl val="0"/>
      </c:catAx>
      <c:valAx>
        <c:axId val="239311104"/>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39309184"/>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Sheet1!$A$145:$A$147</c:f>
              <c:strCache>
                <c:ptCount val="3"/>
                <c:pt idx="0">
                  <c:v>·&lt;3.5</c:v>
                </c:pt>
                <c:pt idx="1">
                  <c:v>·3.5-5.5</c:v>
                </c:pt>
                <c:pt idx="2">
                  <c:v>·&gt;5.5</c:v>
                </c:pt>
              </c:strCache>
            </c:strRef>
          </c:cat>
          <c:val>
            <c:numRef>
              <c:f>Sheet1!$B$145:$B$147</c:f>
              <c:numCache>
                <c:formatCode>General</c:formatCode>
                <c:ptCount val="3"/>
                <c:pt idx="0">
                  <c:v>84</c:v>
                </c:pt>
                <c:pt idx="1">
                  <c:v>16</c:v>
                </c:pt>
                <c:pt idx="2">
                  <c:v>0</c:v>
                </c:pt>
              </c:numCache>
            </c:numRef>
          </c:val>
        </c:ser>
        <c:dLbls>
          <c:showLegendKey val="0"/>
          <c:showVal val="0"/>
          <c:showCatName val="0"/>
          <c:showSerName val="0"/>
          <c:showPercent val="0"/>
          <c:showBubbleSize val="0"/>
        </c:dLbls>
        <c:gapWidth val="150"/>
        <c:shape val="cylinder"/>
        <c:axId val="257304832"/>
        <c:axId val="257307008"/>
        <c:axId val="0"/>
      </c:bar3DChart>
      <c:catAx>
        <c:axId val="257304832"/>
        <c:scaling>
          <c:orientation val="minMax"/>
        </c:scaling>
        <c:delete val="0"/>
        <c:axPos val="b"/>
        <c:title>
          <c:tx>
            <c:rich>
              <a:bodyPr/>
              <a:lstStyle/>
              <a:p>
                <a:pPr>
                  <a:defRPr/>
                </a:pPr>
                <a:r>
                  <a:rPr lang="en-US"/>
                  <a:t>Platelet Count</a:t>
                </a:r>
              </a:p>
            </c:rich>
          </c:tx>
          <c:overlay val="0"/>
        </c:title>
        <c:majorTickMark val="out"/>
        <c:minorTickMark val="none"/>
        <c:tickLblPos val="nextTo"/>
        <c:crossAx val="257307008"/>
        <c:crosses val="autoZero"/>
        <c:auto val="1"/>
        <c:lblAlgn val="ctr"/>
        <c:lblOffset val="100"/>
        <c:noMultiLvlLbl val="0"/>
      </c:catAx>
      <c:valAx>
        <c:axId val="257307008"/>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57304832"/>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Sheet1!$A$153:$A$155</c:f>
              <c:strCache>
                <c:ptCount val="3"/>
                <c:pt idx="0">
                  <c:v>·0</c:v>
                </c:pt>
                <c:pt idx="1">
                  <c:v>·0-42</c:v>
                </c:pt>
                <c:pt idx="2">
                  <c:v>·&gt;42</c:v>
                </c:pt>
              </c:strCache>
            </c:strRef>
          </c:cat>
          <c:val>
            <c:numRef>
              <c:f>Sheet1!$B$153:$B$155</c:f>
              <c:numCache>
                <c:formatCode>General</c:formatCode>
                <c:ptCount val="3"/>
                <c:pt idx="0">
                  <c:v>0</c:v>
                </c:pt>
                <c:pt idx="1">
                  <c:v>73</c:v>
                </c:pt>
                <c:pt idx="2">
                  <c:v>27</c:v>
                </c:pt>
              </c:numCache>
            </c:numRef>
          </c:val>
        </c:ser>
        <c:dLbls>
          <c:showLegendKey val="0"/>
          <c:showVal val="0"/>
          <c:showCatName val="0"/>
          <c:showSerName val="0"/>
          <c:showPercent val="0"/>
          <c:showBubbleSize val="0"/>
        </c:dLbls>
        <c:gapWidth val="150"/>
        <c:shape val="cylinder"/>
        <c:axId val="257339776"/>
        <c:axId val="257341696"/>
        <c:axId val="0"/>
      </c:bar3DChart>
      <c:catAx>
        <c:axId val="257339776"/>
        <c:scaling>
          <c:orientation val="minMax"/>
        </c:scaling>
        <c:delete val="0"/>
        <c:axPos val="b"/>
        <c:title>
          <c:tx>
            <c:rich>
              <a:bodyPr/>
              <a:lstStyle/>
              <a:p>
                <a:pPr>
                  <a:defRPr/>
                </a:pPr>
                <a:r>
                  <a:rPr lang="en-US"/>
                  <a:t>SGOT</a:t>
                </a:r>
              </a:p>
            </c:rich>
          </c:tx>
          <c:overlay val="0"/>
        </c:title>
        <c:majorTickMark val="out"/>
        <c:minorTickMark val="none"/>
        <c:tickLblPos val="nextTo"/>
        <c:crossAx val="257341696"/>
        <c:crosses val="autoZero"/>
        <c:auto val="1"/>
        <c:lblAlgn val="ctr"/>
        <c:lblOffset val="100"/>
        <c:noMultiLvlLbl val="0"/>
      </c:catAx>
      <c:valAx>
        <c:axId val="25734169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57339776"/>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Sheet1!$A$157:$A$159</c:f>
              <c:strCache>
                <c:ptCount val="3"/>
                <c:pt idx="0">
                  <c:v>·0</c:v>
                </c:pt>
                <c:pt idx="1">
                  <c:v>·0-48</c:v>
                </c:pt>
                <c:pt idx="2">
                  <c:v>·&gt;48</c:v>
                </c:pt>
              </c:strCache>
            </c:strRef>
          </c:cat>
          <c:val>
            <c:numRef>
              <c:f>Sheet1!$B$157:$B$159</c:f>
              <c:numCache>
                <c:formatCode>General</c:formatCode>
                <c:ptCount val="3"/>
                <c:pt idx="0">
                  <c:v>0</c:v>
                </c:pt>
                <c:pt idx="1">
                  <c:v>84</c:v>
                </c:pt>
                <c:pt idx="2">
                  <c:v>16</c:v>
                </c:pt>
              </c:numCache>
            </c:numRef>
          </c:val>
        </c:ser>
        <c:dLbls>
          <c:showLegendKey val="0"/>
          <c:showVal val="0"/>
          <c:showCatName val="0"/>
          <c:showSerName val="0"/>
          <c:showPercent val="0"/>
          <c:showBubbleSize val="0"/>
        </c:dLbls>
        <c:gapWidth val="150"/>
        <c:shape val="cylinder"/>
        <c:axId val="257325312"/>
        <c:axId val="282296704"/>
        <c:axId val="0"/>
      </c:bar3DChart>
      <c:catAx>
        <c:axId val="257325312"/>
        <c:scaling>
          <c:orientation val="minMax"/>
        </c:scaling>
        <c:delete val="0"/>
        <c:axPos val="b"/>
        <c:title>
          <c:tx>
            <c:rich>
              <a:bodyPr/>
              <a:lstStyle/>
              <a:p>
                <a:pPr>
                  <a:defRPr/>
                </a:pPr>
                <a:r>
                  <a:rPr lang="en-US"/>
                  <a:t>SGPT</a:t>
                </a:r>
              </a:p>
            </c:rich>
          </c:tx>
          <c:overlay val="0"/>
        </c:title>
        <c:majorTickMark val="out"/>
        <c:minorTickMark val="none"/>
        <c:tickLblPos val="nextTo"/>
        <c:crossAx val="282296704"/>
        <c:crosses val="autoZero"/>
        <c:auto val="1"/>
        <c:lblAlgn val="ctr"/>
        <c:lblOffset val="100"/>
        <c:noMultiLvlLbl val="0"/>
      </c:catAx>
      <c:valAx>
        <c:axId val="282296704"/>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57325312"/>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Sheet1!$A$161:$A$163</c:f>
              <c:strCache>
                <c:ptCount val="3"/>
                <c:pt idx="0">
                  <c:v>·&lt;25</c:v>
                </c:pt>
                <c:pt idx="1">
                  <c:v>·25-125</c:v>
                </c:pt>
                <c:pt idx="2">
                  <c:v>·&gt;125</c:v>
                </c:pt>
              </c:strCache>
            </c:strRef>
          </c:cat>
          <c:val>
            <c:numRef>
              <c:f>Sheet1!$B$161:$B$163</c:f>
              <c:numCache>
                <c:formatCode>General</c:formatCode>
                <c:ptCount val="3"/>
                <c:pt idx="0">
                  <c:v>1</c:v>
                </c:pt>
                <c:pt idx="1">
                  <c:v>78</c:v>
                </c:pt>
                <c:pt idx="2">
                  <c:v>21</c:v>
                </c:pt>
              </c:numCache>
            </c:numRef>
          </c:val>
        </c:ser>
        <c:dLbls>
          <c:showLegendKey val="0"/>
          <c:showVal val="0"/>
          <c:showCatName val="0"/>
          <c:showSerName val="0"/>
          <c:showPercent val="0"/>
          <c:showBubbleSize val="0"/>
        </c:dLbls>
        <c:gapWidth val="150"/>
        <c:shape val="cylinder"/>
        <c:axId val="99221888"/>
        <c:axId val="99223808"/>
        <c:axId val="0"/>
      </c:bar3DChart>
      <c:catAx>
        <c:axId val="99221888"/>
        <c:scaling>
          <c:orientation val="minMax"/>
        </c:scaling>
        <c:delete val="0"/>
        <c:axPos val="b"/>
        <c:title>
          <c:tx>
            <c:rich>
              <a:bodyPr/>
              <a:lstStyle/>
              <a:p>
                <a:pPr>
                  <a:defRPr/>
                </a:pPr>
                <a:r>
                  <a:rPr lang="en-US"/>
                  <a:t>ALP</a:t>
                </a:r>
              </a:p>
            </c:rich>
          </c:tx>
          <c:overlay val="0"/>
        </c:title>
        <c:majorTickMark val="out"/>
        <c:minorTickMark val="none"/>
        <c:tickLblPos val="nextTo"/>
        <c:crossAx val="99223808"/>
        <c:crosses val="autoZero"/>
        <c:auto val="1"/>
        <c:lblAlgn val="ctr"/>
        <c:lblOffset val="100"/>
        <c:noMultiLvlLbl val="0"/>
      </c:catAx>
      <c:valAx>
        <c:axId val="99223808"/>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99221888"/>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Sheet1!$A$169:$A$171</c:f>
              <c:strCache>
                <c:ptCount val="3"/>
                <c:pt idx="0">
                  <c:v>·&lt;10</c:v>
                </c:pt>
                <c:pt idx="1">
                  <c:v>·10-15</c:v>
                </c:pt>
                <c:pt idx="2">
                  <c:v>·&gt;15</c:v>
                </c:pt>
              </c:strCache>
            </c:strRef>
          </c:cat>
          <c:val>
            <c:numRef>
              <c:f>Sheet1!$B$169:$B$171</c:f>
              <c:numCache>
                <c:formatCode>General</c:formatCode>
                <c:ptCount val="3"/>
                <c:pt idx="0">
                  <c:v>46</c:v>
                </c:pt>
                <c:pt idx="1">
                  <c:v>48</c:v>
                </c:pt>
                <c:pt idx="2">
                  <c:v>6</c:v>
                </c:pt>
              </c:numCache>
            </c:numRef>
          </c:val>
        </c:ser>
        <c:dLbls>
          <c:showLegendKey val="0"/>
          <c:showVal val="0"/>
          <c:showCatName val="0"/>
          <c:showSerName val="0"/>
          <c:showPercent val="0"/>
          <c:showBubbleSize val="0"/>
        </c:dLbls>
        <c:gapWidth val="150"/>
        <c:shape val="cylinder"/>
        <c:axId val="99256576"/>
        <c:axId val="99262848"/>
        <c:axId val="0"/>
      </c:bar3DChart>
      <c:catAx>
        <c:axId val="99256576"/>
        <c:scaling>
          <c:orientation val="minMax"/>
        </c:scaling>
        <c:delete val="0"/>
        <c:axPos val="b"/>
        <c:title>
          <c:tx>
            <c:rich>
              <a:bodyPr/>
              <a:lstStyle/>
              <a:p>
                <a:pPr>
                  <a:defRPr/>
                </a:pPr>
                <a:r>
                  <a:rPr lang="en-US"/>
                  <a:t>Insulin</a:t>
                </a:r>
              </a:p>
            </c:rich>
          </c:tx>
          <c:overlay val="0"/>
        </c:title>
        <c:majorTickMark val="out"/>
        <c:minorTickMark val="none"/>
        <c:tickLblPos val="nextTo"/>
        <c:crossAx val="99262848"/>
        <c:crosses val="autoZero"/>
        <c:auto val="1"/>
        <c:lblAlgn val="ctr"/>
        <c:lblOffset val="100"/>
        <c:noMultiLvlLbl val="0"/>
      </c:catAx>
      <c:valAx>
        <c:axId val="99262848"/>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99256576"/>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Sheet1!$A$173:$A$176</c:f>
              <c:strCache>
                <c:ptCount val="4"/>
                <c:pt idx="0">
                  <c:v>·&lt;15</c:v>
                </c:pt>
                <c:pt idx="1">
                  <c:v>·15-21</c:v>
                </c:pt>
                <c:pt idx="2">
                  <c:v>·22-33</c:v>
                </c:pt>
                <c:pt idx="3">
                  <c:v>·&gt;33</c:v>
                </c:pt>
              </c:strCache>
            </c:strRef>
          </c:cat>
          <c:val>
            <c:numRef>
              <c:f>Sheet1!$B$173:$B$176</c:f>
              <c:numCache>
                <c:formatCode>General</c:formatCode>
                <c:ptCount val="4"/>
                <c:pt idx="0">
                  <c:v>11</c:v>
                </c:pt>
                <c:pt idx="1">
                  <c:v>23</c:v>
                </c:pt>
                <c:pt idx="2">
                  <c:v>24</c:v>
                </c:pt>
                <c:pt idx="3">
                  <c:v>42</c:v>
                </c:pt>
              </c:numCache>
            </c:numRef>
          </c:val>
        </c:ser>
        <c:dLbls>
          <c:showLegendKey val="0"/>
          <c:showVal val="0"/>
          <c:showCatName val="0"/>
          <c:showSerName val="0"/>
          <c:showPercent val="0"/>
          <c:showBubbleSize val="0"/>
        </c:dLbls>
        <c:gapWidth val="150"/>
        <c:shape val="cylinder"/>
        <c:axId val="184426880"/>
        <c:axId val="184428800"/>
        <c:axId val="0"/>
      </c:bar3DChart>
      <c:catAx>
        <c:axId val="184426880"/>
        <c:scaling>
          <c:orientation val="minMax"/>
        </c:scaling>
        <c:delete val="0"/>
        <c:axPos val="b"/>
        <c:title>
          <c:tx>
            <c:rich>
              <a:bodyPr/>
              <a:lstStyle/>
              <a:p>
                <a:pPr>
                  <a:defRPr/>
                </a:pPr>
                <a:r>
                  <a:rPr lang="en-US"/>
                  <a:t>GGT</a:t>
                </a:r>
              </a:p>
            </c:rich>
          </c:tx>
          <c:overlay val="0"/>
        </c:title>
        <c:majorTickMark val="out"/>
        <c:minorTickMark val="none"/>
        <c:tickLblPos val="nextTo"/>
        <c:crossAx val="184428800"/>
        <c:crosses val="autoZero"/>
        <c:auto val="1"/>
        <c:lblAlgn val="ctr"/>
        <c:lblOffset val="100"/>
        <c:noMultiLvlLbl val="0"/>
      </c:catAx>
      <c:valAx>
        <c:axId val="18442880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184426880"/>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Sheet1!$A$178:$A$180</c:f>
              <c:strCache>
                <c:ptCount val="3"/>
                <c:pt idx="0">
                  <c:v>·&lt;5</c:v>
                </c:pt>
                <c:pt idx="1">
                  <c:v>·5-10</c:v>
                </c:pt>
                <c:pt idx="2">
                  <c:v>·&gt;10</c:v>
                </c:pt>
              </c:strCache>
            </c:strRef>
          </c:cat>
          <c:val>
            <c:numRef>
              <c:f>Sheet1!$B$178:$B$180</c:f>
              <c:numCache>
                <c:formatCode>General</c:formatCode>
                <c:ptCount val="3"/>
                <c:pt idx="0">
                  <c:v>42</c:v>
                </c:pt>
                <c:pt idx="1">
                  <c:v>52</c:v>
                </c:pt>
                <c:pt idx="2">
                  <c:v>6</c:v>
                </c:pt>
              </c:numCache>
            </c:numRef>
          </c:val>
        </c:ser>
        <c:dLbls>
          <c:showLegendKey val="0"/>
          <c:showVal val="0"/>
          <c:showCatName val="0"/>
          <c:showSerName val="0"/>
          <c:showPercent val="0"/>
          <c:showBubbleSize val="0"/>
        </c:dLbls>
        <c:gapWidth val="150"/>
        <c:shape val="cylinder"/>
        <c:axId val="184453376"/>
        <c:axId val="184455552"/>
        <c:axId val="0"/>
      </c:bar3DChart>
      <c:catAx>
        <c:axId val="184453376"/>
        <c:scaling>
          <c:orientation val="minMax"/>
        </c:scaling>
        <c:delete val="0"/>
        <c:axPos val="b"/>
        <c:title>
          <c:tx>
            <c:rich>
              <a:bodyPr/>
              <a:lstStyle/>
              <a:p>
                <a:pPr>
                  <a:defRPr/>
                </a:pPr>
                <a:r>
                  <a:rPr lang="en-US"/>
                  <a:t>HOMA</a:t>
                </a:r>
              </a:p>
            </c:rich>
          </c:tx>
          <c:overlay val="0"/>
        </c:title>
        <c:majorTickMark val="out"/>
        <c:minorTickMark val="none"/>
        <c:tickLblPos val="nextTo"/>
        <c:crossAx val="184455552"/>
        <c:crosses val="autoZero"/>
        <c:auto val="1"/>
        <c:lblAlgn val="ctr"/>
        <c:lblOffset val="100"/>
        <c:noMultiLvlLbl val="0"/>
      </c:catAx>
      <c:valAx>
        <c:axId val="184455552"/>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184453376"/>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Sheet1!$B$184</c:f>
              <c:strCache>
                <c:ptCount val="1"/>
                <c:pt idx="0">
                  <c:v>&lt;15</c:v>
                </c:pt>
              </c:strCache>
            </c:strRef>
          </c:tx>
          <c:invertIfNegative val="0"/>
          <c:cat>
            <c:strRef>
              <c:f>Sheet1!$A$185:$A$191</c:f>
              <c:strCache>
                <c:ptCount val="7"/>
                <c:pt idx="0">
                  <c:v>21-30</c:v>
                </c:pt>
                <c:pt idx="1">
                  <c:v>31-40</c:v>
                </c:pt>
                <c:pt idx="2">
                  <c:v>41-50</c:v>
                </c:pt>
                <c:pt idx="3">
                  <c:v>51-60</c:v>
                </c:pt>
                <c:pt idx="4">
                  <c:v>61-70</c:v>
                </c:pt>
                <c:pt idx="5">
                  <c:v>71-80</c:v>
                </c:pt>
                <c:pt idx="6">
                  <c:v>&gt;80</c:v>
                </c:pt>
              </c:strCache>
            </c:strRef>
          </c:cat>
          <c:val>
            <c:numRef>
              <c:f>Sheet1!$B$185:$B$191</c:f>
              <c:numCache>
                <c:formatCode>General</c:formatCode>
                <c:ptCount val="7"/>
                <c:pt idx="0">
                  <c:v>0</c:v>
                </c:pt>
                <c:pt idx="1">
                  <c:v>0</c:v>
                </c:pt>
                <c:pt idx="2">
                  <c:v>18.2</c:v>
                </c:pt>
                <c:pt idx="3">
                  <c:v>36.4</c:v>
                </c:pt>
                <c:pt idx="4">
                  <c:v>45.5</c:v>
                </c:pt>
                <c:pt idx="5">
                  <c:v>0</c:v>
                </c:pt>
                <c:pt idx="6">
                  <c:v>0</c:v>
                </c:pt>
              </c:numCache>
            </c:numRef>
          </c:val>
        </c:ser>
        <c:ser>
          <c:idx val="1"/>
          <c:order val="1"/>
          <c:tx>
            <c:strRef>
              <c:f>Sheet1!$C$184</c:f>
              <c:strCache>
                <c:ptCount val="1"/>
                <c:pt idx="0">
                  <c:v>15-21</c:v>
                </c:pt>
              </c:strCache>
            </c:strRef>
          </c:tx>
          <c:invertIfNegative val="0"/>
          <c:cat>
            <c:strRef>
              <c:f>Sheet1!$A$185:$A$191</c:f>
              <c:strCache>
                <c:ptCount val="7"/>
                <c:pt idx="0">
                  <c:v>21-30</c:v>
                </c:pt>
                <c:pt idx="1">
                  <c:v>31-40</c:v>
                </c:pt>
                <c:pt idx="2">
                  <c:v>41-50</c:v>
                </c:pt>
                <c:pt idx="3">
                  <c:v>51-60</c:v>
                </c:pt>
                <c:pt idx="4">
                  <c:v>61-70</c:v>
                </c:pt>
                <c:pt idx="5">
                  <c:v>71-80</c:v>
                </c:pt>
                <c:pt idx="6">
                  <c:v>&gt;80</c:v>
                </c:pt>
              </c:strCache>
            </c:strRef>
          </c:cat>
          <c:val>
            <c:numRef>
              <c:f>Sheet1!$C$185:$C$191</c:f>
              <c:numCache>
                <c:formatCode>General</c:formatCode>
                <c:ptCount val="7"/>
                <c:pt idx="0">
                  <c:v>8.6999999999999993</c:v>
                </c:pt>
                <c:pt idx="1">
                  <c:v>8.6999999999999993</c:v>
                </c:pt>
                <c:pt idx="2">
                  <c:v>13</c:v>
                </c:pt>
                <c:pt idx="3">
                  <c:v>17.399999999999999</c:v>
                </c:pt>
                <c:pt idx="4">
                  <c:v>34.799999999999997</c:v>
                </c:pt>
                <c:pt idx="5">
                  <c:v>17.399999999999999</c:v>
                </c:pt>
                <c:pt idx="6">
                  <c:v>0</c:v>
                </c:pt>
              </c:numCache>
            </c:numRef>
          </c:val>
        </c:ser>
        <c:ser>
          <c:idx val="2"/>
          <c:order val="2"/>
          <c:tx>
            <c:strRef>
              <c:f>Sheet1!$D$184</c:f>
              <c:strCache>
                <c:ptCount val="1"/>
                <c:pt idx="0">
                  <c:v>22-33</c:v>
                </c:pt>
              </c:strCache>
            </c:strRef>
          </c:tx>
          <c:invertIfNegative val="0"/>
          <c:cat>
            <c:strRef>
              <c:f>Sheet1!$A$185:$A$191</c:f>
              <c:strCache>
                <c:ptCount val="7"/>
                <c:pt idx="0">
                  <c:v>21-30</c:v>
                </c:pt>
                <c:pt idx="1">
                  <c:v>31-40</c:v>
                </c:pt>
                <c:pt idx="2">
                  <c:v>41-50</c:v>
                </c:pt>
                <c:pt idx="3">
                  <c:v>51-60</c:v>
                </c:pt>
                <c:pt idx="4">
                  <c:v>61-70</c:v>
                </c:pt>
                <c:pt idx="5">
                  <c:v>71-80</c:v>
                </c:pt>
                <c:pt idx="6">
                  <c:v>&gt;80</c:v>
                </c:pt>
              </c:strCache>
            </c:strRef>
          </c:cat>
          <c:val>
            <c:numRef>
              <c:f>Sheet1!$D$185:$D$191</c:f>
              <c:numCache>
                <c:formatCode>General</c:formatCode>
                <c:ptCount val="7"/>
                <c:pt idx="0">
                  <c:v>0</c:v>
                </c:pt>
                <c:pt idx="1">
                  <c:v>4.2</c:v>
                </c:pt>
                <c:pt idx="2">
                  <c:v>20.8</c:v>
                </c:pt>
                <c:pt idx="3">
                  <c:v>25</c:v>
                </c:pt>
                <c:pt idx="4">
                  <c:v>33.299999999999997</c:v>
                </c:pt>
                <c:pt idx="5">
                  <c:v>12.5</c:v>
                </c:pt>
                <c:pt idx="6">
                  <c:v>4.2</c:v>
                </c:pt>
              </c:numCache>
            </c:numRef>
          </c:val>
        </c:ser>
        <c:ser>
          <c:idx val="3"/>
          <c:order val="3"/>
          <c:tx>
            <c:strRef>
              <c:f>Sheet1!$E$184</c:f>
              <c:strCache>
                <c:ptCount val="1"/>
                <c:pt idx="0">
                  <c:v>&gt;33</c:v>
                </c:pt>
              </c:strCache>
            </c:strRef>
          </c:tx>
          <c:invertIfNegative val="0"/>
          <c:cat>
            <c:strRef>
              <c:f>Sheet1!$A$185:$A$191</c:f>
              <c:strCache>
                <c:ptCount val="7"/>
                <c:pt idx="0">
                  <c:v>21-30</c:v>
                </c:pt>
                <c:pt idx="1">
                  <c:v>31-40</c:v>
                </c:pt>
                <c:pt idx="2">
                  <c:v>41-50</c:v>
                </c:pt>
                <c:pt idx="3">
                  <c:v>51-60</c:v>
                </c:pt>
                <c:pt idx="4">
                  <c:v>61-70</c:v>
                </c:pt>
                <c:pt idx="5">
                  <c:v>71-80</c:v>
                </c:pt>
                <c:pt idx="6">
                  <c:v>&gt;80</c:v>
                </c:pt>
              </c:strCache>
            </c:strRef>
          </c:cat>
          <c:val>
            <c:numRef>
              <c:f>Sheet1!$E$185:$E$191</c:f>
              <c:numCache>
                <c:formatCode>General</c:formatCode>
                <c:ptCount val="7"/>
                <c:pt idx="0">
                  <c:v>2.4</c:v>
                </c:pt>
                <c:pt idx="1">
                  <c:v>14.3</c:v>
                </c:pt>
                <c:pt idx="2">
                  <c:v>14.3</c:v>
                </c:pt>
                <c:pt idx="3">
                  <c:v>40.5</c:v>
                </c:pt>
                <c:pt idx="4">
                  <c:v>23.8</c:v>
                </c:pt>
                <c:pt idx="5">
                  <c:v>4.8</c:v>
                </c:pt>
                <c:pt idx="6">
                  <c:v>0</c:v>
                </c:pt>
              </c:numCache>
            </c:numRef>
          </c:val>
        </c:ser>
        <c:dLbls>
          <c:showLegendKey val="0"/>
          <c:showVal val="0"/>
          <c:showCatName val="0"/>
          <c:showSerName val="0"/>
          <c:showPercent val="0"/>
          <c:showBubbleSize val="0"/>
        </c:dLbls>
        <c:gapWidth val="150"/>
        <c:shape val="cylinder"/>
        <c:axId val="224414336"/>
        <c:axId val="224428800"/>
        <c:axId val="0"/>
      </c:bar3DChart>
      <c:catAx>
        <c:axId val="224414336"/>
        <c:scaling>
          <c:orientation val="minMax"/>
        </c:scaling>
        <c:delete val="0"/>
        <c:axPos val="b"/>
        <c:title>
          <c:tx>
            <c:rich>
              <a:bodyPr/>
              <a:lstStyle/>
              <a:p>
                <a:pPr>
                  <a:defRPr/>
                </a:pPr>
                <a:r>
                  <a:rPr lang="en-US"/>
                  <a:t>Age in years</a:t>
                </a:r>
              </a:p>
            </c:rich>
          </c:tx>
          <c:overlay val="0"/>
        </c:title>
        <c:majorTickMark val="out"/>
        <c:minorTickMark val="none"/>
        <c:tickLblPos val="nextTo"/>
        <c:crossAx val="224428800"/>
        <c:crosses val="autoZero"/>
        <c:auto val="1"/>
        <c:lblAlgn val="ctr"/>
        <c:lblOffset val="100"/>
        <c:noMultiLvlLbl val="0"/>
      </c:catAx>
      <c:valAx>
        <c:axId val="22442880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24414336"/>
        <c:crosses val="autoZero"/>
        <c:crossBetween val="between"/>
      </c:valAx>
    </c:plotArea>
    <c:legend>
      <c:legendPos val="r"/>
      <c:layout>
        <c:manualLayout>
          <c:xMode val="edge"/>
          <c:yMode val="edge"/>
          <c:x val="0.82132086614173228"/>
          <c:y val="0.17052857976086322"/>
          <c:w val="0.11201246719160103"/>
          <c:h val="0.33486876640419949"/>
        </c:manualLayout>
      </c:layout>
      <c:overlay val="0"/>
    </c:legend>
    <c:plotVisOnly val="1"/>
    <c:dispBlanksAs val="gap"/>
    <c:showDLblsOverMax val="0"/>
  </c:chart>
  <c:spPr>
    <a:ln>
      <a:noFill/>
    </a:ln>
  </c:spPr>
  <c:externalData r:id="rId2">
    <c:autoUpdate val="0"/>
  </c:externalData>
  <c:userShapes r:id="rId3"/>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Sheet1!$A$198</c:f>
              <c:strCache>
                <c:ptCount val="1"/>
                <c:pt idx="0">
                  <c:v>Female</c:v>
                </c:pt>
              </c:strCache>
            </c:strRef>
          </c:tx>
          <c:spPr>
            <a:pattFill prst="solidDmnd">
              <a:fgClr>
                <a:srgbClr val="4F81BD">
                  <a:lumMod val="100000"/>
                </a:srgbClr>
              </a:fgClr>
              <a:bgClr>
                <a:srgbClr val="FF0000"/>
              </a:bgClr>
            </a:pattFill>
          </c:spPr>
          <c:invertIfNegative val="0"/>
          <c:cat>
            <c:strRef>
              <c:f>Sheet1!$B$197:$E$197</c:f>
              <c:strCache>
                <c:ptCount val="4"/>
                <c:pt idx="0">
                  <c:v>&lt;15</c:v>
                </c:pt>
                <c:pt idx="1">
                  <c:v>15-21</c:v>
                </c:pt>
                <c:pt idx="2">
                  <c:v>22-33</c:v>
                </c:pt>
                <c:pt idx="3">
                  <c:v>&gt;33</c:v>
                </c:pt>
              </c:strCache>
            </c:strRef>
          </c:cat>
          <c:val>
            <c:numRef>
              <c:f>Sheet1!$B$198:$E$198</c:f>
              <c:numCache>
                <c:formatCode>General</c:formatCode>
                <c:ptCount val="4"/>
                <c:pt idx="0">
                  <c:v>45.5</c:v>
                </c:pt>
                <c:pt idx="1">
                  <c:v>65.2</c:v>
                </c:pt>
                <c:pt idx="2">
                  <c:v>37.5</c:v>
                </c:pt>
                <c:pt idx="3">
                  <c:v>40.5</c:v>
                </c:pt>
              </c:numCache>
            </c:numRef>
          </c:val>
        </c:ser>
        <c:ser>
          <c:idx val="1"/>
          <c:order val="1"/>
          <c:tx>
            <c:strRef>
              <c:f>Sheet1!$A$199</c:f>
              <c:strCache>
                <c:ptCount val="1"/>
                <c:pt idx="0">
                  <c:v>Male</c:v>
                </c:pt>
              </c:strCache>
            </c:strRef>
          </c:tx>
          <c:spPr>
            <a:pattFill prst="solidDmnd">
              <a:fgClr>
                <a:srgbClr val="4F81BD">
                  <a:lumMod val="100000"/>
                </a:srgbClr>
              </a:fgClr>
              <a:bgClr>
                <a:srgbClr val="00B050"/>
              </a:bgClr>
            </a:pattFill>
          </c:spPr>
          <c:invertIfNegative val="0"/>
          <c:cat>
            <c:strRef>
              <c:f>Sheet1!$B$197:$E$197</c:f>
              <c:strCache>
                <c:ptCount val="4"/>
                <c:pt idx="0">
                  <c:v>&lt;15</c:v>
                </c:pt>
                <c:pt idx="1">
                  <c:v>15-21</c:v>
                </c:pt>
                <c:pt idx="2">
                  <c:v>22-33</c:v>
                </c:pt>
                <c:pt idx="3">
                  <c:v>&gt;33</c:v>
                </c:pt>
              </c:strCache>
            </c:strRef>
          </c:cat>
          <c:val>
            <c:numRef>
              <c:f>Sheet1!$B$199:$E$199</c:f>
              <c:numCache>
                <c:formatCode>General</c:formatCode>
                <c:ptCount val="4"/>
                <c:pt idx="0">
                  <c:v>54.5</c:v>
                </c:pt>
                <c:pt idx="1">
                  <c:v>34.799999999999997</c:v>
                </c:pt>
                <c:pt idx="2">
                  <c:v>62.5</c:v>
                </c:pt>
                <c:pt idx="3">
                  <c:v>59.5</c:v>
                </c:pt>
              </c:numCache>
            </c:numRef>
          </c:val>
        </c:ser>
        <c:dLbls>
          <c:showLegendKey val="0"/>
          <c:showVal val="0"/>
          <c:showCatName val="0"/>
          <c:showSerName val="0"/>
          <c:showPercent val="0"/>
          <c:showBubbleSize val="0"/>
        </c:dLbls>
        <c:gapWidth val="150"/>
        <c:shape val="cylinder"/>
        <c:axId val="227940608"/>
        <c:axId val="227946880"/>
        <c:axId val="0"/>
      </c:bar3DChart>
      <c:catAx>
        <c:axId val="227940608"/>
        <c:scaling>
          <c:orientation val="minMax"/>
        </c:scaling>
        <c:delete val="0"/>
        <c:axPos val="b"/>
        <c:title>
          <c:tx>
            <c:rich>
              <a:bodyPr/>
              <a:lstStyle/>
              <a:p>
                <a:pPr>
                  <a:defRPr/>
                </a:pPr>
                <a:r>
                  <a:rPr lang="en-US"/>
                  <a:t>GGT</a:t>
                </a:r>
              </a:p>
            </c:rich>
          </c:tx>
          <c:overlay val="0"/>
        </c:title>
        <c:majorTickMark val="out"/>
        <c:minorTickMark val="none"/>
        <c:tickLblPos val="nextTo"/>
        <c:crossAx val="227946880"/>
        <c:crosses val="autoZero"/>
        <c:auto val="1"/>
        <c:lblAlgn val="ctr"/>
        <c:lblOffset val="100"/>
        <c:noMultiLvlLbl val="0"/>
      </c:catAx>
      <c:valAx>
        <c:axId val="22794688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27940608"/>
        <c:crosses val="autoZero"/>
        <c:crossBetween val="between"/>
      </c:valAx>
    </c:plotArea>
    <c:legend>
      <c:legendPos val="r"/>
      <c:layout>
        <c:manualLayout>
          <c:xMode val="edge"/>
          <c:yMode val="edge"/>
          <c:x val="0.84554265091863512"/>
          <c:y val="0.14776428988043161"/>
          <c:w val="0.12945734908136483"/>
          <c:h val="0.16743438320209975"/>
        </c:manualLayout>
      </c:layout>
      <c:overlay val="0"/>
    </c:legend>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Sheet1!$B$23</c:f>
              <c:strCache>
                <c:ptCount val="1"/>
                <c:pt idx="0">
                  <c:v>Female</c:v>
                </c:pt>
              </c:strCache>
            </c:strRef>
          </c:tx>
          <c:spPr>
            <a:pattFill prst="solidDmnd">
              <a:fgClr>
                <a:schemeClr val="accent1"/>
              </a:fgClr>
              <a:bgClr>
                <a:srgbClr val="FF0000"/>
              </a:bgClr>
            </a:pattFill>
          </c:spPr>
          <c:invertIfNegative val="0"/>
          <c:cat>
            <c:strRef>
              <c:f>Sheet1!$A$25:$A$27</c:f>
              <c:strCache>
                <c:ptCount val="3"/>
                <c:pt idx="0">
                  <c:v>DM</c:v>
                </c:pt>
                <c:pt idx="1">
                  <c:v>HTN</c:v>
                </c:pt>
                <c:pt idx="2">
                  <c:v>Dyslipidemia</c:v>
                </c:pt>
              </c:strCache>
            </c:strRef>
          </c:cat>
          <c:val>
            <c:numRef>
              <c:f>Sheet1!$B$25:$B$27</c:f>
              <c:numCache>
                <c:formatCode>General</c:formatCode>
                <c:ptCount val="3"/>
                <c:pt idx="0">
                  <c:v>87</c:v>
                </c:pt>
                <c:pt idx="1">
                  <c:v>69.599999999999994</c:v>
                </c:pt>
                <c:pt idx="2">
                  <c:v>67.400000000000006</c:v>
                </c:pt>
              </c:numCache>
            </c:numRef>
          </c:val>
        </c:ser>
        <c:ser>
          <c:idx val="1"/>
          <c:order val="1"/>
          <c:tx>
            <c:strRef>
              <c:f>Sheet1!$C$23</c:f>
              <c:strCache>
                <c:ptCount val="1"/>
                <c:pt idx="0">
                  <c:v>Male</c:v>
                </c:pt>
              </c:strCache>
            </c:strRef>
          </c:tx>
          <c:spPr>
            <a:pattFill prst="solidDmnd">
              <a:fgClr>
                <a:schemeClr val="accent1"/>
              </a:fgClr>
              <a:bgClr>
                <a:srgbClr val="00B050"/>
              </a:bgClr>
            </a:pattFill>
          </c:spPr>
          <c:invertIfNegative val="0"/>
          <c:cat>
            <c:strRef>
              <c:f>Sheet1!$A$25:$A$27</c:f>
              <c:strCache>
                <c:ptCount val="3"/>
                <c:pt idx="0">
                  <c:v>DM</c:v>
                </c:pt>
                <c:pt idx="1">
                  <c:v>HTN</c:v>
                </c:pt>
                <c:pt idx="2">
                  <c:v>Dyslipidemia</c:v>
                </c:pt>
              </c:strCache>
            </c:strRef>
          </c:cat>
          <c:val>
            <c:numRef>
              <c:f>Sheet1!$C$25:$C$27</c:f>
              <c:numCache>
                <c:formatCode>General</c:formatCode>
                <c:ptCount val="3"/>
                <c:pt idx="0">
                  <c:v>83.3</c:v>
                </c:pt>
                <c:pt idx="1">
                  <c:v>81.5</c:v>
                </c:pt>
                <c:pt idx="2">
                  <c:v>51.9</c:v>
                </c:pt>
              </c:numCache>
            </c:numRef>
          </c:val>
        </c:ser>
        <c:dLbls>
          <c:showLegendKey val="0"/>
          <c:showVal val="0"/>
          <c:showCatName val="0"/>
          <c:showSerName val="0"/>
          <c:showPercent val="0"/>
          <c:showBubbleSize val="0"/>
        </c:dLbls>
        <c:gapWidth val="150"/>
        <c:shape val="cylinder"/>
        <c:axId val="68189184"/>
        <c:axId val="68195456"/>
        <c:axId val="0"/>
      </c:bar3DChart>
      <c:catAx>
        <c:axId val="68189184"/>
        <c:scaling>
          <c:orientation val="minMax"/>
        </c:scaling>
        <c:delete val="0"/>
        <c:axPos val="b"/>
        <c:title>
          <c:tx>
            <c:rich>
              <a:bodyPr/>
              <a:lstStyle/>
              <a:p>
                <a:pPr>
                  <a:defRPr/>
                </a:pPr>
                <a:r>
                  <a:rPr lang="en-US"/>
                  <a:t>Co-morbid conditions</a:t>
                </a:r>
              </a:p>
            </c:rich>
          </c:tx>
          <c:overlay val="0"/>
        </c:title>
        <c:majorTickMark val="out"/>
        <c:minorTickMark val="none"/>
        <c:tickLblPos val="nextTo"/>
        <c:crossAx val="68195456"/>
        <c:crosses val="autoZero"/>
        <c:auto val="1"/>
        <c:lblAlgn val="ctr"/>
        <c:lblOffset val="100"/>
        <c:noMultiLvlLbl val="0"/>
      </c:catAx>
      <c:valAx>
        <c:axId val="6819545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68189184"/>
        <c:crosses val="autoZero"/>
        <c:crossBetween val="between"/>
      </c:valAx>
    </c:plotArea>
    <c:legend>
      <c:legendPos val="r"/>
      <c:layout>
        <c:manualLayout>
          <c:xMode val="edge"/>
          <c:yMode val="edge"/>
          <c:x val="0.79554265091863507"/>
          <c:y val="6.9060586176727903E-2"/>
          <c:w val="0.12945734908136483"/>
          <c:h val="0.16743438320209975"/>
        </c:manualLayout>
      </c:layout>
      <c:overlay val="0"/>
    </c:legend>
    <c:plotVisOnly val="1"/>
    <c:dispBlanksAs val="gap"/>
    <c:showDLblsOverMax val="0"/>
  </c:chart>
  <c:spPr>
    <a:ln>
      <a:noFill/>
    </a:ln>
  </c:sp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Sheet1!$A$207</c:f>
              <c:strCache>
                <c:ptCount val="1"/>
                <c:pt idx="0">
                  <c:v>DM</c:v>
                </c:pt>
              </c:strCache>
            </c:strRef>
          </c:tx>
          <c:invertIfNegative val="0"/>
          <c:cat>
            <c:strRef>
              <c:f>Sheet1!$B$205:$E$205</c:f>
              <c:strCache>
                <c:ptCount val="4"/>
                <c:pt idx="0">
                  <c:v>&lt;15</c:v>
                </c:pt>
                <c:pt idx="1">
                  <c:v>15-21</c:v>
                </c:pt>
                <c:pt idx="2">
                  <c:v>22-33</c:v>
                </c:pt>
                <c:pt idx="3">
                  <c:v>&gt;33</c:v>
                </c:pt>
              </c:strCache>
            </c:strRef>
          </c:cat>
          <c:val>
            <c:numRef>
              <c:f>Sheet1!$B$207:$E$207</c:f>
              <c:numCache>
                <c:formatCode>General</c:formatCode>
                <c:ptCount val="4"/>
                <c:pt idx="0">
                  <c:v>54.5</c:v>
                </c:pt>
                <c:pt idx="1">
                  <c:v>78.3</c:v>
                </c:pt>
                <c:pt idx="2">
                  <c:v>91.7</c:v>
                </c:pt>
                <c:pt idx="3">
                  <c:v>92.9</c:v>
                </c:pt>
              </c:numCache>
            </c:numRef>
          </c:val>
        </c:ser>
        <c:ser>
          <c:idx val="1"/>
          <c:order val="1"/>
          <c:tx>
            <c:strRef>
              <c:f>Sheet1!$A$208</c:f>
              <c:strCache>
                <c:ptCount val="1"/>
                <c:pt idx="0">
                  <c:v>HTN</c:v>
                </c:pt>
              </c:strCache>
            </c:strRef>
          </c:tx>
          <c:invertIfNegative val="0"/>
          <c:cat>
            <c:strRef>
              <c:f>Sheet1!$B$205:$E$205</c:f>
              <c:strCache>
                <c:ptCount val="4"/>
                <c:pt idx="0">
                  <c:v>&lt;15</c:v>
                </c:pt>
                <c:pt idx="1">
                  <c:v>15-21</c:v>
                </c:pt>
                <c:pt idx="2">
                  <c:v>22-33</c:v>
                </c:pt>
                <c:pt idx="3">
                  <c:v>&gt;33</c:v>
                </c:pt>
              </c:strCache>
            </c:strRef>
          </c:cat>
          <c:val>
            <c:numRef>
              <c:f>Sheet1!$B$208:$E$208</c:f>
              <c:numCache>
                <c:formatCode>General</c:formatCode>
                <c:ptCount val="4"/>
                <c:pt idx="0">
                  <c:v>63.6</c:v>
                </c:pt>
                <c:pt idx="1">
                  <c:v>56.5</c:v>
                </c:pt>
                <c:pt idx="2">
                  <c:v>100</c:v>
                </c:pt>
                <c:pt idx="3">
                  <c:v>76.2</c:v>
                </c:pt>
              </c:numCache>
            </c:numRef>
          </c:val>
        </c:ser>
        <c:ser>
          <c:idx val="2"/>
          <c:order val="2"/>
          <c:tx>
            <c:strRef>
              <c:f>Sheet1!$A$209</c:f>
              <c:strCache>
                <c:ptCount val="1"/>
                <c:pt idx="0">
                  <c:v>Dyslipidemia</c:v>
                </c:pt>
              </c:strCache>
            </c:strRef>
          </c:tx>
          <c:invertIfNegative val="0"/>
          <c:cat>
            <c:strRef>
              <c:f>Sheet1!$B$205:$E$205</c:f>
              <c:strCache>
                <c:ptCount val="4"/>
                <c:pt idx="0">
                  <c:v>&lt;15</c:v>
                </c:pt>
                <c:pt idx="1">
                  <c:v>15-21</c:v>
                </c:pt>
                <c:pt idx="2">
                  <c:v>22-33</c:v>
                </c:pt>
                <c:pt idx="3">
                  <c:v>&gt;33</c:v>
                </c:pt>
              </c:strCache>
            </c:strRef>
          </c:cat>
          <c:val>
            <c:numRef>
              <c:f>Sheet1!$B$209:$E$209</c:f>
              <c:numCache>
                <c:formatCode>General</c:formatCode>
                <c:ptCount val="4"/>
                <c:pt idx="0">
                  <c:v>81.8</c:v>
                </c:pt>
                <c:pt idx="1">
                  <c:v>56.5</c:v>
                </c:pt>
                <c:pt idx="2">
                  <c:v>58.3</c:v>
                </c:pt>
                <c:pt idx="3">
                  <c:v>54.8</c:v>
                </c:pt>
              </c:numCache>
            </c:numRef>
          </c:val>
        </c:ser>
        <c:dLbls>
          <c:showLegendKey val="0"/>
          <c:showVal val="0"/>
          <c:showCatName val="0"/>
          <c:showSerName val="0"/>
          <c:showPercent val="0"/>
          <c:showBubbleSize val="0"/>
        </c:dLbls>
        <c:gapWidth val="150"/>
        <c:shape val="cylinder"/>
        <c:axId val="227977472"/>
        <c:axId val="227979648"/>
        <c:axId val="0"/>
      </c:bar3DChart>
      <c:catAx>
        <c:axId val="227977472"/>
        <c:scaling>
          <c:orientation val="minMax"/>
        </c:scaling>
        <c:delete val="0"/>
        <c:axPos val="b"/>
        <c:title>
          <c:tx>
            <c:rich>
              <a:bodyPr/>
              <a:lstStyle/>
              <a:p>
                <a:pPr>
                  <a:defRPr/>
                </a:pPr>
                <a:r>
                  <a:rPr lang="en-US"/>
                  <a:t>GGT</a:t>
                </a:r>
              </a:p>
            </c:rich>
          </c:tx>
          <c:overlay val="0"/>
        </c:title>
        <c:majorTickMark val="out"/>
        <c:minorTickMark val="none"/>
        <c:tickLblPos val="nextTo"/>
        <c:crossAx val="227979648"/>
        <c:crosses val="autoZero"/>
        <c:auto val="1"/>
        <c:lblAlgn val="ctr"/>
        <c:lblOffset val="100"/>
        <c:noMultiLvlLbl val="0"/>
      </c:catAx>
      <c:valAx>
        <c:axId val="227979648"/>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227977472"/>
        <c:crosses val="autoZero"/>
        <c:crossBetween val="between"/>
      </c:valAx>
    </c:plotArea>
    <c:legend>
      <c:legendPos val="r"/>
      <c:layout>
        <c:manualLayout>
          <c:xMode val="edge"/>
          <c:yMode val="edge"/>
          <c:x val="0.80829221347331581"/>
          <c:y val="0.18904629629629632"/>
          <c:w val="0.19170778652668413"/>
          <c:h val="0.25115157480314959"/>
        </c:manualLayout>
      </c:layout>
      <c:overlay val="0"/>
    </c:legend>
    <c:plotVisOnly val="1"/>
    <c:dispBlanksAs val="gap"/>
    <c:showDLblsOverMax val="0"/>
  </c:chart>
  <c:spPr>
    <a:ln>
      <a:noFill/>
    </a:ln>
  </c:spPr>
  <c:externalData r:id="rId2">
    <c:autoUpdate val="0"/>
  </c:externalData>
  <c:userShapes r:id="rId3"/>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Age in years</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8.4499999999999993</c:v>
                  </c:pt>
                  <c:pt idx="1">
                    <c:v>13.96</c:v>
                  </c:pt>
                  <c:pt idx="2">
                    <c:v>12.15</c:v>
                  </c:pt>
                  <c:pt idx="3">
                    <c:v>12.04</c:v>
                  </c:pt>
                </c:numCache>
              </c:numRef>
            </c:plus>
            <c:minus>
              <c:numRef>
                <c:f>Sheet1!$G$217:$J$217</c:f>
                <c:numCache>
                  <c:formatCode>General</c:formatCode>
                  <c:ptCount val="4"/>
                  <c:pt idx="0">
                    <c:v>8.4499999999999993</c:v>
                  </c:pt>
                  <c:pt idx="1">
                    <c:v>13.96</c:v>
                  </c:pt>
                  <c:pt idx="2">
                    <c:v>12.15</c:v>
                  </c:pt>
                  <c:pt idx="3">
                    <c:v>12.04</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59.82</c:v>
                </c:pt>
                <c:pt idx="1">
                  <c:v>57.13</c:v>
                </c:pt>
                <c:pt idx="2">
                  <c:v>60.17</c:v>
                </c:pt>
                <c:pt idx="3">
                  <c:v>54.76</c:v>
                </c:pt>
              </c:numCache>
            </c:numRef>
          </c:val>
        </c:ser>
        <c:dLbls>
          <c:showLegendKey val="0"/>
          <c:showVal val="0"/>
          <c:showCatName val="0"/>
          <c:showSerName val="0"/>
          <c:showPercent val="0"/>
          <c:showBubbleSize val="0"/>
        </c:dLbls>
        <c:gapWidth val="150"/>
        <c:axId val="230319232"/>
        <c:axId val="230321152"/>
      </c:barChart>
      <c:catAx>
        <c:axId val="230319232"/>
        <c:scaling>
          <c:orientation val="minMax"/>
        </c:scaling>
        <c:delete val="0"/>
        <c:axPos val="b"/>
        <c:title>
          <c:tx>
            <c:rich>
              <a:bodyPr/>
              <a:lstStyle/>
              <a:p>
                <a:pPr>
                  <a:defRPr/>
                </a:pPr>
                <a:r>
                  <a:rPr lang="en-US"/>
                  <a:t>GGT</a:t>
                </a:r>
              </a:p>
            </c:rich>
          </c:tx>
          <c:overlay val="0"/>
        </c:title>
        <c:majorTickMark val="out"/>
        <c:minorTickMark val="none"/>
        <c:tickLblPos val="nextTo"/>
        <c:crossAx val="230321152"/>
        <c:crosses val="autoZero"/>
        <c:auto val="1"/>
        <c:lblAlgn val="ctr"/>
        <c:lblOffset val="100"/>
        <c:noMultiLvlLbl val="0"/>
      </c:catAx>
      <c:valAx>
        <c:axId val="230321152"/>
        <c:scaling>
          <c:orientation val="minMax"/>
        </c:scaling>
        <c:delete val="0"/>
        <c:axPos val="l"/>
        <c:title>
          <c:tx>
            <c:rich>
              <a:bodyPr rot="-5400000" vert="horz"/>
              <a:lstStyle/>
              <a:p>
                <a:pPr>
                  <a:defRPr/>
                </a:pPr>
                <a:r>
                  <a:rPr lang="en-US"/>
                  <a:t>Age in years</a:t>
                </a:r>
              </a:p>
            </c:rich>
          </c:tx>
          <c:overlay val="0"/>
        </c:title>
        <c:numFmt formatCode="General" sourceLinked="1"/>
        <c:majorTickMark val="out"/>
        <c:minorTickMark val="none"/>
        <c:tickLblPos val="nextTo"/>
        <c:crossAx val="230319232"/>
        <c:crosses val="autoZero"/>
        <c:crossBetween val="between"/>
      </c:valAx>
    </c:plotArea>
    <c:plotVisOnly val="1"/>
    <c:dispBlanksAs val="gap"/>
    <c:showDLblsOverMax val="0"/>
  </c:chart>
  <c:spPr>
    <a:ln>
      <a:noFill/>
    </a:ln>
  </c:spPr>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Height (cm)</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0.1</c:v>
                  </c:pt>
                  <c:pt idx="1">
                    <c:v>0.11</c:v>
                  </c:pt>
                  <c:pt idx="2">
                    <c:v>0.1</c:v>
                  </c:pt>
                  <c:pt idx="3">
                    <c:v>0.11</c:v>
                  </c:pt>
                </c:numCache>
              </c:numRef>
            </c:plus>
            <c:minus>
              <c:numRef>
                <c:f>Sheet1!$G$217:$J$217</c:f>
                <c:numCache>
                  <c:formatCode>General</c:formatCode>
                  <c:ptCount val="4"/>
                  <c:pt idx="0">
                    <c:v>0.1</c:v>
                  </c:pt>
                  <c:pt idx="1">
                    <c:v>0.11</c:v>
                  </c:pt>
                  <c:pt idx="2">
                    <c:v>0.1</c:v>
                  </c:pt>
                  <c:pt idx="3">
                    <c:v>0.11</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1.65</c:v>
                </c:pt>
                <c:pt idx="1">
                  <c:v>1.63</c:v>
                </c:pt>
                <c:pt idx="2">
                  <c:v>1.66</c:v>
                </c:pt>
                <c:pt idx="3">
                  <c:v>1.67</c:v>
                </c:pt>
              </c:numCache>
            </c:numRef>
          </c:val>
        </c:ser>
        <c:dLbls>
          <c:showLegendKey val="0"/>
          <c:showVal val="0"/>
          <c:showCatName val="0"/>
          <c:showSerName val="0"/>
          <c:showPercent val="0"/>
          <c:showBubbleSize val="0"/>
        </c:dLbls>
        <c:gapWidth val="150"/>
        <c:axId val="230345728"/>
        <c:axId val="230368384"/>
      </c:barChart>
      <c:catAx>
        <c:axId val="230345728"/>
        <c:scaling>
          <c:orientation val="minMax"/>
        </c:scaling>
        <c:delete val="0"/>
        <c:axPos val="b"/>
        <c:title>
          <c:tx>
            <c:rich>
              <a:bodyPr/>
              <a:lstStyle/>
              <a:p>
                <a:pPr>
                  <a:defRPr/>
                </a:pPr>
                <a:r>
                  <a:rPr lang="en-US"/>
                  <a:t>GGT</a:t>
                </a:r>
              </a:p>
            </c:rich>
          </c:tx>
          <c:overlay val="0"/>
        </c:title>
        <c:majorTickMark val="out"/>
        <c:minorTickMark val="none"/>
        <c:tickLblPos val="nextTo"/>
        <c:crossAx val="230368384"/>
        <c:crosses val="autoZero"/>
        <c:auto val="1"/>
        <c:lblAlgn val="ctr"/>
        <c:lblOffset val="100"/>
        <c:noMultiLvlLbl val="0"/>
      </c:catAx>
      <c:valAx>
        <c:axId val="230368384"/>
        <c:scaling>
          <c:orientation val="minMax"/>
        </c:scaling>
        <c:delete val="0"/>
        <c:axPos val="l"/>
        <c:title>
          <c:tx>
            <c:rich>
              <a:bodyPr rot="-5400000" vert="horz"/>
              <a:lstStyle/>
              <a:p>
                <a:pPr>
                  <a:defRPr/>
                </a:pPr>
                <a:r>
                  <a:rPr lang="en-US"/>
                  <a:t>Height (cm)</a:t>
                </a:r>
              </a:p>
            </c:rich>
          </c:tx>
          <c:overlay val="0"/>
        </c:title>
        <c:numFmt formatCode="General" sourceLinked="1"/>
        <c:majorTickMark val="out"/>
        <c:minorTickMark val="none"/>
        <c:tickLblPos val="nextTo"/>
        <c:crossAx val="230345728"/>
        <c:crosses val="autoZero"/>
        <c:crossBetween val="between"/>
      </c:valAx>
    </c:plotArea>
    <c:plotVisOnly val="1"/>
    <c:dispBlanksAs val="gap"/>
    <c:showDLblsOverMax val="0"/>
  </c:chart>
  <c:spPr>
    <a:ln>
      <a:noFill/>
    </a:ln>
  </c:spPr>
  <c:externalData r:id="rId2">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Weight (kg)</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6.38</c:v>
                  </c:pt>
                  <c:pt idx="1">
                    <c:v>7.89</c:v>
                  </c:pt>
                  <c:pt idx="2">
                    <c:v>7.7</c:v>
                  </c:pt>
                  <c:pt idx="3">
                    <c:v>10.85</c:v>
                  </c:pt>
                </c:numCache>
              </c:numRef>
            </c:plus>
            <c:minus>
              <c:numRef>
                <c:f>Sheet1!$G$217:$J$217</c:f>
                <c:numCache>
                  <c:formatCode>General</c:formatCode>
                  <c:ptCount val="4"/>
                  <c:pt idx="0">
                    <c:v>6.38</c:v>
                  </c:pt>
                  <c:pt idx="1">
                    <c:v>7.89</c:v>
                  </c:pt>
                  <c:pt idx="2">
                    <c:v>7.7</c:v>
                  </c:pt>
                  <c:pt idx="3">
                    <c:v>10.85</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87.91</c:v>
                </c:pt>
                <c:pt idx="1">
                  <c:v>84.61</c:v>
                </c:pt>
                <c:pt idx="2">
                  <c:v>88.29</c:v>
                </c:pt>
                <c:pt idx="3">
                  <c:v>85.71</c:v>
                </c:pt>
              </c:numCache>
            </c:numRef>
          </c:val>
        </c:ser>
        <c:dLbls>
          <c:showLegendKey val="0"/>
          <c:showVal val="0"/>
          <c:showCatName val="0"/>
          <c:showSerName val="0"/>
          <c:showPercent val="0"/>
          <c:showBubbleSize val="0"/>
        </c:dLbls>
        <c:gapWidth val="150"/>
        <c:axId val="230392960"/>
        <c:axId val="230394880"/>
      </c:barChart>
      <c:catAx>
        <c:axId val="230392960"/>
        <c:scaling>
          <c:orientation val="minMax"/>
        </c:scaling>
        <c:delete val="0"/>
        <c:axPos val="b"/>
        <c:title>
          <c:tx>
            <c:rich>
              <a:bodyPr/>
              <a:lstStyle/>
              <a:p>
                <a:pPr>
                  <a:defRPr/>
                </a:pPr>
                <a:r>
                  <a:rPr lang="en-US"/>
                  <a:t>GGT</a:t>
                </a:r>
              </a:p>
            </c:rich>
          </c:tx>
          <c:overlay val="0"/>
        </c:title>
        <c:majorTickMark val="out"/>
        <c:minorTickMark val="none"/>
        <c:tickLblPos val="nextTo"/>
        <c:crossAx val="230394880"/>
        <c:crosses val="autoZero"/>
        <c:auto val="1"/>
        <c:lblAlgn val="ctr"/>
        <c:lblOffset val="100"/>
        <c:noMultiLvlLbl val="0"/>
      </c:catAx>
      <c:valAx>
        <c:axId val="230394880"/>
        <c:scaling>
          <c:orientation val="minMax"/>
        </c:scaling>
        <c:delete val="0"/>
        <c:axPos val="l"/>
        <c:title>
          <c:tx>
            <c:rich>
              <a:bodyPr rot="-5400000" vert="horz"/>
              <a:lstStyle/>
              <a:p>
                <a:pPr>
                  <a:defRPr/>
                </a:pPr>
                <a:r>
                  <a:rPr lang="en-US"/>
                  <a:t>Weight (kg)</a:t>
                </a:r>
              </a:p>
            </c:rich>
          </c:tx>
          <c:overlay val="0"/>
        </c:title>
        <c:numFmt formatCode="General" sourceLinked="1"/>
        <c:majorTickMark val="out"/>
        <c:minorTickMark val="none"/>
        <c:tickLblPos val="nextTo"/>
        <c:crossAx val="230392960"/>
        <c:crosses val="autoZero"/>
        <c:crossBetween val="between"/>
      </c:valAx>
    </c:plotArea>
    <c:plotVisOnly val="1"/>
    <c:dispBlanksAs val="gap"/>
    <c:showDLblsOverMax val="0"/>
  </c:chart>
  <c:spPr>
    <a:ln>
      <a:noFill/>
    </a:ln>
  </c:spPr>
  <c:externalData r:id="rId2">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WC</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4.3499999999999996</c:v>
                  </c:pt>
                  <c:pt idx="1">
                    <c:v>4.2699999999999996</c:v>
                  </c:pt>
                  <c:pt idx="2">
                    <c:v>5.86</c:v>
                  </c:pt>
                  <c:pt idx="3">
                    <c:v>6.41</c:v>
                  </c:pt>
                </c:numCache>
              </c:numRef>
            </c:plus>
            <c:minus>
              <c:numRef>
                <c:f>Sheet1!$G$217:$J$217</c:f>
                <c:numCache>
                  <c:formatCode>General</c:formatCode>
                  <c:ptCount val="4"/>
                  <c:pt idx="0">
                    <c:v>4.3499999999999996</c:v>
                  </c:pt>
                  <c:pt idx="1">
                    <c:v>4.2699999999999996</c:v>
                  </c:pt>
                  <c:pt idx="2">
                    <c:v>5.86</c:v>
                  </c:pt>
                  <c:pt idx="3">
                    <c:v>6.41</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90.82</c:v>
                </c:pt>
                <c:pt idx="1">
                  <c:v>88.48</c:v>
                </c:pt>
                <c:pt idx="2">
                  <c:v>95.21</c:v>
                </c:pt>
                <c:pt idx="3">
                  <c:v>103.31</c:v>
                </c:pt>
              </c:numCache>
            </c:numRef>
          </c:val>
        </c:ser>
        <c:dLbls>
          <c:showLegendKey val="0"/>
          <c:showVal val="0"/>
          <c:showCatName val="0"/>
          <c:showSerName val="0"/>
          <c:showPercent val="0"/>
          <c:showBubbleSize val="0"/>
        </c:dLbls>
        <c:gapWidth val="150"/>
        <c:axId val="230423552"/>
        <c:axId val="231736448"/>
      </c:barChart>
      <c:catAx>
        <c:axId val="230423552"/>
        <c:scaling>
          <c:orientation val="minMax"/>
        </c:scaling>
        <c:delete val="0"/>
        <c:axPos val="b"/>
        <c:title>
          <c:tx>
            <c:rich>
              <a:bodyPr/>
              <a:lstStyle/>
              <a:p>
                <a:pPr>
                  <a:defRPr/>
                </a:pPr>
                <a:r>
                  <a:rPr lang="en-US"/>
                  <a:t>GGT</a:t>
                </a:r>
              </a:p>
            </c:rich>
          </c:tx>
          <c:overlay val="0"/>
        </c:title>
        <c:majorTickMark val="out"/>
        <c:minorTickMark val="none"/>
        <c:tickLblPos val="nextTo"/>
        <c:crossAx val="231736448"/>
        <c:crosses val="autoZero"/>
        <c:auto val="1"/>
        <c:lblAlgn val="ctr"/>
        <c:lblOffset val="100"/>
        <c:noMultiLvlLbl val="0"/>
      </c:catAx>
      <c:valAx>
        <c:axId val="231736448"/>
        <c:scaling>
          <c:orientation val="minMax"/>
        </c:scaling>
        <c:delete val="0"/>
        <c:axPos val="l"/>
        <c:title>
          <c:tx>
            <c:rich>
              <a:bodyPr rot="-5400000" vert="horz"/>
              <a:lstStyle/>
              <a:p>
                <a:pPr>
                  <a:defRPr/>
                </a:pPr>
                <a:r>
                  <a:rPr lang="en-US"/>
                  <a:t>WC</a:t>
                </a:r>
              </a:p>
            </c:rich>
          </c:tx>
          <c:overlay val="0"/>
        </c:title>
        <c:numFmt formatCode="General" sourceLinked="1"/>
        <c:majorTickMark val="out"/>
        <c:minorTickMark val="none"/>
        <c:tickLblPos val="nextTo"/>
        <c:crossAx val="230423552"/>
        <c:crosses val="autoZero"/>
        <c:crossBetween val="between"/>
      </c:valAx>
    </c:plotArea>
    <c:plotVisOnly val="1"/>
    <c:dispBlanksAs val="gap"/>
    <c:showDLblsOverMax val="0"/>
  </c:chart>
  <c:spPr>
    <a:ln>
      <a:noFill/>
    </a:ln>
  </c:spPr>
  <c:externalData r:id="rId2">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BMI (kg/m2)</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3.4</c:v>
                  </c:pt>
                  <c:pt idx="1">
                    <c:v>4.16</c:v>
                  </c:pt>
                  <c:pt idx="2">
                    <c:v>3.55</c:v>
                  </c:pt>
                  <c:pt idx="3">
                    <c:v>4.1900000000000004</c:v>
                  </c:pt>
                </c:numCache>
              </c:numRef>
            </c:plus>
            <c:minus>
              <c:numRef>
                <c:f>Sheet1!$G$217:$J$217</c:f>
                <c:numCache>
                  <c:formatCode>General</c:formatCode>
                  <c:ptCount val="4"/>
                  <c:pt idx="0">
                    <c:v>3.4</c:v>
                  </c:pt>
                  <c:pt idx="1">
                    <c:v>4.16</c:v>
                  </c:pt>
                  <c:pt idx="2">
                    <c:v>3.55</c:v>
                  </c:pt>
                  <c:pt idx="3">
                    <c:v>4.1900000000000004</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32.06</c:v>
                </c:pt>
                <c:pt idx="1">
                  <c:v>32.200000000000003</c:v>
                </c:pt>
                <c:pt idx="2">
                  <c:v>32.03</c:v>
                </c:pt>
                <c:pt idx="3">
                  <c:v>31.06</c:v>
                </c:pt>
              </c:numCache>
            </c:numRef>
          </c:val>
        </c:ser>
        <c:dLbls>
          <c:showLegendKey val="0"/>
          <c:showVal val="0"/>
          <c:showCatName val="0"/>
          <c:showSerName val="0"/>
          <c:showPercent val="0"/>
          <c:showBubbleSize val="0"/>
        </c:dLbls>
        <c:gapWidth val="150"/>
        <c:axId val="231765120"/>
        <c:axId val="231767040"/>
      </c:barChart>
      <c:catAx>
        <c:axId val="231765120"/>
        <c:scaling>
          <c:orientation val="minMax"/>
        </c:scaling>
        <c:delete val="0"/>
        <c:axPos val="b"/>
        <c:title>
          <c:tx>
            <c:rich>
              <a:bodyPr/>
              <a:lstStyle/>
              <a:p>
                <a:pPr>
                  <a:defRPr/>
                </a:pPr>
                <a:r>
                  <a:rPr lang="en-US"/>
                  <a:t>GGT</a:t>
                </a:r>
              </a:p>
            </c:rich>
          </c:tx>
          <c:overlay val="0"/>
        </c:title>
        <c:majorTickMark val="out"/>
        <c:minorTickMark val="none"/>
        <c:tickLblPos val="nextTo"/>
        <c:crossAx val="231767040"/>
        <c:crosses val="autoZero"/>
        <c:auto val="1"/>
        <c:lblAlgn val="ctr"/>
        <c:lblOffset val="100"/>
        <c:noMultiLvlLbl val="0"/>
      </c:catAx>
      <c:valAx>
        <c:axId val="231767040"/>
        <c:scaling>
          <c:orientation val="minMax"/>
        </c:scaling>
        <c:delete val="0"/>
        <c:axPos val="l"/>
        <c:title>
          <c:tx>
            <c:rich>
              <a:bodyPr rot="-5400000" vert="horz"/>
              <a:lstStyle/>
              <a:p>
                <a:pPr>
                  <a:defRPr/>
                </a:pPr>
                <a:r>
                  <a:rPr lang="en-US"/>
                  <a:t>BMI (kg/m2)</a:t>
                </a:r>
              </a:p>
            </c:rich>
          </c:tx>
          <c:overlay val="0"/>
        </c:title>
        <c:numFmt formatCode="General" sourceLinked="1"/>
        <c:majorTickMark val="out"/>
        <c:minorTickMark val="none"/>
        <c:tickLblPos val="nextTo"/>
        <c:crossAx val="231765120"/>
        <c:crosses val="autoZero"/>
        <c:crossBetween val="between"/>
      </c:valAx>
    </c:plotArea>
    <c:plotVisOnly val="1"/>
    <c:dispBlanksAs val="gap"/>
    <c:showDLblsOverMax val="0"/>
  </c:chart>
  <c:spPr>
    <a:ln>
      <a:noFill/>
    </a:ln>
  </c:spPr>
  <c:externalData r:id="rId2">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Pulse rate (bpm)</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8.0500000000000007</c:v>
                  </c:pt>
                  <c:pt idx="1">
                    <c:v>8.4</c:v>
                  </c:pt>
                  <c:pt idx="2">
                    <c:v>7.22</c:v>
                  </c:pt>
                  <c:pt idx="3">
                    <c:v>7.25</c:v>
                  </c:pt>
                </c:numCache>
              </c:numRef>
            </c:plus>
            <c:minus>
              <c:numRef>
                <c:f>Sheet1!$G$217:$J$217</c:f>
                <c:numCache>
                  <c:formatCode>General</c:formatCode>
                  <c:ptCount val="4"/>
                  <c:pt idx="0">
                    <c:v>8.0500000000000007</c:v>
                  </c:pt>
                  <c:pt idx="1">
                    <c:v>8.4</c:v>
                  </c:pt>
                  <c:pt idx="2">
                    <c:v>7.22</c:v>
                  </c:pt>
                  <c:pt idx="3">
                    <c:v>7.25</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81.45</c:v>
                </c:pt>
                <c:pt idx="1">
                  <c:v>79.569999999999993</c:v>
                </c:pt>
                <c:pt idx="2">
                  <c:v>79</c:v>
                </c:pt>
                <c:pt idx="3">
                  <c:v>79.569999999999993</c:v>
                </c:pt>
              </c:numCache>
            </c:numRef>
          </c:val>
        </c:ser>
        <c:dLbls>
          <c:showLegendKey val="0"/>
          <c:showVal val="0"/>
          <c:showCatName val="0"/>
          <c:showSerName val="0"/>
          <c:showPercent val="0"/>
          <c:showBubbleSize val="0"/>
        </c:dLbls>
        <c:gapWidth val="150"/>
        <c:axId val="231812096"/>
        <c:axId val="231814272"/>
      </c:barChart>
      <c:catAx>
        <c:axId val="231812096"/>
        <c:scaling>
          <c:orientation val="minMax"/>
        </c:scaling>
        <c:delete val="0"/>
        <c:axPos val="b"/>
        <c:title>
          <c:tx>
            <c:rich>
              <a:bodyPr/>
              <a:lstStyle/>
              <a:p>
                <a:pPr>
                  <a:defRPr/>
                </a:pPr>
                <a:r>
                  <a:rPr lang="en-US"/>
                  <a:t>GGT</a:t>
                </a:r>
              </a:p>
            </c:rich>
          </c:tx>
          <c:overlay val="0"/>
        </c:title>
        <c:majorTickMark val="out"/>
        <c:minorTickMark val="none"/>
        <c:tickLblPos val="nextTo"/>
        <c:crossAx val="231814272"/>
        <c:crosses val="autoZero"/>
        <c:auto val="1"/>
        <c:lblAlgn val="ctr"/>
        <c:lblOffset val="100"/>
        <c:noMultiLvlLbl val="0"/>
      </c:catAx>
      <c:valAx>
        <c:axId val="231814272"/>
        <c:scaling>
          <c:orientation val="minMax"/>
        </c:scaling>
        <c:delete val="0"/>
        <c:axPos val="l"/>
        <c:title>
          <c:tx>
            <c:rich>
              <a:bodyPr rot="-5400000" vert="horz"/>
              <a:lstStyle/>
              <a:p>
                <a:pPr>
                  <a:defRPr/>
                </a:pPr>
                <a:r>
                  <a:rPr lang="en-US"/>
                  <a:t>Pulse rate (bpm)</a:t>
                </a:r>
              </a:p>
            </c:rich>
          </c:tx>
          <c:overlay val="0"/>
        </c:title>
        <c:numFmt formatCode="General" sourceLinked="1"/>
        <c:majorTickMark val="out"/>
        <c:minorTickMark val="none"/>
        <c:tickLblPos val="nextTo"/>
        <c:crossAx val="231812096"/>
        <c:crosses val="autoZero"/>
        <c:crossBetween val="between"/>
      </c:valAx>
    </c:plotArea>
    <c:plotVisOnly val="1"/>
    <c:dispBlanksAs val="gap"/>
    <c:showDLblsOverMax val="0"/>
  </c:chart>
  <c:spPr>
    <a:ln>
      <a:noFill/>
    </a:ln>
  </c:spPr>
  <c:externalData r:id="rId2">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SBP (mm Hg)</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9.48</c:v>
                  </c:pt>
                  <c:pt idx="1">
                    <c:v>8.32</c:v>
                  </c:pt>
                  <c:pt idx="2">
                    <c:v>8.8800000000000008</c:v>
                  </c:pt>
                  <c:pt idx="3">
                    <c:v>12.96</c:v>
                  </c:pt>
                </c:numCache>
              </c:numRef>
            </c:plus>
            <c:minus>
              <c:numRef>
                <c:f>Sheet1!$G$217:$J$217</c:f>
                <c:numCache>
                  <c:formatCode>General</c:formatCode>
                  <c:ptCount val="4"/>
                  <c:pt idx="0">
                    <c:v>9.48</c:v>
                  </c:pt>
                  <c:pt idx="1">
                    <c:v>8.32</c:v>
                  </c:pt>
                  <c:pt idx="2">
                    <c:v>8.8800000000000008</c:v>
                  </c:pt>
                  <c:pt idx="3">
                    <c:v>12.96</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145.27000000000001</c:v>
                </c:pt>
                <c:pt idx="1">
                  <c:v>142.26</c:v>
                </c:pt>
                <c:pt idx="2">
                  <c:v>151.38</c:v>
                </c:pt>
                <c:pt idx="3">
                  <c:v>148.13999999999999</c:v>
                </c:pt>
              </c:numCache>
            </c:numRef>
          </c:val>
        </c:ser>
        <c:dLbls>
          <c:showLegendKey val="0"/>
          <c:showVal val="0"/>
          <c:showCatName val="0"/>
          <c:showSerName val="0"/>
          <c:showPercent val="0"/>
          <c:showBubbleSize val="0"/>
        </c:dLbls>
        <c:gapWidth val="150"/>
        <c:axId val="231863424"/>
        <c:axId val="231865344"/>
      </c:barChart>
      <c:catAx>
        <c:axId val="231863424"/>
        <c:scaling>
          <c:orientation val="minMax"/>
        </c:scaling>
        <c:delete val="0"/>
        <c:axPos val="b"/>
        <c:title>
          <c:tx>
            <c:rich>
              <a:bodyPr/>
              <a:lstStyle/>
              <a:p>
                <a:pPr>
                  <a:defRPr/>
                </a:pPr>
                <a:r>
                  <a:rPr lang="en-US"/>
                  <a:t>GGT</a:t>
                </a:r>
              </a:p>
            </c:rich>
          </c:tx>
          <c:overlay val="0"/>
        </c:title>
        <c:majorTickMark val="out"/>
        <c:minorTickMark val="none"/>
        <c:tickLblPos val="nextTo"/>
        <c:crossAx val="231865344"/>
        <c:crosses val="autoZero"/>
        <c:auto val="1"/>
        <c:lblAlgn val="ctr"/>
        <c:lblOffset val="100"/>
        <c:noMultiLvlLbl val="0"/>
      </c:catAx>
      <c:valAx>
        <c:axId val="231865344"/>
        <c:scaling>
          <c:orientation val="minMax"/>
        </c:scaling>
        <c:delete val="0"/>
        <c:axPos val="l"/>
        <c:title>
          <c:tx>
            <c:rich>
              <a:bodyPr rot="-5400000" vert="horz"/>
              <a:lstStyle/>
              <a:p>
                <a:pPr>
                  <a:defRPr/>
                </a:pPr>
                <a:r>
                  <a:rPr lang="en-US"/>
                  <a:t>SBP (mm Hg)</a:t>
                </a:r>
              </a:p>
            </c:rich>
          </c:tx>
          <c:overlay val="0"/>
        </c:title>
        <c:numFmt formatCode="General" sourceLinked="1"/>
        <c:majorTickMark val="out"/>
        <c:minorTickMark val="none"/>
        <c:tickLblPos val="nextTo"/>
        <c:crossAx val="231863424"/>
        <c:crosses val="autoZero"/>
        <c:crossBetween val="between"/>
      </c:valAx>
    </c:plotArea>
    <c:plotVisOnly val="1"/>
    <c:dispBlanksAs val="gap"/>
    <c:showDLblsOverMax val="0"/>
  </c:chart>
  <c:spPr>
    <a:ln>
      <a:noFill/>
    </a:ln>
  </c:spPr>
  <c:externalData r:id="rId2">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DBP (mm Hg)</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8.11</c:v>
                  </c:pt>
                  <c:pt idx="1">
                    <c:v>7.82</c:v>
                  </c:pt>
                  <c:pt idx="2">
                    <c:v>6.18</c:v>
                  </c:pt>
                  <c:pt idx="3">
                    <c:v>8.27</c:v>
                  </c:pt>
                </c:numCache>
              </c:numRef>
            </c:plus>
            <c:minus>
              <c:numRef>
                <c:f>Sheet1!$G$217:$J$217</c:f>
                <c:numCache>
                  <c:formatCode>General</c:formatCode>
                  <c:ptCount val="4"/>
                  <c:pt idx="0">
                    <c:v>8.11</c:v>
                  </c:pt>
                  <c:pt idx="1">
                    <c:v>7.82</c:v>
                  </c:pt>
                  <c:pt idx="2">
                    <c:v>6.18</c:v>
                  </c:pt>
                  <c:pt idx="3">
                    <c:v>8.27</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86.73</c:v>
                </c:pt>
                <c:pt idx="1">
                  <c:v>88.43</c:v>
                </c:pt>
                <c:pt idx="2">
                  <c:v>90.33</c:v>
                </c:pt>
                <c:pt idx="3">
                  <c:v>90.05</c:v>
                </c:pt>
              </c:numCache>
            </c:numRef>
          </c:val>
        </c:ser>
        <c:dLbls>
          <c:showLegendKey val="0"/>
          <c:showVal val="0"/>
          <c:showCatName val="0"/>
          <c:showSerName val="0"/>
          <c:showPercent val="0"/>
          <c:showBubbleSize val="0"/>
        </c:dLbls>
        <c:gapWidth val="150"/>
        <c:axId val="103627776"/>
        <c:axId val="103654528"/>
      </c:barChart>
      <c:catAx>
        <c:axId val="103627776"/>
        <c:scaling>
          <c:orientation val="minMax"/>
        </c:scaling>
        <c:delete val="0"/>
        <c:axPos val="b"/>
        <c:title>
          <c:tx>
            <c:rich>
              <a:bodyPr/>
              <a:lstStyle/>
              <a:p>
                <a:pPr>
                  <a:defRPr/>
                </a:pPr>
                <a:r>
                  <a:rPr lang="en-US"/>
                  <a:t>GGT</a:t>
                </a:r>
              </a:p>
            </c:rich>
          </c:tx>
          <c:overlay val="0"/>
        </c:title>
        <c:majorTickMark val="out"/>
        <c:minorTickMark val="none"/>
        <c:tickLblPos val="nextTo"/>
        <c:crossAx val="103654528"/>
        <c:crosses val="autoZero"/>
        <c:auto val="1"/>
        <c:lblAlgn val="ctr"/>
        <c:lblOffset val="100"/>
        <c:noMultiLvlLbl val="0"/>
      </c:catAx>
      <c:valAx>
        <c:axId val="103654528"/>
        <c:scaling>
          <c:orientation val="minMax"/>
        </c:scaling>
        <c:delete val="0"/>
        <c:axPos val="l"/>
        <c:title>
          <c:tx>
            <c:rich>
              <a:bodyPr rot="-5400000" vert="horz"/>
              <a:lstStyle/>
              <a:p>
                <a:pPr>
                  <a:defRPr/>
                </a:pPr>
                <a:r>
                  <a:rPr lang="en-US"/>
                  <a:t>DBP (mm Hg)</a:t>
                </a:r>
              </a:p>
            </c:rich>
          </c:tx>
          <c:overlay val="0"/>
        </c:title>
        <c:numFmt formatCode="General" sourceLinked="1"/>
        <c:majorTickMark val="out"/>
        <c:minorTickMark val="none"/>
        <c:tickLblPos val="nextTo"/>
        <c:crossAx val="103627776"/>
        <c:crosses val="autoZero"/>
        <c:crossBetween val="between"/>
      </c:valAx>
    </c:plotArea>
    <c:plotVisOnly val="1"/>
    <c:dispBlanksAs val="gap"/>
    <c:showDLblsOverMax val="0"/>
  </c:chart>
  <c:spPr>
    <a:ln>
      <a:noFill/>
    </a:ln>
  </c:spPr>
  <c:externalData r:id="rId2">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FBS (mg/dl)</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50.47</c:v>
                  </c:pt>
                  <c:pt idx="1">
                    <c:v>49</c:v>
                  </c:pt>
                  <c:pt idx="2">
                    <c:v>64.19</c:v>
                  </c:pt>
                  <c:pt idx="3">
                    <c:v>76.680000000000007</c:v>
                  </c:pt>
                </c:numCache>
              </c:numRef>
            </c:plus>
            <c:minus>
              <c:numRef>
                <c:f>Sheet1!$G$217:$J$217</c:f>
                <c:numCache>
                  <c:formatCode>General</c:formatCode>
                  <c:ptCount val="4"/>
                  <c:pt idx="0">
                    <c:v>50.47</c:v>
                  </c:pt>
                  <c:pt idx="1">
                    <c:v>49</c:v>
                  </c:pt>
                  <c:pt idx="2">
                    <c:v>64.19</c:v>
                  </c:pt>
                  <c:pt idx="3">
                    <c:v>76.680000000000007</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128.09</c:v>
                </c:pt>
                <c:pt idx="1">
                  <c:v>199.65</c:v>
                </c:pt>
                <c:pt idx="2">
                  <c:v>209.33</c:v>
                </c:pt>
                <c:pt idx="3">
                  <c:v>243.31</c:v>
                </c:pt>
              </c:numCache>
            </c:numRef>
          </c:val>
        </c:ser>
        <c:dLbls>
          <c:showLegendKey val="0"/>
          <c:showVal val="0"/>
          <c:showCatName val="0"/>
          <c:showSerName val="0"/>
          <c:showPercent val="0"/>
          <c:showBubbleSize val="0"/>
        </c:dLbls>
        <c:gapWidth val="150"/>
        <c:axId val="103679104"/>
        <c:axId val="103681024"/>
      </c:barChart>
      <c:catAx>
        <c:axId val="103679104"/>
        <c:scaling>
          <c:orientation val="minMax"/>
        </c:scaling>
        <c:delete val="0"/>
        <c:axPos val="b"/>
        <c:title>
          <c:tx>
            <c:rich>
              <a:bodyPr/>
              <a:lstStyle/>
              <a:p>
                <a:pPr>
                  <a:defRPr/>
                </a:pPr>
                <a:r>
                  <a:rPr lang="en-US"/>
                  <a:t>GGT</a:t>
                </a:r>
              </a:p>
            </c:rich>
          </c:tx>
          <c:overlay val="0"/>
        </c:title>
        <c:majorTickMark val="out"/>
        <c:minorTickMark val="none"/>
        <c:tickLblPos val="nextTo"/>
        <c:crossAx val="103681024"/>
        <c:crosses val="autoZero"/>
        <c:auto val="1"/>
        <c:lblAlgn val="ctr"/>
        <c:lblOffset val="100"/>
        <c:noMultiLvlLbl val="0"/>
      </c:catAx>
      <c:valAx>
        <c:axId val="103681024"/>
        <c:scaling>
          <c:orientation val="minMax"/>
        </c:scaling>
        <c:delete val="0"/>
        <c:axPos val="l"/>
        <c:title>
          <c:tx>
            <c:rich>
              <a:bodyPr rot="-5400000" vert="horz"/>
              <a:lstStyle/>
              <a:p>
                <a:pPr>
                  <a:defRPr/>
                </a:pPr>
                <a:r>
                  <a:rPr lang="en-US"/>
                  <a:t>FBS (mg/dl)</a:t>
                </a:r>
              </a:p>
            </c:rich>
          </c:tx>
          <c:overlay val="0"/>
        </c:title>
        <c:numFmt formatCode="General" sourceLinked="1"/>
        <c:majorTickMark val="out"/>
        <c:minorTickMark val="none"/>
        <c:tickLblPos val="nextTo"/>
        <c:crossAx val="103679104"/>
        <c:crosses val="autoZero"/>
        <c:crossBetween val="between"/>
      </c:valAx>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Sheet1!$B$4</c:f>
              <c:strCache>
                <c:ptCount val="1"/>
                <c:pt idx="0">
                  <c:v>%</c:v>
                </c:pt>
              </c:strCache>
            </c:strRef>
          </c:tx>
          <c:spPr>
            <a:pattFill prst="solidDmnd">
              <a:fgClr>
                <a:schemeClr val="accent1"/>
              </a:fgClr>
              <a:bgClr>
                <a:srgbClr val="FF0000"/>
              </a:bgClr>
            </a:pattFill>
          </c:spPr>
          <c:invertIfNegative val="0"/>
          <c:cat>
            <c:strRef>
              <c:f>Sheet1!$A$31:$A$36</c:f>
              <c:strCache>
                <c:ptCount val="6"/>
                <c:pt idx="0">
                  <c:v>&lt;1</c:v>
                </c:pt>
                <c:pt idx="1">
                  <c:v>1-5</c:v>
                </c:pt>
                <c:pt idx="2">
                  <c:v>6-10</c:v>
                </c:pt>
                <c:pt idx="3">
                  <c:v>11-15</c:v>
                </c:pt>
                <c:pt idx="4">
                  <c:v>16-20</c:v>
                </c:pt>
                <c:pt idx="5">
                  <c:v>&gt;20</c:v>
                </c:pt>
              </c:strCache>
            </c:strRef>
          </c:cat>
          <c:val>
            <c:numRef>
              <c:f>Sheet1!$B$31:$B$36</c:f>
              <c:numCache>
                <c:formatCode>General</c:formatCode>
                <c:ptCount val="6"/>
                <c:pt idx="0">
                  <c:v>8</c:v>
                </c:pt>
                <c:pt idx="1">
                  <c:v>20</c:v>
                </c:pt>
                <c:pt idx="2">
                  <c:v>23</c:v>
                </c:pt>
                <c:pt idx="3">
                  <c:v>16</c:v>
                </c:pt>
                <c:pt idx="4">
                  <c:v>12</c:v>
                </c:pt>
                <c:pt idx="5">
                  <c:v>6</c:v>
                </c:pt>
              </c:numCache>
            </c:numRef>
          </c:val>
        </c:ser>
        <c:dLbls>
          <c:showLegendKey val="0"/>
          <c:showVal val="0"/>
          <c:showCatName val="0"/>
          <c:showSerName val="0"/>
          <c:showPercent val="0"/>
          <c:showBubbleSize val="0"/>
        </c:dLbls>
        <c:gapWidth val="150"/>
        <c:shape val="cylinder"/>
        <c:axId val="68204416"/>
        <c:axId val="68222976"/>
        <c:axId val="0"/>
      </c:bar3DChart>
      <c:catAx>
        <c:axId val="68204416"/>
        <c:scaling>
          <c:orientation val="minMax"/>
        </c:scaling>
        <c:delete val="0"/>
        <c:axPos val="b"/>
        <c:title>
          <c:tx>
            <c:rich>
              <a:bodyPr/>
              <a:lstStyle/>
              <a:p>
                <a:pPr>
                  <a:defRPr/>
                </a:pPr>
                <a:r>
                  <a:rPr lang="en-US"/>
                  <a:t>Age in years</a:t>
                </a:r>
              </a:p>
            </c:rich>
          </c:tx>
          <c:overlay val="0"/>
        </c:title>
        <c:majorTickMark val="out"/>
        <c:minorTickMark val="none"/>
        <c:tickLblPos val="nextTo"/>
        <c:crossAx val="68222976"/>
        <c:crosses val="autoZero"/>
        <c:auto val="1"/>
        <c:lblAlgn val="ctr"/>
        <c:lblOffset val="100"/>
        <c:noMultiLvlLbl val="0"/>
      </c:catAx>
      <c:valAx>
        <c:axId val="6822297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68204416"/>
        <c:crosses val="autoZero"/>
        <c:crossBetween val="between"/>
      </c:valAx>
    </c:plotArea>
    <c:plotVisOnly val="1"/>
    <c:dispBlanksAs val="gap"/>
    <c:showDLblsOverMax val="0"/>
  </c:chart>
  <c:spPr>
    <a:ln>
      <a:noFill/>
    </a:ln>
  </c:spPr>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Urea (mg/dl)</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8.59</c:v>
                  </c:pt>
                  <c:pt idx="1">
                    <c:v>11.48</c:v>
                  </c:pt>
                  <c:pt idx="2">
                    <c:v>9.6</c:v>
                  </c:pt>
                  <c:pt idx="3">
                    <c:v>11.81</c:v>
                  </c:pt>
                </c:numCache>
              </c:numRef>
            </c:plus>
            <c:minus>
              <c:numRef>
                <c:f>Sheet1!$G$217:$J$217</c:f>
                <c:numCache>
                  <c:formatCode>General</c:formatCode>
                  <c:ptCount val="4"/>
                  <c:pt idx="0">
                    <c:v>8.59</c:v>
                  </c:pt>
                  <c:pt idx="1">
                    <c:v>11.48</c:v>
                  </c:pt>
                  <c:pt idx="2">
                    <c:v>9.6</c:v>
                  </c:pt>
                  <c:pt idx="3">
                    <c:v>11.81</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29.36</c:v>
                </c:pt>
                <c:pt idx="1">
                  <c:v>31</c:v>
                </c:pt>
                <c:pt idx="2">
                  <c:v>30.04</c:v>
                </c:pt>
                <c:pt idx="3">
                  <c:v>33.26</c:v>
                </c:pt>
              </c:numCache>
            </c:numRef>
          </c:val>
        </c:ser>
        <c:dLbls>
          <c:showLegendKey val="0"/>
          <c:showVal val="0"/>
          <c:showCatName val="0"/>
          <c:showSerName val="0"/>
          <c:showPercent val="0"/>
          <c:showBubbleSize val="0"/>
        </c:dLbls>
        <c:gapWidth val="150"/>
        <c:axId val="103709696"/>
        <c:axId val="103724160"/>
      </c:barChart>
      <c:catAx>
        <c:axId val="103709696"/>
        <c:scaling>
          <c:orientation val="minMax"/>
        </c:scaling>
        <c:delete val="0"/>
        <c:axPos val="b"/>
        <c:title>
          <c:tx>
            <c:rich>
              <a:bodyPr/>
              <a:lstStyle/>
              <a:p>
                <a:pPr>
                  <a:defRPr/>
                </a:pPr>
                <a:r>
                  <a:rPr lang="en-US"/>
                  <a:t>GGT</a:t>
                </a:r>
              </a:p>
            </c:rich>
          </c:tx>
          <c:overlay val="0"/>
        </c:title>
        <c:majorTickMark val="out"/>
        <c:minorTickMark val="none"/>
        <c:tickLblPos val="nextTo"/>
        <c:crossAx val="103724160"/>
        <c:crosses val="autoZero"/>
        <c:auto val="1"/>
        <c:lblAlgn val="ctr"/>
        <c:lblOffset val="100"/>
        <c:noMultiLvlLbl val="0"/>
      </c:catAx>
      <c:valAx>
        <c:axId val="103724160"/>
        <c:scaling>
          <c:orientation val="minMax"/>
        </c:scaling>
        <c:delete val="0"/>
        <c:axPos val="l"/>
        <c:title>
          <c:tx>
            <c:rich>
              <a:bodyPr rot="-5400000" vert="horz"/>
              <a:lstStyle/>
              <a:p>
                <a:pPr>
                  <a:defRPr/>
                </a:pPr>
                <a:r>
                  <a:rPr lang="en-US"/>
                  <a:t>Urea (mg/dl)</a:t>
                </a:r>
              </a:p>
            </c:rich>
          </c:tx>
          <c:overlay val="0"/>
        </c:title>
        <c:numFmt formatCode="General" sourceLinked="1"/>
        <c:majorTickMark val="out"/>
        <c:minorTickMark val="none"/>
        <c:tickLblPos val="nextTo"/>
        <c:crossAx val="103709696"/>
        <c:crosses val="autoZero"/>
        <c:crossBetween val="between"/>
      </c:valAx>
    </c:plotArea>
    <c:plotVisOnly val="1"/>
    <c:dispBlanksAs val="gap"/>
    <c:showDLblsOverMax val="0"/>
  </c:chart>
  <c:spPr>
    <a:ln>
      <a:noFill/>
    </a:ln>
  </c:spPr>
  <c:externalData r:id="rId2">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Sheet1!$A$217</c:f>
              <c:strCache>
                <c:ptCount val="1"/>
                <c:pt idx="0">
                  <c:v>Creatinine (mg/dl)</c:v>
                </c:pt>
              </c:strCache>
            </c:strRef>
          </c:tx>
          <c:spPr>
            <a:pattFill prst="solidDmnd">
              <a:fgClr>
                <a:schemeClr val="accent1"/>
              </a:fgClr>
              <a:bgClr>
                <a:srgbClr val="FF0000"/>
              </a:bgClr>
            </a:pattFill>
          </c:spPr>
          <c:invertIfNegative val="0"/>
          <c:errBars>
            <c:errBarType val="both"/>
            <c:errValType val="cust"/>
            <c:noEndCap val="0"/>
            <c:plus>
              <c:numRef>
                <c:f>Sheet1!$G$217:$J$217</c:f>
                <c:numCache>
                  <c:formatCode>General</c:formatCode>
                  <c:ptCount val="4"/>
                  <c:pt idx="0">
                    <c:v>0.2</c:v>
                  </c:pt>
                  <c:pt idx="1">
                    <c:v>0.23</c:v>
                  </c:pt>
                  <c:pt idx="2">
                    <c:v>0.22</c:v>
                  </c:pt>
                  <c:pt idx="3">
                    <c:v>0.23</c:v>
                  </c:pt>
                </c:numCache>
              </c:numRef>
            </c:plus>
            <c:minus>
              <c:numRef>
                <c:f>Sheet1!$G$217:$J$217</c:f>
                <c:numCache>
                  <c:formatCode>General</c:formatCode>
                  <c:ptCount val="4"/>
                  <c:pt idx="0">
                    <c:v>0.2</c:v>
                  </c:pt>
                  <c:pt idx="1">
                    <c:v>0.23</c:v>
                  </c:pt>
                  <c:pt idx="2">
                    <c:v>0.22</c:v>
                  </c:pt>
                  <c:pt idx="3">
                    <c:v>0.23</c:v>
                  </c:pt>
                </c:numCache>
              </c:numRef>
            </c:minus>
          </c:errBars>
          <c:cat>
            <c:strRef>
              <c:f>Sheet1!$B$216:$E$216</c:f>
              <c:strCache>
                <c:ptCount val="4"/>
                <c:pt idx="0">
                  <c:v>&lt;15</c:v>
                </c:pt>
                <c:pt idx="1">
                  <c:v>15-21</c:v>
                </c:pt>
                <c:pt idx="2">
                  <c:v>22-33</c:v>
                </c:pt>
                <c:pt idx="3">
                  <c:v>&gt;33</c:v>
                </c:pt>
              </c:strCache>
            </c:strRef>
          </c:cat>
          <c:val>
            <c:numRef>
              <c:f>Sheet1!$B$217:$E$217</c:f>
              <c:numCache>
                <c:formatCode>General</c:formatCode>
                <c:ptCount val="4"/>
                <c:pt idx="0">
                  <c:v>0.77</c:v>
                </c:pt>
                <c:pt idx="1">
                  <c:v>0.81</c:v>
                </c:pt>
                <c:pt idx="2">
                  <c:v>0.91</c:v>
                </c:pt>
                <c:pt idx="3">
                  <c:v>0.91</c:v>
                </c:pt>
              </c:numCache>
            </c:numRef>
          </c:val>
        </c:ser>
        <c:dLbls>
          <c:showLegendKey val="0"/>
          <c:showVal val="0"/>
          <c:showCatName val="0"/>
          <c:showSerName val="0"/>
          <c:showPercent val="0"/>
          <c:showBubbleSize val="0"/>
        </c:dLbls>
        <c:gapWidth val="150"/>
        <c:axId val="103773312"/>
        <c:axId val="103775232"/>
      </c:barChart>
      <c:catAx>
        <c:axId val="103773312"/>
        <c:scaling>
          <c:orientation val="minMax"/>
        </c:scaling>
        <c:delete val="0"/>
        <c:axPos val="b"/>
        <c:title>
          <c:tx>
            <c:rich>
              <a:bodyPr/>
              <a:lstStyle/>
              <a:p>
                <a:pPr>
                  <a:defRPr/>
                </a:pPr>
                <a:r>
                  <a:rPr lang="en-US"/>
                  <a:t>GGT</a:t>
                </a:r>
              </a:p>
            </c:rich>
          </c:tx>
          <c:overlay val="0"/>
        </c:title>
        <c:majorTickMark val="out"/>
        <c:minorTickMark val="none"/>
        <c:tickLblPos val="nextTo"/>
        <c:crossAx val="103775232"/>
        <c:crosses val="autoZero"/>
        <c:auto val="1"/>
        <c:lblAlgn val="ctr"/>
        <c:lblOffset val="100"/>
        <c:noMultiLvlLbl val="0"/>
      </c:catAx>
      <c:valAx>
        <c:axId val="103775232"/>
        <c:scaling>
          <c:orientation val="minMax"/>
        </c:scaling>
        <c:delete val="0"/>
        <c:axPos val="l"/>
        <c:title>
          <c:tx>
            <c:rich>
              <a:bodyPr rot="-5400000" vert="horz"/>
              <a:lstStyle/>
              <a:p>
                <a:pPr>
                  <a:defRPr/>
                </a:pPr>
                <a:r>
                  <a:rPr lang="en-US"/>
                  <a:t>Creatinine (mg/dl)</a:t>
                </a:r>
              </a:p>
            </c:rich>
          </c:tx>
          <c:overlay val="0"/>
        </c:title>
        <c:numFmt formatCode="General" sourceLinked="1"/>
        <c:majorTickMark val="out"/>
        <c:minorTickMark val="none"/>
        <c:tickLblPos val="nextTo"/>
        <c:crossAx val="103773312"/>
        <c:crosses val="autoZero"/>
        <c:crossBetween val="between"/>
      </c:valAx>
    </c:plotArea>
    <c:plotVisOnly val="1"/>
    <c:dispBlanksAs val="gap"/>
    <c:showDLblsOverMax val="0"/>
  </c:chart>
  <c:spPr>
    <a:ln>
      <a:noFill/>
    </a:ln>
  </c:spPr>
  <c:externalData r:id="rId2">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Total Cholesterol (mg/dl)</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40.630000000000003</c:v>
                  </c:pt>
                  <c:pt idx="1">
                    <c:v>61.79</c:v>
                  </c:pt>
                  <c:pt idx="2">
                    <c:v>63.42</c:v>
                  </c:pt>
                  <c:pt idx="3">
                    <c:v>69.849999999999994</c:v>
                  </c:pt>
                </c:numCache>
              </c:numRef>
            </c:plus>
            <c:minus>
              <c:numRef>
                <c:f>Sheet1!$G$242:$J$242</c:f>
                <c:numCache>
                  <c:formatCode>General</c:formatCode>
                  <c:ptCount val="4"/>
                  <c:pt idx="0">
                    <c:v>40.630000000000003</c:v>
                  </c:pt>
                  <c:pt idx="1">
                    <c:v>61.79</c:v>
                  </c:pt>
                  <c:pt idx="2">
                    <c:v>63.42</c:v>
                  </c:pt>
                  <c:pt idx="3">
                    <c:v>69.849999999999994</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182.73</c:v>
                </c:pt>
                <c:pt idx="1">
                  <c:v>210.09</c:v>
                </c:pt>
                <c:pt idx="2">
                  <c:v>222.04</c:v>
                </c:pt>
                <c:pt idx="3">
                  <c:v>241.5</c:v>
                </c:pt>
              </c:numCache>
            </c:numRef>
          </c:val>
        </c:ser>
        <c:dLbls>
          <c:showLegendKey val="0"/>
          <c:showVal val="0"/>
          <c:showCatName val="0"/>
          <c:showSerName val="0"/>
          <c:showPercent val="0"/>
          <c:showBubbleSize val="0"/>
        </c:dLbls>
        <c:gapWidth val="150"/>
        <c:axId val="103812096"/>
        <c:axId val="103814272"/>
      </c:barChart>
      <c:catAx>
        <c:axId val="103812096"/>
        <c:scaling>
          <c:orientation val="minMax"/>
        </c:scaling>
        <c:delete val="0"/>
        <c:axPos val="b"/>
        <c:title>
          <c:tx>
            <c:rich>
              <a:bodyPr/>
              <a:lstStyle/>
              <a:p>
                <a:pPr>
                  <a:defRPr/>
                </a:pPr>
                <a:r>
                  <a:rPr lang="en-US"/>
                  <a:t>ggt</a:t>
                </a:r>
              </a:p>
            </c:rich>
          </c:tx>
          <c:overlay val="0"/>
        </c:title>
        <c:majorTickMark val="out"/>
        <c:minorTickMark val="none"/>
        <c:tickLblPos val="nextTo"/>
        <c:crossAx val="103814272"/>
        <c:crosses val="autoZero"/>
        <c:auto val="1"/>
        <c:lblAlgn val="ctr"/>
        <c:lblOffset val="100"/>
        <c:noMultiLvlLbl val="0"/>
      </c:catAx>
      <c:valAx>
        <c:axId val="103814272"/>
        <c:scaling>
          <c:orientation val="minMax"/>
        </c:scaling>
        <c:delete val="0"/>
        <c:axPos val="l"/>
        <c:title>
          <c:tx>
            <c:rich>
              <a:bodyPr rot="-5400000" vert="horz"/>
              <a:lstStyle/>
              <a:p>
                <a:pPr>
                  <a:defRPr/>
                </a:pPr>
                <a:r>
                  <a:rPr lang="en-US"/>
                  <a:t>Total Cholesterol (mg/dl)</a:t>
                </a:r>
              </a:p>
            </c:rich>
          </c:tx>
          <c:overlay val="0"/>
        </c:title>
        <c:numFmt formatCode="General" sourceLinked="1"/>
        <c:majorTickMark val="out"/>
        <c:minorTickMark val="none"/>
        <c:tickLblPos val="nextTo"/>
        <c:crossAx val="103812096"/>
        <c:crosses val="autoZero"/>
        <c:crossBetween val="between"/>
      </c:valAx>
    </c:plotArea>
    <c:plotVisOnly val="1"/>
    <c:dispBlanksAs val="gap"/>
    <c:showDLblsOverMax val="0"/>
  </c:chart>
  <c:spPr>
    <a:ln>
      <a:noFill/>
    </a:ln>
  </c:spPr>
  <c:externalData r:id="rId2">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LDL (mg/dl)</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43.7</c:v>
                  </c:pt>
                  <c:pt idx="1">
                    <c:v>35.85</c:v>
                  </c:pt>
                  <c:pt idx="2">
                    <c:v>43.69</c:v>
                  </c:pt>
                  <c:pt idx="3">
                    <c:v>43.59</c:v>
                  </c:pt>
                </c:numCache>
              </c:numRef>
            </c:plus>
            <c:minus>
              <c:numRef>
                <c:f>Sheet1!$G$242:$J$242</c:f>
                <c:numCache>
                  <c:formatCode>General</c:formatCode>
                  <c:ptCount val="4"/>
                  <c:pt idx="0">
                    <c:v>43.7</c:v>
                  </c:pt>
                  <c:pt idx="1">
                    <c:v>35.85</c:v>
                  </c:pt>
                  <c:pt idx="2">
                    <c:v>43.69</c:v>
                  </c:pt>
                  <c:pt idx="3">
                    <c:v>43.59</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101.09</c:v>
                </c:pt>
                <c:pt idx="1">
                  <c:v>118.13</c:v>
                </c:pt>
                <c:pt idx="2">
                  <c:v>124.54</c:v>
                </c:pt>
                <c:pt idx="3">
                  <c:v>136.71</c:v>
                </c:pt>
              </c:numCache>
            </c:numRef>
          </c:val>
        </c:ser>
        <c:dLbls>
          <c:showLegendKey val="0"/>
          <c:showVal val="0"/>
          <c:showCatName val="0"/>
          <c:showSerName val="0"/>
          <c:showPercent val="0"/>
          <c:showBubbleSize val="0"/>
        </c:dLbls>
        <c:gapWidth val="150"/>
        <c:axId val="103834752"/>
        <c:axId val="103836672"/>
      </c:barChart>
      <c:catAx>
        <c:axId val="103834752"/>
        <c:scaling>
          <c:orientation val="minMax"/>
        </c:scaling>
        <c:delete val="0"/>
        <c:axPos val="b"/>
        <c:title>
          <c:tx>
            <c:rich>
              <a:bodyPr/>
              <a:lstStyle/>
              <a:p>
                <a:pPr>
                  <a:defRPr/>
                </a:pPr>
                <a:r>
                  <a:rPr lang="en-US"/>
                  <a:t>ggt</a:t>
                </a:r>
              </a:p>
            </c:rich>
          </c:tx>
          <c:overlay val="0"/>
        </c:title>
        <c:majorTickMark val="out"/>
        <c:minorTickMark val="none"/>
        <c:tickLblPos val="nextTo"/>
        <c:crossAx val="103836672"/>
        <c:crosses val="autoZero"/>
        <c:auto val="1"/>
        <c:lblAlgn val="ctr"/>
        <c:lblOffset val="100"/>
        <c:noMultiLvlLbl val="0"/>
      </c:catAx>
      <c:valAx>
        <c:axId val="103836672"/>
        <c:scaling>
          <c:orientation val="minMax"/>
        </c:scaling>
        <c:delete val="0"/>
        <c:axPos val="l"/>
        <c:title>
          <c:tx>
            <c:rich>
              <a:bodyPr rot="-5400000" vert="horz"/>
              <a:lstStyle/>
              <a:p>
                <a:pPr>
                  <a:defRPr/>
                </a:pPr>
                <a:r>
                  <a:rPr lang="en-US"/>
                  <a:t>LDL (mg/dl)</a:t>
                </a:r>
              </a:p>
            </c:rich>
          </c:tx>
          <c:overlay val="0"/>
        </c:title>
        <c:numFmt formatCode="General" sourceLinked="1"/>
        <c:majorTickMark val="out"/>
        <c:minorTickMark val="none"/>
        <c:tickLblPos val="nextTo"/>
        <c:crossAx val="103834752"/>
        <c:crosses val="autoZero"/>
        <c:crossBetween val="between"/>
      </c:valAx>
    </c:plotArea>
    <c:plotVisOnly val="1"/>
    <c:dispBlanksAs val="gap"/>
    <c:showDLblsOverMax val="0"/>
  </c:chart>
  <c:spPr>
    <a:ln>
      <a:noFill/>
    </a:ln>
  </c:spPr>
  <c:externalData r:id="rId2">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HDL (mg/dl)</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14.06</c:v>
                  </c:pt>
                  <c:pt idx="1">
                    <c:v>4.79</c:v>
                  </c:pt>
                  <c:pt idx="2">
                    <c:v>7.3</c:v>
                  </c:pt>
                  <c:pt idx="3">
                    <c:v>5.28</c:v>
                  </c:pt>
                </c:numCache>
              </c:numRef>
            </c:plus>
            <c:minus>
              <c:numRef>
                <c:f>Sheet1!$G$242:$J$242</c:f>
                <c:numCache>
                  <c:formatCode>General</c:formatCode>
                  <c:ptCount val="4"/>
                  <c:pt idx="0">
                    <c:v>14.06</c:v>
                  </c:pt>
                  <c:pt idx="1">
                    <c:v>4.79</c:v>
                  </c:pt>
                  <c:pt idx="2">
                    <c:v>7.3</c:v>
                  </c:pt>
                  <c:pt idx="3">
                    <c:v>5.28</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47.36</c:v>
                </c:pt>
                <c:pt idx="1">
                  <c:v>39.090000000000003</c:v>
                </c:pt>
                <c:pt idx="2">
                  <c:v>31.96</c:v>
                </c:pt>
                <c:pt idx="3">
                  <c:v>29.79</c:v>
                </c:pt>
              </c:numCache>
            </c:numRef>
          </c:val>
        </c:ser>
        <c:dLbls>
          <c:showLegendKey val="0"/>
          <c:showVal val="0"/>
          <c:showCatName val="0"/>
          <c:showSerName val="0"/>
          <c:showPercent val="0"/>
          <c:showBubbleSize val="0"/>
        </c:dLbls>
        <c:gapWidth val="150"/>
        <c:axId val="103877632"/>
        <c:axId val="103879808"/>
      </c:barChart>
      <c:catAx>
        <c:axId val="103877632"/>
        <c:scaling>
          <c:orientation val="minMax"/>
        </c:scaling>
        <c:delete val="0"/>
        <c:axPos val="b"/>
        <c:title>
          <c:tx>
            <c:rich>
              <a:bodyPr/>
              <a:lstStyle/>
              <a:p>
                <a:pPr>
                  <a:defRPr/>
                </a:pPr>
                <a:r>
                  <a:rPr lang="en-US"/>
                  <a:t>ggt</a:t>
                </a:r>
              </a:p>
            </c:rich>
          </c:tx>
          <c:overlay val="0"/>
        </c:title>
        <c:majorTickMark val="out"/>
        <c:minorTickMark val="none"/>
        <c:tickLblPos val="nextTo"/>
        <c:crossAx val="103879808"/>
        <c:crosses val="autoZero"/>
        <c:auto val="1"/>
        <c:lblAlgn val="ctr"/>
        <c:lblOffset val="100"/>
        <c:noMultiLvlLbl val="0"/>
      </c:catAx>
      <c:valAx>
        <c:axId val="103879808"/>
        <c:scaling>
          <c:orientation val="minMax"/>
        </c:scaling>
        <c:delete val="0"/>
        <c:axPos val="l"/>
        <c:title>
          <c:tx>
            <c:rich>
              <a:bodyPr rot="-5400000" vert="horz"/>
              <a:lstStyle/>
              <a:p>
                <a:pPr>
                  <a:defRPr/>
                </a:pPr>
                <a:r>
                  <a:rPr lang="en-US"/>
                  <a:t>HDL (mg/dl)</a:t>
                </a:r>
              </a:p>
            </c:rich>
          </c:tx>
          <c:overlay val="0"/>
        </c:title>
        <c:numFmt formatCode="General" sourceLinked="1"/>
        <c:majorTickMark val="out"/>
        <c:minorTickMark val="none"/>
        <c:tickLblPos val="nextTo"/>
        <c:crossAx val="103877632"/>
        <c:crosses val="autoZero"/>
        <c:crossBetween val="between"/>
      </c:valAx>
    </c:plotArea>
    <c:plotVisOnly val="1"/>
    <c:dispBlanksAs val="gap"/>
    <c:showDLblsOverMax val="0"/>
  </c:chart>
  <c:spPr>
    <a:ln>
      <a:noFill/>
    </a:ln>
  </c:spPr>
  <c:externalData r:id="rId2">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VLDL (mg/dl)</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31.84</c:v>
                  </c:pt>
                  <c:pt idx="1">
                    <c:v>15.11</c:v>
                  </c:pt>
                  <c:pt idx="2">
                    <c:v>32.69</c:v>
                  </c:pt>
                  <c:pt idx="3">
                    <c:v>17.23</c:v>
                  </c:pt>
                </c:numCache>
              </c:numRef>
            </c:plus>
            <c:minus>
              <c:numRef>
                <c:f>Sheet1!$G$242:$J$242</c:f>
                <c:numCache>
                  <c:formatCode>General</c:formatCode>
                  <c:ptCount val="4"/>
                  <c:pt idx="0">
                    <c:v>31.84</c:v>
                  </c:pt>
                  <c:pt idx="1">
                    <c:v>15.11</c:v>
                  </c:pt>
                  <c:pt idx="2">
                    <c:v>32.69</c:v>
                  </c:pt>
                  <c:pt idx="3">
                    <c:v>17.23</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37.450000000000003</c:v>
                </c:pt>
                <c:pt idx="1">
                  <c:v>35.65</c:v>
                </c:pt>
                <c:pt idx="2">
                  <c:v>42.58</c:v>
                </c:pt>
                <c:pt idx="3">
                  <c:v>39.36</c:v>
                </c:pt>
              </c:numCache>
            </c:numRef>
          </c:val>
        </c:ser>
        <c:dLbls>
          <c:showLegendKey val="0"/>
          <c:showVal val="0"/>
          <c:showCatName val="0"/>
          <c:showSerName val="0"/>
          <c:showPercent val="0"/>
          <c:showBubbleSize val="0"/>
        </c:dLbls>
        <c:gapWidth val="150"/>
        <c:axId val="103937152"/>
        <c:axId val="103939072"/>
      </c:barChart>
      <c:catAx>
        <c:axId val="103937152"/>
        <c:scaling>
          <c:orientation val="minMax"/>
        </c:scaling>
        <c:delete val="0"/>
        <c:axPos val="b"/>
        <c:title>
          <c:tx>
            <c:rich>
              <a:bodyPr/>
              <a:lstStyle/>
              <a:p>
                <a:pPr>
                  <a:defRPr/>
                </a:pPr>
                <a:r>
                  <a:rPr lang="en-US"/>
                  <a:t>ggt</a:t>
                </a:r>
              </a:p>
            </c:rich>
          </c:tx>
          <c:overlay val="0"/>
        </c:title>
        <c:majorTickMark val="out"/>
        <c:minorTickMark val="none"/>
        <c:tickLblPos val="nextTo"/>
        <c:crossAx val="103939072"/>
        <c:crosses val="autoZero"/>
        <c:auto val="1"/>
        <c:lblAlgn val="ctr"/>
        <c:lblOffset val="100"/>
        <c:noMultiLvlLbl val="0"/>
      </c:catAx>
      <c:valAx>
        <c:axId val="103939072"/>
        <c:scaling>
          <c:orientation val="minMax"/>
        </c:scaling>
        <c:delete val="0"/>
        <c:axPos val="l"/>
        <c:title>
          <c:tx>
            <c:rich>
              <a:bodyPr rot="-5400000" vert="horz"/>
              <a:lstStyle/>
              <a:p>
                <a:pPr>
                  <a:defRPr/>
                </a:pPr>
                <a:r>
                  <a:rPr lang="en-US"/>
                  <a:t>VLDL (mg/dl)</a:t>
                </a:r>
              </a:p>
            </c:rich>
          </c:tx>
          <c:overlay val="0"/>
        </c:title>
        <c:numFmt formatCode="General" sourceLinked="1"/>
        <c:majorTickMark val="out"/>
        <c:minorTickMark val="none"/>
        <c:tickLblPos val="nextTo"/>
        <c:crossAx val="103937152"/>
        <c:crosses val="autoZero"/>
        <c:crossBetween val="between"/>
      </c:valAx>
    </c:plotArea>
    <c:plotVisOnly val="1"/>
    <c:dispBlanksAs val="gap"/>
    <c:showDLblsOverMax val="0"/>
  </c:chart>
  <c:spPr>
    <a:ln>
      <a:noFill/>
    </a:ln>
  </c:spPr>
  <c:externalData r:id="rId2">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TGL (mg/dl)</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56.72</c:v>
                  </c:pt>
                  <c:pt idx="1">
                    <c:v>43.05</c:v>
                  </c:pt>
                  <c:pt idx="2">
                    <c:v>207.26</c:v>
                  </c:pt>
                  <c:pt idx="3">
                    <c:v>82.41</c:v>
                  </c:pt>
                </c:numCache>
              </c:numRef>
            </c:plus>
            <c:minus>
              <c:numRef>
                <c:f>Sheet1!$G$242:$J$242</c:f>
                <c:numCache>
                  <c:formatCode>General</c:formatCode>
                  <c:ptCount val="4"/>
                  <c:pt idx="0">
                    <c:v>56.72</c:v>
                  </c:pt>
                  <c:pt idx="1">
                    <c:v>43.05</c:v>
                  </c:pt>
                  <c:pt idx="2">
                    <c:v>207.26</c:v>
                  </c:pt>
                  <c:pt idx="3">
                    <c:v>82.41</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142.36000000000001</c:v>
                </c:pt>
                <c:pt idx="1">
                  <c:v>169.35</c:v>
                </c:pt>
                <c:pt idx="2">
                  <c:v>245.54</c:v>
                </c:pt>
                <c:pt idx="3">
                  <c:v>207.76</c:v>
                </c:pt>
              </c:numCache>
            </c:numRef>
          </c:val>
        </c:ser>
        <c:dLbls>
          <c:showLegendKey val="0"/>
          <c:showVal val="0"/>
          <c:showCatName val="0"/>
          <c:showSerName val="0"/>
          <c:showPercent val="0"/>
          <c:showBubbleSize val="0"/>
        </c:dLbls>
        <c:gapWidth val="150"/>
        <c:axId val="236989440"/>
        <c:axId val="237016192"/>
      </c:barChart>
      <c:catAx>
        <c:axId val="236989440"/>
        <c:scaling>
          <c:orientation val="minMax"/>
        </c:scaling>
        <c:delete val="0"/>
        <c:axPos val="b"/>
        <c:title>
          <c:tx>
            <c:rich>
              <a:bodyPr/>
              <a:lstStyle/>
              <a:p>
                <a:pPr>
                  <a:defRPr/>
                </a:pPr>
                <a:r>
                  <a:rPr lang="en-US"/>
                  <a:t>ggt</a:t>
                </a:r>
              </a:p>
            </c:rich>
          </c:tx>
          <c:overlay val="0"/>
        </c:title>
        <c:majorTickMark val="out"/>
        <c:minorTickMark val="none"/>
        <c:tickLblPos val="nextTo"/>
        <c:crossAx val="237016192"/>
        <c:crosses val="autoZero"/>
        <c:auto val="1"/>
        <c:lblAlgn val="ctr"/>
        <c:lblOffset val="100"/>
        <c:noMultiLvlLbl val="0"/>
      </c:catAx>
      <c:valAx>
        <c:axId val="237016192"/>
        <c:scaling>
          <c:orientation val="minMax"/>
        </c:scaling>
        <c:delete val="0"/>
        <c:axPos val="l"/>
        <c:title>
          <c:tx>
            <c:rich>
              <a:bodyPr rot="-5400000" vert="horz"/>
              <a:lstStyle/>
              <a:p>
                <a:pPr>
                  <a:defRPr/>
                </a:pPr>
                <a:r>
                  <a:rPr lang="en-US"/>
                  <a:t>TGL (mg/dl)</a:t>
                </a:r>
              </a:p>
            </c:rich>
          </c:tx>
          <c:overlay val="0"/>
        </c:title>
        <c:numFmt formatCode="General" sourceLinked="1"/>
        <c:majorTickMark val="out"/>
        <c:minorTickMark val="none"/>
        <c:tickLblPos val="nextTo"/>
        <c:crossAx val="236989440"/>
        <c:crosses val="autoZero"/>
        <c:crossBetween val="between"/>
      </c:valAx>
    </c:plotArea>
    <c:plotVisOnly val="1"/>
    <c:dispBlanksAs val="gap"/>
    <c:showDLblsOverMax val="0"/>
  </c:chart>
  <c:spPr>
    <a:ln>
      <a:noFill/>
    </a:ln>
  </c:spPr>
  <c:externalData r:id="rId2">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WBC</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4136.6899999999996</c:v>
                  </c:pt>
                  <c:pt idx="1">
                    <c:v>3123.74</c:v>
                  </c:pt>
                  <c:pt idx="2">
                    <c:v>2540.16</c:v>
                  </c:pt>
                  <c:pt idx="3">
                    <c:v>1468.17</c:v>
                  </c:pt>
                </c:numCache>
              </c:numRef>
            </c:plus>
            <c:minus>
              <c:numRef>
                <c:f>Sheet1!$G$242:$J$242</c:f>
                <c:numCache>
                  <c:formatCode>General</c:formatCode>
                  <c:ptCount val="4"/>
                  <c:pt idx="0">
                    <c:v>4136.6899999999996</c:v>
                  </c:pt>
                  <c:pt idx="1">
                    <c:v>3123.74</c:v>
                  </c:pt>
                  <c:pt idx="2">
                    <c:v>2540.16</c:v>
                  </c:pt>
                  <c:pt idx="3">
                    <c:v>1468.17</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9773.64</c:v>
                </c:pt>
                <c:pt idx="1">
                  <c:v>8325.65</c:v>
                </c:pt>
                <c:pt idx="2">
                  <c:v>9123.33</c:v>
                </c:pt>
                <c:pt idx="3">
                  <c:v>11139.52</c:v>
                </c:pt>
              </c:numCache>
            </c:numRef>
          </c:val>
        </c:ser>
        <c:dLbls>
          <c:showLegendKey val="0"/>
          <c:showVal val="0"/>
          <c:showCatName val="0"/>
          <c:showSerName val="0"/>
          <c:showPercent val="0"/>
          <c:showBubbleSize val="0"/>
        </c:dLbls>
        <c:gapWidth val="150"/>
        <c:axId val="102175872"/>
        <c:axId val="102177792"/>
      </c:barChart>
      <c:catAx>
        <c:axId val="102175872"/>
        <c:scaling>
          <c:orientation val="minMax"/>
        </c:scaling>
        <c:delete val="0"/>
        <c:axPos val="b"/>
        <c:title>
          <c:tx>
            <c:rich>
              <a:bodyPr/>
              <a:lstStyle/>
              <a:p>
                <a:pPr>
                  <a:defRPr/>
                </a:pPr>
                <a:r>
                  <a:rPr lang="en-US"/>
                  <a:t>GGT</a:t>
                </a:r>
              </a:p>
            </c:rich>
          </c:tx>
          <c:overlay val="0"/>
        </c:title>
        <c:majorTickMark val="out"/>
        <c:minorTickMark val="none"/>
        <c:tickLblPos val="nextTo"/>
        <c:crossAx val="102177792"/>
        <c:crosses val="autoZero"/>
        <c:auto val="1"/>
        <c:lblAlgn val="ctr"/>
        <c:lblOffset val="100"/>
        <c:noMultiLvlLbl val="0"/>
      </c:catAx>
      <c:valAx>
        <c:axId val="102177792"/>
        <c:scaling>
          <c:orientation val="minMax"/>
        </c:scaling>
        <c:delete val="0"/>
        <c:axPos val="l"/>
        <c:title>
          <c:tx>
            <c:rich>
              <a:bodyPr rot="-5400000" vert="horz"/>
              <a:lstStyle/>
              <a:p>
                <a:pPr>
                  <a:defRPr/>
                </a:pPr>
                <a:r>
                  <a:rPr lang="en-US"/>
                  <a:t>WBC</a:t>
                </a:r>
              </a:p>
            </c:rich>
          </c:tx>
          <c:overlay val="0"/>
        </c:title>
        <c:numFmt formatCode="General" sourceLinked="1"/>
        <c:majorTickMark val="out"/>
        <c:minorTickMark val="none"/>
        <c:tickLblPos val="nextTo"/>
        <c:crossAx val="102175872"/>
        <c:crosses val="autoZero"/>
        <c:crossBetween val="between"/>
      </c:valAx>
    </c:plotArea>
    <c:plotVisOnly val="1"/>
    <c:dispBlanksAs val="gap"/>
    <c:showDLblsOverMax val="0"/>
  </c:chart>
  <c:spPr>
    <a:ln>
      <a:noFill/>
    </a:ln>
  </c:spPr>
  <c:externalData r:id="rId2">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Hemoglobin (g/dl)</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1.31</c:v>
                  </c:pt>
                  <c:pt idx="1">
                    <c:v>2.88</c:v>
                  </c:pt>
                  <c:pt idx="2">
                    <c:v>2.41</c:v>
                  </c:pt>
                  <c:pt idx="3">
                    <c:v>2.04</c:v>
                  </c:pt>
                </c:numCache>
              </c:numRef>
            </c:plus>
            <c:minus>
              <c:numRef>
                <c:f>Sheet1!$G$242:$J$242</c:f>
                <c:numCache>
                  <c:formatCode>General</c:formatCode>
                  <c:ptCount val="4"/>
                  <c:pt idx="0">
                    <c:v>1.31</c:v>
                  </c:pt>
                  <c:pt idx="1">
                    <c:v>2.88</c:v>
                  </c:pt>
                  <c:pt idx="2">
                    <c:v>2.41</c:v>
                  </c:pt>
                  <c:pt idx="3">
                    <c:v>2.04</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13.39</c:v>
                </c:pt>
                <c:pt idx="1">
                  <c:v>12.63</c:v>
                </c:pt>
                <c:pt idx="2">
                  <c:v>13.54</c:v>
                </c:pt>
                <c:pt idx="3">
                  <c:v>12.69</c:v>
                </c:pt>
              </c:numCache>
            </c:numRef>
          </c:val>
        </c:ser>
        <c:dLbls>
          <c:showLegendKey val="0"/>
          <c:showVal val="0"/>
          <c:showCatName val="0"/>
          <c:showSerName val="0"/>
          <c:showPercent val="0"/>
          <c:showBubbleSize val="0"/>
        </c:dLbls>
        <c:gapWidth val="150"/>
        <c:axId val="102198272"/>
        <c:axId val="102233216"/>
      </c:barChart>
      <c:catAx>
        <c:axId val="102198272"/>
        <c:scaling>
          <c:orientation val="minMax"/>
        </c:scaling>
        <c:delete val="0"/>
        <c:axPos val="b"/>
        <c:title>
          <c:tx>
            <c:rich>
              <a:bodyPr/>
              <a:lstStyle/>
              <a:p>
                <a:pPr>
                  <a:defRPr/>
                </a:pPr>
                <a:r>
                  <a:rPr lang="en-US"/>
                  <a:t>GGT</a:t>
                </a:r>
              </a:p>
            </c:rich>
          </c:tx>
          <c:overlay val="0"/>
        </c:title>
        <c:majorTickMark val="out"/>
        <c:minorTickMark val="none"/>
        <c:tickLblPos val="nextTo"/>
        <c:crossAx val="102233216"/>
        <c:crosses val="autoZero"/>
        <c:auto val="1"/>
        <c:lblAlgn val="ctr"/>
        <c:lblOffset val="100"/>
        <c:noMultiLvlLbl val="0"/>
      </c:catAx>
      <c:valAx>
        <c:axId val="102233216"/>
        <c:scaling>
          <c:orientation val="minMax"/>
        </c:scaling>
        <c:delete val="0"/>
        <c:axPos val="l"/>
        <c:title>
          <c:tx>
            <c:rich>
              <a:bodyPr rot="-5400000" vert="horz"/>
              <a:lstStyle/>
              <a:p>
                <a:pPr>
                  <a:defRPr/>
                </a:pPr>
                <a:r>
                  <a:rPr lang="en-US"/>
                  <a:t>Hemoglobin (g/dl)</a:t>
                </a:r>
              </a:p>
            </c:rich>
          </c:tx>
          <c:overlay val="0"/>
        </c:title>
        <c:numFmt formatCode="General" sourceLinked="1"/>
        <c:majorTickMark val="out"/>
        <c:minorTickMark val="none"/>
        <c:tickLblPos val="nextTo"/>
        <c:crossAx val="102198272"/>
        <c:crosses val="autoZero"/>
        <c:crossBetween val="between"/>
      </c:valAx>
    </c:plotArea>
    <c:plotVisOnly val="1"/>
    <c:dispBlanksAs val="gap"/>
    <c:showDLblsOverMax val="0"/>
  </c:chart>
  <c:spPr>
    <a:ln>
      <a:noFill/>
    </a:ln>
  </c:spPr>
  <c:externalData r:id="rId2">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Platelet Count</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0.67</c:v>
                  </c:pt>
                  <c:pt idx="1">
                    <c:v>1.19</c:v>
                  </c:pt>
                  <c:pt idx="2">
                    <c:v>0.96</c:v>
                  </c:pt>
                  <c:pt idx="3">
                    <c:v>0.73</c:v>
                  </c:pt>
                </c:numCache>
              </c:numRef>
            </c:plus>
            <c:minus>
              <c:numRef>
                <c:f>Sheet1!$G$242:$J$242</c:f>
                <c:numCache>
                  <c:formatCode>General</c:formatCode>
                  <c:ptCount val="4"/>
                  <c:pt idx="0">
                    <c:v>0.67</c:v>
                  </c:pt>
                  <c:pt idx="1">
                    <c:v>1.19</c:v>
                  </c:pt>
                  <c:pt idx="2">
                    <c:v>0.96</c:v>
                  </c:pt>
                  <c:pt idx="3">
                    <c:v>0.73</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2.57</c:v>
                </c:pt>
                <c:pt idx="1">
                  <c:v>2.62</c:v>
                </c:pt>
                <c:pt idx="2">
                  <c:v>2.74</c:v>
                </c:pt>
                <c:pt idx="3">
                  <c:v>2.58</c:v>
                </c:pt>
              </c:numCache>
            </c:numRef>
          </c:val>
        </c:ser>
        <c:dLbls>
          <c:showLegendKey val="0"/>
          <c:showVal val="0"/>
          <c:showCatName val="0"/>
          <c:showSerName val="0"/>
          <c:showPercent val="0"/>
          <c:showBubbleSize val="0"/>
        </c:dLbls>
        <c:gapWidth val="150"/>
        <c:axId val="104084608"/>
        <c:axId val="104086528"/>
      </c:barChart>
      <c:catAx>
        <c:axId val="104084608"/>
        <c:scaling>
          <c:orientation val="minMax"/>
        </c:scaling>
        <c:delete val="0"/>
        <c:axPos val="b"/>
        <c:title>
          <c:tx>
            <c:rich>
              <a:bodyPr/>
              <a:lstStyle/>
              <a:p>
                <a:pPr>
                  <a:defRPr/>
                </a:pPr>
                <a:r>
                  <a:rPr lang="en-US"/>
                  <a:t>GGT</a:t>
                </a:r>
              </a:p>
            </c:rich>
          </c:tx>
          <c:overlay val="0"/>
        </c:title>
        <c:majorTickMark val="out"/>
        <c:minorTickMark val="none"/>
        <c:tickLblPos val="nextTo"/>
        <c:crossAx val="104086528"/>
        <c:crosses val="autoZero"/>
        <c:auto val="1"/>
        <c:lblAlgn val="ctr"/>
        <c:lblOffset val="100"/>
        <c:noMultiLvlLbl val="0"/>
      </c:catAx>
      <c:valAx>
        <c:axId val="104086528"/>
        <c:scaling>
          <c:orientation val="minMax"/>
        </c:scaling>
        <c:delete val="0"/>
        <c:axPos val="l"/>
        <c:title>
          <c:tx>
            <c:rich>
              <a:bodyPr rot="-5400000" vert="horz"/>
              <a:lstStyle/>
              <a:p>
                <a:pPr>
                  <a:defRPr/>
                </a:pPr>
                <a:r>
                  <a:rPr lang="en-US"/>
                  <a:t>Platelet Count</a:t>
                </a:r>
              </a:p>
            </c:rich>
          </c:tx>
          <c:overlay val="0"/>
        </c:title>
        <c:numFmt formatCode="General" sourceLinked="1"/>
        <c:majorTickMark val="out"/>
        <c:minorTickMark val="none"/>
        <c:tickLblPos val="nextTo"/>
        <c:crossAx val="104084608"/>
        <c:crosses val="autoZero"/>
        <c:crossBetween val="between"/>
      </c:valAx>
    </c:plotArea>
    <c:plotVisOnly val="1"/>
    <c:dispBlanksAs val="gap"/>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Sheet1!$B$4</c:f>
              <c:strCache>
                <c:ptCount val="1"/>
                <c:pt idx="0">
                  <c:v>%</c:v>
                </c:pt>
              </c:strCache>
            </c:strRef>
          </c:tx>
          <c:spPr>
            <a:pattFill prst="solidDmnd">
              <a:fgClr>
                <a:schemeClr val="accent1"/>
              </a:fgClr>
              <a:bgClr>
                <a:srgbClr val="FF0000"/>
              </a:bgClr>
            </a:pattFill>
          </c:spPr>
          <c:invertIfNegative val="0"/>
          <c:cat>
            <c:strRef>
              <c:f>Sheet1!$A$41:$A$46</c:f>
              <c:strCache>
                <c:ptCount val="6"/>
                <c:pt idx="0">
                  <c:v>&lt;1</c:v>
                </c:pt>
                <c:pt idx="1">
                  <c:v>1-5</c:v>
                </c:pt>
                <c:pt idx="2">
                  <c:v>6-10</c:v>
                </c:pt>
                <c:pt idx="3">
                  <c:v>11-15</c:v>
                </c:pt>
                <c:pt idx="4">
                  <c:v>16-20</c:v>
                </c:pt>
                <c:pt idx="5">
                  <c:v>&gt;20</c:v>
                </c:pt>
              </c:strCache>
            </c:strRef>
          </c:cat>
          <c:val>
            <c:numRef>
              <c:f>Sheet1!$B$41:$B$46</c:f>
              <c:numCache>
                <c:formatCode>General</c:formatCode>
                <c:ptCount val="6"/>
                <c:pt idx="0">
                  <c:v>5</c:v>
                </c:pt>
                <c:pt idx="1">
                  <c:v>40</c:v>
                </c:pt>
                <c:pt idx="2">
                  <c:v>26</c:v>
                </c:pt>
                <c:pt idx="3">
                  <c:v>4</c:v>
                </c:pt>
                <c:pt idx="4">
                  <c:v>1</c:v>
                </c:pt>
                <c:pt idx="5">
                  <c:v>0</c:v>
                </c:pt>
              </c:numCache>
            </c:numRef>
          </c:val>
        </c:ser>
        <c:dLbls>
          <c:showLegendKey val="0"/>
          <c:showVal val="0"/>
          <c:showCatName val="0"/>
          <c:showSerName val="0"/>
          <c:showPercent val="0"/>
          <c:showBubbleSize val="0"/>
        </c:dLbls>
        <c:gapWidth val="150"/>
        <c:shape val="cylinder"/>
        <c:axId val="68231168"/>
        <c:axId val="68233088"/>
        <c:axId val="0"/>
      </c:bar3DChart>
      <c:catAx>
        <c:axId val="68231168"/>
        <c:scaling>
          <c:orientation val="minMax"/>
        </c:scaling>
        <c:delete val="0"/>
        <c:axPos val="b"/>
        <c:title>
          <c:tx>
            <c:rich>
              <a:bodyPr/>
              <a:lstStyle/>
              <a:p>
                <a:pPr>
                  <a:defRPr/>
                </a:pPr>
                <a:r>
                  <a:rPr lang="en-US"/>
                  <a:t>HTN Duration</a:t>
                </a:r>
              </a:p>
            </c:rich>
          </c:tx>
          <c:overlay val="0"/>
        </c:title>
        <c:majorTickMark val="out"/>
        <c:minorTickMark val="none"/>
        <c:tickLblPos val="nextTo"/>
        <c:crossAx val="68233088"/>
        <c:crosses val="autoZero"/>
        <c:auto val="1"/>
        <c:lblAlgn val="ctr"/>
        <c:lblOffset val="100"/>
        <c:noMultiLvlLbl val="0"/>
      </c:catAx>
      <c:valAx>
        <c:axId val="68233088"/>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68231168"/>
        <c:crosses val="autoZero"/>
        <c:crossBetween val="between"/>
      </c:valAx>
    </c:plotArea>
    <c:plotVisOnly val="1"/>
    <c:dispBlanksAs val="gap"/>
    <c:showDLblsOverMax val="0"/>
  </c:chart>
  <c:spPr>
    <a:ln>
      <a:noFill/>
    </a:ln>
  </c:spPr>
  <c:externalData r:id="rId2">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Insulin</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2.73</c:v>
                  </c:pt>
                  <c:pt idx="1">
                    <c:v>2.88</c:v>
                  </c:pt>
                  <c:pt idx="2">
                    <c:v>2.5299999999999998</c:v>
                  </c:pt>
                  <c:pt idx="3">
                    <c:v>3.12</c:v>
                  </c:pt>
                </c:numCache>
              </c:numRef>
            </c:plus>
            <c:minus>
              <c:numRef>
                <c:f>Sheet1!$G$242:$J$242</c:f>
                <c:numCache>
                  <c:formatCode>General</c:formatCode>
                  <c:ptCount val="4"/>
                  <c:pt idx="0">
                    <c:v>2.73</c:v>
                  </c:pt>
                  <c:pt idx="1">
                    <c:v>2.88</c:v>
                  </c:pt>
                  <c:pt idx="2">
                    <c:v>2.5299999999999998</c:v>
                  </c:pt>
                  <c:pt idx="3">
                    <c:v>3.12</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9.0500000000000007</c:v>
                </c:pt>
                <c:pt idx="1">
                  <c:v>9.1300000000000008</c:v>
                </c:pt>
                <c:pt idx="2">
                  <c:v>9.67</c:v>
                </c:pt>
                <c:pt idx="3">
                  <c:v>11.46</c:v>
                </c:pt>
              </c:numCache>
            </c:numRef>
          </c:val>
        </c:ser>
        <c:dLbls>
          <c:showLegendKey val="0"/>
          <c:showVal val="0"/>
          <c:showCatName val="0"/>
          <c:showSerName val="0"/>
          <c:showPercent val="0"/>
          <c:showBubbleSize val="0"/>
        </c:dLbls>
        <c:gapWidth val="150"/>
        <c:axId val="104123392"/>
        <c:axId val="104125568"/>
      </c:barChart>
      <c:catAx>
        <c:axId val="104123392"/>
        <c:scaling>
          <c:orientation val="minMax"/>
        </c:scaling>
        <c:delete val="0"/>
        <c:axPos val="b"/>
        <c:title>
          <c:tx>
            <c:rich>
              <a:bodyPr/>
              <a:lstStyle/>
              <a:p>
                <a:pPr>
                  <a:defRPr/>
                </a:pPr>
                <a:r>
                  <a:rPr lang="en-US"/>
                  <a:t>GGT</a:t>
                </a:r>
              </a:p>
            </c:rich>
          </c:tx>
          <c:overlay val="0"/>
        </c:title>
        <c:majorTickMark val="out"/>
        <c:minorTickMark val="none"/>
        <c:tickLblPos val="nextTo"/>
        <c:crossAx val="104125568"/>
        <c:crosses val="autoZero"/>
        <c:auto val="1"/>
        <c:lblAlgn val="ctr"/>
        <c:lblOffset val="100"/>
        <c:noMultiLvlLbl val="0"/>
      </c:catAx>
      <c:valAx>
        <c:axId val="104125568"/>
        <c:scaling>
          <c:orientation val="minMax"/>
        </c:scaling>
        <c:delete val="0"/>
        <c:axPos val="l"/>
        <c:title>
          <c:tx>
            <c:rich>
              <a:bodyPr rot="-5400000" vert="horz"/>
              <a:lstStyle/>
              <a:p>
                <a:pPr>
                  <a:defRPr/>
                </a:pPr>
                <a:r>
                  <a:rPr lang="en-US"/>
                  <a:t>Insulin</a:t>
                </a:r>
              </a:p>
            </c:rich>
          </c:tx>
          <c:overlay val="0"/>
        </c:title>
        <c:numFmt formatCode="General" sourceLinked="1"/>
        <c:majorTickMark val="out"/>
        <c:minorTickMark val="none"/>
        <c:tickLblPos val="nextTo"/>
        <c:crossAx val="104123392"/>
        <c:crosses val="autoZero"/>
        <c:crossBetween val="between"/>
      </c:valAx>
    </c:plotArea>
    <c:plotVisOnly val="1"/>
    <c:dispBlanksAs val="gap"/>
    <c:showDLblsOverMax val="0"/>
  </c:chart>
  <c:spPr>
    <a:ln>
      <a:noFill/>
    </a:ln>
  </c:spPr>
  <c:externalData r:id="rId2">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Sheet1!$A$242</c:f>
              <c:strCache>
                <c:ptCount val="1"/>
                <c:pt idx="0">
                  <c:v>HOMA</c:v>
                </c:pt>
              </c:strCache>
            </c:strRef>
          </c:tx>
          <c:spPr>
            <a:pattFill prst="solidDmnd">
              <a:fgClr>
                <a:schemeClr val="accent1"/>
              </a:fgClr>
              <a:bgClr>
                <a:srgbClr val="FF0000"/>
              </a:bgClr>
            </a:pattFill>
          </c:spPr>
          <c:invertIfNegative val="0"/>
          <c:errBars>
            <c:errBarType val="both"/>
            <c:errValType val="cust"/>
            <c:noEndCap val="0"/>
            <c:plus>
              <c:numRef>
                <c:f>Sheet1!$G$242:$J$242</c:f>
                <c:numCache>
                  <c:formatCode>General</c:formatCode>
                  <c:ptCount val="4"/>
                  <c:pt idx="0">
                    <c:v>1.1399999999999999</c:v>
                  </c:pt>
                  <c:pt idx="1">
                    <c:v>1.79</c:v>
                  </c:pt>
                  <c:pt idx="2">
                    <c:v>1.93</c:v>
                  </c:pt>
                  <c:pt idx="3">
                    <c:v>3.02</c:v>
                  </c:pt>
                </c:numCache>
              </c:numRef>
            </c:plus>
            <c:minus>
              <c:numRef>
                <c:f>Sheet1!$G$242:$J$242</c:f>
                <c:numCache>
                  <c:formatCode>General</c:formatCode>
                  <c:ptCount val="4"/>
                  <c:pt idx="0">
                    <c:v>1.1399999999999999</c:v>
                  </c:pt>
                  <c:pt idx="1">
                    <c:v>1.79</c:v>
                  </c:pt>
                  <c:pt idx="2">
                    <c:v>1.93</c:v>
                  </c:pt>
                  <c:pt idx="3">
                    <c:v>3.02</c:v>
                  </c:pt>
                </c:numCache>
              </c:numRef>
            </c:minus>
          </c:errBars>
          <c:cat>
            <c:strRef>
              <c:f>Sheet1!$B$241:$E$241</c:f>
              <c:strCache>
                <c:ptCount val="4"/>
                <c:pt idx="0">
                  <c:v>&lt;15</c:v>
                </c:pt>
                <c:pt idx="1">
                  <c:v>15-21</c:v>
                </c:pt>
                <c:pt idx="2">
                  <c:v>22-33</c:v>
                </c:pt>
                <c:pt idx="3">
                  <c:v>&gt;33</c:v>
                </c:pt>
              </c:strCache>
            </c:strRef>
          </c:cat>
          <c:val>
            <c:numRef>
              <c:f>Sheet1!$B$242:$E$242</c:f>
              <c:numCache>
                <c:formatCode>General</c:formatCode>
                <c:ptCount val="4"/>
                <c:pt idx="0">
                  <c:v>2.81</c:v>
                </c:pt>
                <c:pt idx="1">
                  <c:v>4.51</c:v>
                </c:pt>
                <c:pt idx="2">
                  <c:v>4.9800000000000004</c:v>
                </c:pt>
                <c:pt idx="3">
                  <c:v>6.98</c:v>
                </c:pt>
              </c:numCache>
            </c:numRef>
          </c:val>
        </c:ser>
        <c:dLbls>
          <c:showLegendKey val="0"/>
          <c:showVal val="0"/>
          <c:showCatName val="0"/>
          <c:showSerName val="0"/>
          <c:showPercent val="0"/>
          <c:showBubbleSize val="0"/>
        </c:dLbls>
        <c:gapWidth val="150"/>
        <c:axId val="104178816"/>
        <c:axId val="104180736"/>
      </c:barChart>
      <c:catAx>
        <c:axId val="104178816"/>
        <c:scaling>
          <c:orientation val="minMax"/>
        </c:scaling>
        <c:delete val="0"/>
        <c:axPos val="b"/>
        <c:title>
          <c:tx>
            <c:rich>
              <a:bodyPr/>
              <a:lstStyle/>
              <a:p>
                <a:pPr>
                  <a:defRPr/>
                </a:pPr>
                <a:r>
                  <a:rPr lang="en-US"/>
                  <a:t>GGT</a:t>
                </a:r>
              </a:p>
            </c:rich>
          </c:tx>
          <c:overlay val="0"/>
        </c:title>
        <c:majorTickMark val="out"/>
        <c:minorTickMark val="none"/>
        <c:tickLblPos val="nextTo"/>
        <c:crossAx val="104180736"/>
        <c:crosses val="autoZero"/>
        <c:auto val="1"/>
        <c:lblAlgn val="ctr"/>
        <c:lblOffset val="100"/>
        <c:noMultiLvlLbl val="0"/>
      </c:catAx>
      <c:valAx>
        <c:axId val="104180736"/>
        <c:scaling>
          <c:orientation val="minMax"/>
        </c:scaling>
        <c:delete val="0"/>
        <c:axPos val="l"/>
        <c:title>
          <c:tx>
            <c:rich>
              <a:bodyPr rot="-5400000" vert="horz"/>
              <a:lstStyle/>
              <a:p>
                <a:pPr>
                  <a:defRPr/>
                </a:pPr>
                <a:r>
                  <a:rPr lang="en-US"/>
                  <a:t>HOMA</a:t>
                </a:r>
              </a:p>
            </c:rich>
          </c:tx>
          <c:overlay val="0"/>
        </c:title>
        <c:numFmt formatCode="General" sourceLinked="1"/>
        <c:majorTickMark val="out"/>
        <c:minorTickMark val="none"/>
        <c:tickLblPos val="nextTo"/>
        <c:crossAx val="104178816"/>
        <c:crosses val="autoZero"/>
        <c:crossBetween val="between"/>
      </c:valAx>
    </c:plotArea>
    <c:plotVisOnly val="1"/>
    <c:dispBlanksAs val="gap"/>
    <c:showDLblsOverMax val="0"/>
  </c:chart>
  <c:spPr>
    <a:ln>
      <a:no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Sheet1!$B$4</c:f>
              <c:strCache>
                <c:ptCount val="1"/>
                <c:pt idx="0">
                  <c:v>%</c:v>
                </c:pt>
              </c:strCache>
            </c:strRef>
          </c:tx>
          <c:spPr>
            <a:pattFill prst="solidDmnd">
              <a:fgClr>
                <a:schemeClr val="accent1"/>
              </a:fgClr>
              <a:bgClr>
                <a:srgbClr val="FF0000"/>
              </a:bgClr>
            </a:pattFill>
          </c:spPr>
          <c:invertIfNegative val="0"/>
          <c:cat>
            <c:strRef>
              <c:f>Sheet1!$A$51:$A$56</c:f>
              <c:strCache>
                <c:ptCount val="6"/>
                <c:pt idx="0">
                  <c:v>&lt;1</c:v>
                </c:pt>
                <c:pt idx="1">
                  <c:v>1-5</c:v>
                </c:pt>
                <c:pt idx="2">
                  <c:v>6-10</c:v>
                </c:pt>
                <c:pt idx="3">
                  <c:v>11-15</c:v>
                </c:pt>
                <c:pt idx="4">
                  <c:v>16-20</c:v>
                </c:pt>
                <c:pt idx="5">
                  <c:v>&gt;20</c:v>
                </c:pt>
              </c:strCache>
            </c:strRef>
          </c:cat>
          <c:val>
            <c:numRef>
              <c:f>Sheet1!$B$51:$B$56</c:f>
              <c:numCache>
                <c:formatCode>General</c:formatCode>
                <c:ptCount val="6"/>
                <c:pt idx="0">
                  <c:v>15</c:v>
                </c:pt>
                <c:pt idx="1">
                  <c:v>33</c:v>
                </c:pt>
                <c:pt idx="2">
                  <c:v>11</c:v>
                </c:pt>
                <c:pt idx="3">
                  <c:v>1</c:v>
                </c:pt>
                <c:pt idx="4">
                  <c:v>0</c:v>
                </c:pt>
                <c:pt idx="5">
                  <c:v>0</c:v>
                </c:pt>
              </c:numCache>
            </c:numRef>
          </c:val>
        </c:ser>
        <c:dLbls>
          <c:showLegendKey val="0"/>
          <c:showVal val="0"/>
          <c:showCatName val="0"/>
          <c:showSerName val="0"/>
          <c:showPercent val="0"/>
          <c:showBubbleSize val="0"/>
        </c:dLbls>
        <c:gapWidth val="150"/>
        <c:shape val="cylinder"/>
        <c:axId val="68241280"/>
        <c:axId val="68284416"/>
        <c:axId val="0"/>
      </c:bar3DChart>
      <c:catAx>
        <c:axId val="68241280"/>
        <c:scaling>
          <c:orientation val="minMax"/>
        </c:scaling>
        <c:delete val="0"/>
        <c:axPos val="b"/>
        <c:title>
          <c:tx>
            <c:rich>
              <a:bodyPr/>
              <a:lstStyle/>
              <a:p>
                <a:pPr>
                  <a:defRPr/>
                </a:pPr>
                <a:r>
                  <a:rPr lang="en-US"/>
                  <a:t>Dyslipidemia duration</a:t>
                </a:r>
              </a:p>
            </c:rich>
          </c:tx>
          <c:overlay val="0"/>
        </c:title>
        <c:majorTickMark val="out"/>
        <c:minorTickMark val="none"/>
        <c:tickLblPos val="nextTo"/>
        <c:crossAx val="68284416"/>
        <c:crosses val="autoZero"/>
        <c:auto val="1"/>
        <c:lblAlgn val="ctr"/>
        <c:lblOffset val="100"/>
        <c:noMultiLvlLbl val="0"/>
      </c:catAx>
      <c:valAx>
        <c:axId val="68284416"/>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68241280"/>
        <c:crosses val="autoZero"/>
        <c:crossBetween val="between"/>
      </c:valAx>
    </c:plotArea>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Sheet1!$B$63</c:f>
              <c:strCache>
                <c:ptCount val="1"/>
                <c:pt idx="0">
                  <c:v>Female</c:v>
                </c:pt>
              </c:strCache>
            </c:strRef>
          </c:tx>
          <c:spPr>
            <a:pattFill prst="solidDmnd">
              <a:fgClr>
                <a:srgbClr val="4F81BD">
                  <a:lumMod val="100000"/>
                </a:srgbClr>
              </a:fgClr>
              <a:bgClr>
                <a:srgbClr val="FF0000"/>
              </a:bgClr>
            </a:pattFill>
          </c:spPr>
          <c:invertIfNegative val="0"/>
          <c:cat>
            <c:strRef>
              <c:f>Sheet1!$A$64:$A$66</c:f>
              <c:strCache>
                <c:ptCount val="3"/>
                <c:pt idx="0">
                  <c:v>·80-90</c:v>
                </c:pt>
                <c:pt idx="1">
                  <c:v>·90-110</c:v>
                </c:pt>
                <c:pt idx="2">
                  <c:v>·&gt;110</c:v>
                </c:pt>
              </c:strCache>
            </c:strRef>
          </c:cat>
          <c:val>
            <c:numRef>
              <c:f>Sheet1!$B$64:$B$66</c:f>
              <c:numCache>
                <c:formatCode>General</c:formatCode>
                <c:ptCount val="3"/>
                <c:pt idx="0">
                  <c:v>34.799999999999997</c:v>
                </c:pt>
                <c:pt idx="1">
                  <c:v>60.9</c:v>
                </c:pt>
                <c:pt idx="2">
                  <c:v>4.3</c:v>
                </c:pt>
              </c:numCache>
            </c:numRef>
          </c:val>
        </c:ser>
        <c:ser>
          <c:idx val="1"/>
          <c:order val="1"/>
          <c:tx>
            <c:strRef>
              <c:f>Sheet1!$C$63</c:f>
              <c:strCache>
                <c:ptCount val="1"/>
                <c:pt idx="0">
                  <c:v>Male</c:v>
                </c:pt>
              </c:strCache>
            </c:strRef>
          </c:tx>
          <c:spPr>
            <a:pattFill prst="solidDmnd">
              <a:fgClr>
                <a:srgbClr val="4F81BD">
                  <a:lumMod val="100000"/>
                </a:srgbClr>
              </a:fgClr>
              <a:bgClr>
                <a:srgbClr val="00B050"/>
              </a:bgClr>
            </a:pattFill>
          </c:spPr>
          <c:invertIfNegative val="0"/>
          <c:cat>
            <c:strRef>
              <c:f>Sheet1!$A$64:$A$66</c:f>
              <c:strCache>
                <c:ptCount val="3"/>
                <c:pt idx="0">
                  <c:v>·80-90</c:v>
                </c:pt>
                <c:pt idx="1">
                  <c:v>·90-110</c:v>
                </c:pt>
                <c:pt idx="2">
                  <c:v>·&gt;110</c:v>
                </c:pt>
              </c:strCache>
            </c:strRef>
          </c:cat>
          <c:val>
            <c:numRef>
              <c:f>Sheet1!$C$64:$C$66</c:f>
              <c:numCache>
                <c:formatCode>General</c:formatCode>
                <c:ptCount val="3"/>
                <c:pt idx="0">
                  <c:v>0</c:v>
                </c:pt>
                <c:pt idx="1">
                  <c:v>92.6</c:v>
                </c:pt>
                <c:pt idx="2">
                  <c:v>7.4</c:v>
                </c:pt>
              </c:numCache>
            </c:numRef>
          </c:val>
        </c:ser>
        <c:dLbls>
          <c:showLegendKey val="0"/>
          <c:showVal val="0"/>
          <c:showCatName val="0"/>
          <c:showSerName val="0"/>
          <c:showPercent val="0"/>
          <c:showBubbleSize val="0"/>
        </c:dLbls>
        <c:gapWidth val="150"/>
        <c:shape val="cylinder"/>
        <c:axId val="68309760"/>
        <c:axId val="68311680"/>
        <c:axId val="0"/>
      </c:bar3DChart>
      <c:catAx>
        <c:axId val="68309760"/>
        <c:scaling>
          <c:orientation val="minMax"/>
        </c:scaling>
        <c:delete val="0"/>
        <c:axPos val="b"/>
        <c:title>
          <c:tx>
            <c:rich>
              <a:bodyPr/>
              <a:lstStyle/>
              <a:p>
                <a:pPr>
                  <a:defRPr/>
                </a:pPr>
                <a:r>
                  <a:rPr lang="en-US"/>
                  <a:t>WC</a:t>
                </a:r>
              </a:p>
            </c:rich>
          </c:tx>
          <c:overlay val="0"/>
        </c:title>
        <c:majorTickMark val="out"/>
        <c:minorTickMark val="none"/>
        <c:tickLblPos val="nextTo"/>
        <c:crossAx val="68311680"/>
        <c:crosses val="autoZero"/>
        <c:auto val="1"/>
        <c:lblAlgn val="ctr"/>
        <c:lblOffset val="100"/>
        <c:noMultiLvlLbl val="0"/>
      </c:catAx>
      <c:valAx>
        <c:axId val="6831168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68309760"/>
        <c:crosses val="autoZero"/>
        <c:crossBetween val="between"/>
      </c:valAx>
    </c:plotArea>
    <c:legend>
      <c:legendPos val="r"/>
      <c:layout>
        <c:manualLayout>
          <c:xMode val="edge"/>
          <c:yMode val="edge"/>
          <c:x val="0.84554265091863512"/>
          <c:y val="3.2023549139690875E-2"/>
          <c:w val="0.12945734908136483"/>
          <c:h val="0.16743438320209975"/>
        </c:manualLayout>
      </c:layout>
      <c:overlay val="0"/>
    </c:legend>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Sheet1!$B$63</c:f>
              <c:strCache>
                <c:ptCount val="1"/>
                <c:pt idx="0">
                  <c:v>Female</c:v>
                </c:pt>
              </c:strCache>
            </c:strRef>
          </c:tx>
          <c:spPr>
            <a:pattFill prst="solidDmnd">
              <a:fgClr>
                <a:srgbClr val="4F81BD">
                  <a:lumMod val="100000"/>
                </a:srgbClr>
              </a:fgClr>
              <a:bgClr>
                <a:srgbClr val="FF0000"/>
              </a:bgClr>
            </a:pattFill>
          </c:spPr>
          <c:invertIfNegative val="0"/>
          <c:cat>
            <c:strRef>
              <c:f>Sheet1!$A$68:$A$71</c:f>
              <c:strCache>
                <c:ptCount val="4"/>
                <c:pt idx="0">
                  <c:v>·&lt;18.5</c:v>
                </c:pt>
                <c:pt idx="1">
                  <c:v>·18.5-25</c:v>
                </c:pt>
                <c:pt idx="2">
                  <c:v>·25-30</c:v>
                </c:pt>
                <c:pt idx="3">
                  <c:v>·&gt;30</c:v>
                </c:pt>
              </c:strCache>
            </c:strRef>
          </c:cat>
          <c:val>
            <c:numRef>
              <c:f>Sheet1!$B$68:$B$71</c:f>
              <c:numCache>
                <c:formatCode>General</c:formatCode>
                <c:ptCount val="4"/>
                <c:pt idx="0">
                  <c:v>0</c:v>
                </c:pt>
                <c:pt idx="1">
                  <c:v>0</c:v>
                </c:pt>
                <c:pt idx="2">
                  <c:v>15.2</c:v>
                </c:pt>
                <c:pt idx="3">
                  <c:v>84.8</c:v>
                </c:pt>
              </c:numCache>
            </c:numRef>
          </c:val>
        </c:ser>
        <c:ser>
          <c:idx val="1"/>
          <c:order val="1"/>
          <c:tx>
            <c:strRef>
              <c:f>Sheet1!$C$63</c:f>
              <c:strCache>
                <c:ptCount val="1"/>
                <c:pt idx="0">
                  <c:v>Male</c:v>
                </c:pt>
              </c:strCache>
            </c:strRef>
          </c:tx>
          <c:spPr>
            <a:pattFill prst="solidDmnd">
              <a:fgClr>
                <a:srgbClr val="4F81BD">
                  <a:lumMod val="100000"/>
                </a:srgbClr>
              </a:fgClr>
              <a:bgClr>
                <a:srgbClr val="00B050"/>
              </a:bgClr>
            </a:pattFill>
          </c:spPr>
          <c:invertIfNegative val="0"/>
          <c:cat>
            <c:strRef>
              <c:f>Sheet1!$A$68:$A$71</c:f>
              <c:strCache>
                <c:ptCount val="4"/>
                <c:pt idx="0">
                  <c:v>·&lt;18.5</c:v>
                </c:pt>
                <c:pt idx="1">
                  <c:v>·18.5-25</c:v>
                </c:pt>
                <c:pt idx="2">
                  <c:v>·25-30</c:v>
                </c:pt>
                <c:pt idx="3">
                  <c:v>·&gt;30</c:v>
                </c:pt>
              </c:strCache>
            </c:strRef>
          </c:cat>
          <c:val>
            <c:numRef>
              <c:f>Sheet1!$C$68:$C$71</c:f>
              <c:numCache>
                <c:formatCode>General</c:formatCode>
                <c:ptCount val="4"/>
                <c:pt idx="0">
                  <c:v>0</c:v>
                </c:pt>
                <c:pt idx="1">
                  <c:v>1.9</c:v>
                </c:pt>
                <c:pt idx="2">
                  <c:v>61.1</c:v>
                </c:pt>
                <c:pt idx="3">
                  <c:v>37</c:v>
                </c:pt>
              </c:numCache>
            </c:numRef>
          </c:val>
        </c:ser>
        <c:dLbls>
          <c:showLegendKey val="0"/>
          <c:showVal val="0"/>
          <c:showCatName val="0"/>
          <c:showSerName val="0"/>
          <c:showPercent val="0"/>
          <c:showBubbleSize val="0"/>
        </c:dLbls>
        <c:gapWidth val="150"/>
        <c:shape val="cylinder"/>
        <c:axId val="68542464"/>
        <c:axId val="68544384"/>
        <c:axId val="0"/>
      </c:bar3DChart>
      <c:catAx>
        <c:axId val="68542464"/>
        <c:scaling>
          <c:orientation val="minMax"/>
        </c:scaling>
        <c:delete val="0"/>
        <c:axPos val="b"/>
        <c:title>
          <c:tx>
            <c:rich>
              <a:bodyPr/>
              <a:lstStyle/>
              <a:p>
                <a:pPr>
                  <a:defRPr/>
                </a:pPr>
                <a:r>
                  <a:rPr lang="en-US"/>
                  <a:t>BMI (kg/m2)</a:t>
                </a:r>
              </a:p>
            </c:rich>
          </c:tx>
          <c:overlay val="0"/>
        </c:title>
        <c:majorTickMark val="out"/>
        <c:minorTickMark val="none"/>
        <c:tickLblPos val="nextTo"/>
        <c:crossAx val="68544384"/>
        <c:crosses val="autoZero"/>
        <c:auto val="1"/>
        <c:lblAlgn val="ctr"/>
        <c:lblOffset val="100"/>
        <c:noMultiLvlLbl val="0"/>
      </c:catAx>
      <c:valAx>
        <c:axId val="68544384"/>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68542464"/>
        <c:crosses val="autoZero"/>
        <c:crossBetween val="between"/>
      </c:valAx>
    </c:plotArea>
    <c:legend>
      <c:legendPos val="r"/>
      <c:layout>
        <c:manualLayout>
          <c:xMode val="edge"/>
          <c:yMode val="edge"/>
          <c:x val="0.84554265091863512"/>
          <c:y val="3.2023549139690875E-2"/>
          <c:w val="0.12945734908136483"/>
          <c:h val="0.16743438320209975"/>
        </c:manualLayout>
      </c:layout>
      <c:overlay val="0"/>
    </c:legend>
    <c:plotVisOnly val="1"/>
    <c:dispBlanksAs val="gap"/>
    <c:showDLblsOverMax val="0"/>
  </c:chart>
  <c:spPr>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Sheet1!$B$77</c:f>
              <c:strCache>
                <c:ptCount val="1"/>
                <c:pt idx="0">
                  <c:v>%</c:v>
                </c:pt>
              </c:strCache>
            </c:strRef>
          </c:tx>
          <c:spPr>
            <a:pattFill prst="solidDmnd">
              <a:fgClr>
                <a:srgbClr val="4F81BD">
                  <a:lumMod val="100000"/>
                </a:srgbClr>
              </a:fgClr>
              <a:bgClr>
                <a:srgbClr val="FF0000"/>
              </a:bgClr>
            </a:pattFill>
          </c:spPr>
          <c:invertIfNegative val="0"/>
          <c:cat>
            <c:strRef>
              <c:f>Sheet1!$A$78:$A$80</c:f>
              <c:strCache>
                <c:ptCount val="3"/>
                <c:pt idx="0">
                  <c:v>·&lt;70</c:v>
                </c:pt>
                <c:pt idx="1">
                  <c:v>·70-90</c:v>
                </c:pt>
                <c:pt idx="2">
                  <c:v>·&gt;90</c:v>
                </c:pt>
              </c:strCache>
            </c:strRef>
          </c:cat>
          <c:val>
            <c:numRef>
              <c:f>Sheet1!$B$78:$B$80</c:f>
              <c:numCache>
                <c:formatCode>General</c:formatCode>
                <c:ptCount val="3"/>
                <c:pt idx="0">
                  <c:v>9</c:v>
                </c:pt>
                <c:pt idx="1">
                  <c:v>85</c:v>
                </c:pt>
                <c:pt idx="2">
                  <c:v>6</c:v>
                </c:pt>
              </c:numCache>
            </c:numRef>
          </c:val>
        </c:ser>
        <c:dLbls>
          <c:showLegendKey val="0"/>
          <c:showVal val="0"/>
          <c:showCatName val="0"/>
          <c:showSerName val="0"/>
          <c:showPercent val="0"/>
          <c:showBubbleSize val="0"/>
        </c:dLbls>
        <c:gapWidth val="150"/>
        <c:shape val="cylinder"/>
        <c:axId val="184363264"/>
        <c:axId val="184365440"/>
        <c:axId val="0"/>
      </c:bar3DChart>
      <c:catAx>
        <c:axId val="184363264"/>
        <c:scaling>
          <c:orientation val="minMax"/>
        </c:scaling>
        <c:delete val="0"/>
        <c:axPos val="b"/>
        <c:title>
          <c:tx>
            <c:rich>
              <a:bodyPr/>
              <a:lstStyle/>
              <a:p>
                <a:pPr>
                  <a:defRPr/>
                </a:pPr>
                <a:r>
                  <a:rPr lang="en-US"/>
                  <a:t>Pulse rate (bpm)</a:t>
                </a:r>
              </a:p>
            </c:rich>
          </c:tx>
          <c:overlay val="0"/>
        </c:title>
        <c:majorTickMark val="out"/>
        <c:minorTickMark val="none"/>
        <c:tickLblPos val="nextTo"/>
        <c:crossAx val="184365440"/>
        <c:crosses val="autoZero"/>
        <c:auto val="1"/>
        <c:lblAlgn val="ctr"/>
        <c:lblOffset val="100"/>
        <c:noMultiLvlLbl val="0"/>
      </c:catAx>
      <c:valAx>
        <c:axId val="184365440"/>
        <c:scaling>
          <c:orientation val="minMax"/>
        </c:scaling>
        <c:delete val="0"/>
        <c:axPos val="l"/>
        <c:title>
          <c:tx>
            <c:rich>
              <a:bodyPr rot="-5400000" vert="horz"/>
              <a:lstStyle/>
              <a:p>
                <a:pPr>
                  <a:defRPr/>
                </a:pPr>
                <a:r>
                  <a:rPr lang="en-US"/>
                  <a:t>Percentage</a:t>
                </a:r>
              </a:p>
            </c:rich>
          </c:tx>
          <c:overlay val="0"/>
        </c:title>
        <c:numFmt formatCode="General" sourceLinked="1"/>
        <c:majorTickMark val="out"/>
        <c:minorTickMark val="none"/>
        <c:tickLblPos val="nextTo"/>
        <c:crossAx val="184363264"/>
        <c:crosses val="autoZero"/>
        <c:crossBetween val="between"/>
      </c:valAx>
    </c:plotArea>
    <c:plotVisOnly val="1"/>
    <c:dispBlanksAs val="gap"/>
    <c:showDLblsOverMax val="0"/>
  </c:chart>
  <c:spPr>
    <a:solidFill>
      <a:sysClr val="window" lastClr="FFFFFF"/>
    </a:solidFill>
    <a:ln w="9525" cap="flat" cmpd="sng" algn="ctr">
      <a:noFill/>
      <a:prstDash val="solid"/>
      <a:round/>
    </a:ln>
    <a:effectLst/>
    <a:extLst>
      <a:ext uri="{91240B29-F687-4F45-9708-019B960494DF}">
        <a14:hiddenLine xmlns:a14="http://schemas.microsoft.com/office/drawing/2010/main" w="9525" cap="flat" cmpd="sng" algn="ctr">
          <a:solidFill>
            <a:sysClr val="windowText" lastClr="000000">
              <a:tint val="75000"/>
              <a:shade val="95000"/>
              <a:satMod val="105000"/>
            </a:sysClr>
          </a:solidFill>
          <a:prstDash val="solid"/>
          <a:round/>
        </a14:hiddenLine>
      </a:ext>
    </a:extLst>
  </c:sp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0.82083</cdr:x>
      <cdr:y>0.05382</cdr:y>
    </cdr:from>
    <cdr:to>
      <cdr:x>0.99375</cdr:x>
      <cdr:y>0.18229</cdr:y>
    </cdr:to>
    <cdr:sp macro="" textlink="">
      <cdr:nvSpPr>
        <cdr:cNvPr id="2" name="TextBox 1"/>
        <cdr:cNvSpPr txBox="1"/>
      </cdr:nvSpPr>
      <cdr:spPr>
        <a:xfrm xmlns:a="http://schemas.openxmlformats.org/drawingml/2006/main">
          <a:off x="3752850" y="147638"/>
          <a:ext cx="790575" cy="352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GGT</a:t>
          </a:r>
        </a:p>
      </cdr:txBody>
    </cdr:sp>
  </cdr:relSizeAnchor>
</c:userShapes>
</file>

<file path=word/drawings/drawing2.xml><?xml version="1.0" encoding="utf-8"?>
<c:userShapes xmlns:c="http://schemas.openxmlformats.org/drawingml/2006/chart">
  <cdr:relSizeAnchor xmlns:cdr="http://schemas.openxmlformats.org/drawingml/2006/chartDrawing">
    <cdr:from>
      <cdr:x>0.78333</cdr:x>
      <cdr:y>0.02604</cdr:y>
    </cdr:from>
    <cdr:to>
      <cdr:x>1</cdr:x>
      <cdr:y>0.20081</cdr:y>
    </cdr:to>
    <cdr:sp macro="" textlink="">
      <cdr:nvSpPr>
        <cdr:cNvPr id="2" name="TextBox 1"/>
        <cdr:cNvSpPr txBox="1"/>
      </cdr:nvSpPr>
      <cdr:spPr>
        <a:xfrm xmlns:a="http://schemas.openxmlformats.org/drawingml/2006/main">
          <a:off x="3581401" y="71438"/>
          <a:ext cx="990599" cy="479425"/>
        </a:xfrm>
        <a:prstGeom xmlns:a="http://schemas.openxmlformats.org/drawingml/2006/main" prst="rect">
          <a:avLst/>
        </a:prstGeom>
      </cdr:spPr>
      <cdr:txBody>
        <a:bodyPr xmlns:a="http://schemas.openxmlformats.org/drawingml/2006/main" vertOverflow="clip" vert="horz" rtlCol="0"/>
        <a:lstStyle xmlns:a="http://schemas.openxmlformats.org/drawingml/2006/main"/>
        <a:p xmlns:a="http://schemas.openxmlformats.org/drawingml/2006/main">
          <a:pPr indent="0"/>
          <a:r>
            <a:rPr lang="en-US" sz="1100">
              <a:latin typeface="+mn-lt"/>
              <a:ea typeface="+mn-ea"/>
              <a:cs typeface="+mn-cs"/>
            </a:rPr>
            <a:t>Co-morbid conditions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27CBF-8113-4AA3-9F66-66A70D3E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5142</TotalTime>
  <Pages>102</Pages>
  <Words>13981</Words>
  <Characters>79698</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ali</dc:creator>
  <cp:keywords/>
  <dc:description/>
  <cp:lastModifiedBy>ASIF ali</cp:lastModifiedBy>
  <cp:revision>40</cp:revision>
  <cp:lastPrinted>2016-11-11T00:40:00Z</cp:lastPrinted>
  <dcterms:created xsi:type="dcterms:W3CDTF">2016-05-14T05:51:00Z</dcterms:created>
  <dcterms:modified xsi:type="dcterms:W3CDTF">2016-11-11T02:19:00Z</dcterms:modified>
</cp:coreProperties>
</file>