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Proposal</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to Sant Gadge Baba Amravati University, Amravati for fulfillment of PhD Degree </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Tabla of Farukhabad: Contribution of Khalifa Ustad Amir Hussain Khan as </w:t>
      </w:r>
      <w:r w:rsidDel="00000000" w:rsidR="00000000" w:rsidRPr="00000000">
        <w:rPr>
          <w:rFonts w:ascii="Times New Roman" w:cs="Times New Roman" w:eastAsia="Times New Roman" w:hAnsi="Times New Roman"/>
          <w:b w:val="1"/>
          <w:i w:val="1"/>
          <w:sz w:val="24"/>
          <w:szCs w:val="24"/>
          <w:rtl w:val="0"/>
        </w:rPr>
        <w:t xml:space="preserve">Bajayak-Banayak-Batayak </w:t>
      </w:r>
    </w:p>
    <w:p w:rsidR="00000000" w:rsidDel="00000000" w:rsidP="00000000" w:rsidRDefault="00000000" w:rsidRPr="00000000" w14:paraId="0000000C">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Candidate</w:t>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Nikhil V Bhagat</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 (Tabla), NET-JRF</w:t>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w:t>
      </w:r>
    </w:p>
    <w:p w:rsidR="00000000" w:rsidDel="00000000" w:rsidP="00000000" w:rsidRDefault="00000000" w:rsidRPr="00000000" w14:paraId="0000001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Snehashish Das</w:t>
      </w:r>
    </w:p>
    <w:p w:rsidR="00000000" w:rsidDel="00000000" w:rsidP="00000000" w:rsidRDefault="00000000" w:rsidRPr="00000000" w14:paraId="00000019">
      <w:pPr>
        <w:spacing w:after="0"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Mahila Mahavidyalaya, Amravati</w:t>
      </w:r>
    </w:p>
    <w:p w:rsidR="00000000" w:rsidDel="00000000" w:rsidP="00000000" w:rsidRDefault="00000000" w:rsidRPr="00000000" w14:paraId="0000001A">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Tabla of Farukhabad: Contribution of Khalifa Ustad Amir Hussain Khan as </w:t>
      </w:r>
      <w:r w:rsidDel="00000000" w:rsidR="00000000" w:rsidRPr="00000000">
        <w:rPr>
          <w:rFonts w:ascii="Times New Roman" w:cs="Times New Roman" w:eastAsia="Times New Roman" w:hAnsi="Times New Roman"/>
          <w:b w:val="1"/>
          <w:i w:val="1"/>
          <w:sz w:val="24"/>
          <w:szCs w:val="24"/>
          <w:rtl w:val="0"/>
        </w:rPr>
        <w:t xml:space="preserve">Bajayak-Banayak-Batayak </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north Indian two piece instrument Tabla is the most popular percussion instrument commonly used for accompaniment with vocal, instrumental and dance music, where  its role is to maintain the metric cycles. Today Tabla not only remained an accompanying instrument but also a perfect solo instrument. The flexible finger technique, </w:t>
      </w:r>
      <w:r w:rsidDel="00000000" w:rsidR="00000000" w:rsidRPr="00000000">
        <w:rPr>
          <w:rFonts w:ascii="Times New Roman" w:cs="Times New Roman" w:eastAsia="Times New Roman" w:hAnsi="Times New Roman"/>
          <w:i w:val="1"/>
          <w:sz w:val="24"/>
          <w:szCs w:val="24"/>
          <w:rtl w:val="0"/>
        </w:rPr>
        <w:t xml:space="preserve">nikas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Bayan (Dugga)</w:t>
      </w:r>
      <w:r w:rsidDel="00000000" w:rsidR="00000000" w:rsidRPr="00000000">
        <w:rPr>
          <w:rFonts w:ascii="Times New Roman" w:cs="Times New Roman" w:eastAsia="Times New Roman" w:hAnsi="Times New Roman"/>
          <w:sz w:val="24"/>
          <w:szCs w:val="24"/>
          <w:rtl w:val="0"/>
        </w:rPr>
        <w:t xml:space="preserve"> and the principal of </w:t>
      </w:r>
      <w:r w:rsidDel="00000000" w:rsidR="00000000" w:rsidRPr="00000000">
        <w:rPr>
          <w:rFonts w:ascii="Times New Roman" w:cs="Times New Roman" w:eastAsia="Times New Roman" w:hAnsi="Times New Roman"/>
          <w:i w:val="1"/>
          <w:sz w:val="24"/>
          <w:szCs w:val="24"/>
          <w:rtl w:val="0"/>
        </w:rPr>
        <w:t xml:space="preserve">Khali-Bhari </w:t>
      </w:r>
      <w:r w:rsidDel="00000000" w:rsidR="00000000" w:rsidRPr="00000000">
        <w:rPr>
          <w:rFonts w:ascii="Times New Roman" w:cs="Times New Roman" w:eastAsia="Times New Roman" w:hAnsi="Times New Roman"/>
          <w:sz w:val="24"/>
          <w:szCs w:val="24"/>
          <w:rtl w:val="0"/>
        </w:rPr>
        <w:t xml:space="preserve">make this instrument more progressive and sophisticated instrument. This instrument is well known and well appreciated worldwide. Tabla has its own rich and varied language and the repertoire of Tabla is enriched compared to any other percussion instruments in the world. Born as an accompanying instrument later Tabla evolved as a complete solo playing instrument. Six Schools (</w:t>
      </w:r>
      <w:r w:rsidDel="00000000" w:rsidR="00000000" w:rsidRPr="00000000">
        <w:rPr>
          <w:rFonts w:ascii="Times New Roman" w:cs="Times New Roman" w:eastAsia="Times New Roman" w:hAnsi="Times New Roman"/>
          <w:i w:val="1"/>
          <w:sz w:val="24"/>
          <w:szCs w:val="24"/>
          <w:rtl w:val="0"/>
        </w:rPr>
        <w:t xml:space="preserve">Gharanas </w:t>
      </w:r>
      <w:r w:rsidDel="00000000" w:rsidR="00000000" w:rsidRPr="00000000">
        <w:rPr>
          <w:rFonts w:ascii="Times New Roman" w:cs="Times New Roman" w:eastAsia="Times New Roman" w:hAnsi="Times New Roman"/>
          <w:sz w:val="24"/>
          <w:szCs w:val="24"/>
          <w:rtl w:val="0"/>
        </w:rPr>
        <w:t xml:space="preserve">Traditional family - school)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are widely recognized Delhi, Ajrada, Lucknow, Farukhabad, Banaras and Punjab have their own identity, mannerism and variety of repertoire for Tabla solo recital. These schools are broadly divided into two categories: eastern style (</w:t>
      </w:r>
      <w:r w:rsidDel="00000000" w:rsidR="00000000" w:rsidRPr="00000000">
        <w:rPr>
          <w:rFonts w:ascii="Times New Roman" w:cs="Times New Roman" w:eastAsia="Times New Roman" w:hAnsi="Times New Roman"/>
          <w:i w:val="1"/>
          <w:sz w:val="24"/>
          <w:szCs w:val="24"/>
          <w:rtl w:val="0"/>
        </w:rPr>
        <w:t xml:space="preserve">Poorab Baj</w:t>
      </w:r>
      <w:r w:rsidDel="00000000" w:rsidR="00000000" w:rsidRPr="00000000">
        <w:rPr>
          <w:rFonts w:ascii="Times New Roman" w:cs="Times New Roman" w:eastAsia="Times New Roman" w:hAnsi="Times New Roman"/>
          <w:sz w:val="24"/>
          <w:szCs w:val="24"/>
          <w:rtl w:val="0"/>
        </w:rPr>
        <w:t xml:space="preserve">) and the western style (</w:t>
      </w:r>
      <w:r w:rsidDel="00000000" w:rsidR="00000000" w:rsidRPr="00000000">
        <w:rPr>
          <w:rFonts w:ascii="Times New Roman" w:cs="Times New Roman" w:eastAsia="Times New Roman" w:hAnsi="Times New Roman"/>
          <w:i w:val="1"/>
          <w:sz w:val="24"/>
          <w:szCs w:val="24"/>
          <w:rtl w:val="0"/>
        </w:rPr>
        <w:t xml:space="preserve">Paschim baj</w:t>
      </w:r>
      <w:r w:rsidDel="00000000" w:rsidR="00000000" w:rsidRPr="00000000">
        <w:rPr>
          <w:rFonts w:ascii="Times New Roman" w:cs="Times New Roman" w:eastAsia="Times New Roman" w:hAnsi="Times New Roman"/>
          <w:sz w:val="24"/>
          <w:szCs w:val="24"/>
          <w:rtl w:val="0"/>
        </w:rPr>
        <w:t xml:space="preserve">) (saxena, 2008). The Delhi and Ajrada schools are based on the western </w:t>
      </w:r>
      <w:r w:rsidDel="00000000" w:rsidR="00000000" w:rsidRPr="00000000">
        <w:rPr>
          <w:rFonts w:ascii="Times New Roman" w:cs="Times New Roman" w:eastAsia="Times New Roman" w:hAnsi="Times New Roman"/>
          <w:i w:val="1"/>
          <w:sz w:val="24"/>
          <w:szCs w:val="24"/>
          <w:rtl w:val="0"/>
        </w:rPr>
        <w:t xml:space="preserve">Baj </w:t>
      </w:r>
      <w:r w:rsidDel="00000000" w:rsidR="00000000" w:rsidRPr="00000000">
        <w:rPr>
          <w:rFonts w:ascii="Times New Roman" w:cs="Times New Roman" w:eastAsia="Times New Roman" w:hAnsi="Times New Roman"/>
          <w:sz w:val="24"/>
          <w:szCs w:val="24"/>
          <w:rtl w:val="0"/>
        </w:rPr>
        <w:t xml:space="preserve">and the remaining four schools are based on the eastern </w:t>
      </w:r>
      <w:r w:rsidDel="00000000" w:rsidR="00000000" w:rsidRPr="00000000">
        <w:rPr>
          <w:rFonts w:ascii="Times New Roman" w:cs="Times New Roman" w:eastAsia="Times New Roman" w:hAnsi="Times New Roman"/>
          <w:i w:val="1"/>
          <w:sz w:val="24"/>
          <w:szCs w:val="24"/>
          <w:rtl w:val="0"/>
        </w:rPr>
        <w:t xml:space="preserve">Baj.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Baj </w:t>
      </w:r>
      <w:r w:rsidDel="00000000" w:rsidR="00000000" w:rsidRPr="00000000">
        <w:rPr>
          <w:rFonts w:ascii="Times New Roman" w:cs="Times New Roman" w:eastAsia="Times New Roman" w:hAnsi="Times New Roman"/>
          <w:sz w:val="24"/>
          <w:szCs w:val="24"/>
          <w:rtl w:val="0"/>
        </w:rPr>
        <w:t xml:space="preserve">refers to technique and stylistic specialty of a school. It includes different placement of hands, style of playing, and fingering in each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These differences give rise to various tonal qualities, application and presentation of syllables (Sengupta, 2011). Lucknow, Farukhabad, Baneras &amp; Punjab are based on the eastern style (</w:t>
      </w:r>
      <w:r w:rsidDel="00000000" w:rsidR="00000000" w:rsidRPr="00000000">
        <w:rPr>
          <w:rFonts w:ascii="Times New Roman" w:cs="Times New Roman" w:eastAsia="Times New Roman" w:hAnsi="Times New Roman"/>
          <w:i w:val="1"/>
          <w:sz w:val="24"/>
          <w:szCs w:val="24"/>
          <w:rtl w:val="0"/>
        </w:rPr>
        <w:t xml:space="preserve">Poorab Baj</w:t>
      </w:r>
      <w:r w:rsidDel="00000000" w:rsidR="00000000" w:rsidRPr="00000000">
        <w:rPr>
          <w:rFonts w:ascii="Times New Roman" w:cs="Times New Roman" w:eastAsia="Times New Roman" w:hAnsi="Times New Roman"/>
          <w:sz w:val="24"/>
          <w:szCs w:val="24"/>
          <w:rtl w:val="0"/>
        </w:rPr>
        <w:t xml:space="preserve">). Farukhabad School is considered as a branch of Lucknow school but technically it has adopted the playing techniques of Delhi and Lucknow school. The combination of </w:t>
      </w:r>
      <w:r w:rsidDel="00000000" w:rsidR="00000000" w:rsidRPr="00000000">
        <w:rPr>
          <w:rFonts w:ascii="Times New Roman" w:cs="Times New Roman" w:eastAsia="Times New Roman" w:hAnsi="Times New Roman"/>
          <w:i w:val="1"/>
          <w:sz w:val="24"/>
          <w:szCs w:val="24"/>
          <w:rtl w:val="0"/>
        </w:rPr>
        <w:t xml:space="preserve">Chaant </w:t>
      </w:r>
      <w:r w:rsidDel="00000000" w:rsidR="00000000" w:rsidRPr="00000000">
        <w:rPr>
          <w:rFonts w:ascii="Times New Roman" w:cs="Times New Roman" w:eastAsia="Times New Roman" w:hAnsi="Times New Roman"/>
          <w:sz w:val="24"/>
          <w:szCs w:val="24"/>
          <w:rtl w:val="0"/>
        </w:rPr>
        <w:t xml:space="preserve">(Style of Delhi) and </w:t>
      </w:r>
      <w:r w:rsidDel="00000000" w:rsidR="00000000" w:rsidRPr="00000000">
        <w:rPr>
          <w:rFonts w:ascii="Times New Roman" w:cs="Times New Roman" w:eastAsia="Times New Roman" w:hAnsi="Times New Roman"/>
          <w:i w:val="1"/>
          <w:sz w:val="24"/>
          <w:szCs w:val="24"/>
          <w:rtl w:val="0"/>
        </w:rPr>
        <w:t xml:space="preserve">luv </w:t>
      </w:r>
      <w:r w:rsidDel="00000000" w:rsidR="00000000" w:rsidRPr="00000000">
        <w:rPr>
          <w:rFonts w:ascii="Times New Roman" w:cs="Times New Roman" w:eastAsia="Times New Roman" w:hAnsi="Times New Roman"/>
          <w:sz w:val="24"/>
          <w:szCs w:val="24"/>
          <w:rtl w:val="0"/>
        </w:rPr>
        <w:t xml:space="preserve">(style of Lucknow) makes Farukhabad a unique school of Tabla. </w:t>
      </w:r>
      <w:r w:rsidDel="00000000" w:rsidR="00000000" w:rsidRPr="00000000">
        <w:rPr>
          <w:rFonts w:ascii="Times New Roman" w:cs="Times New Roman" w:eastAsia="Times New Roman" w:hAnsi="Times New Roman"/>
          <w:i w:val="1"/>
          <w:sz w:val="24"/>
          <w:szCs w:val="24"/>
          <w:rtl w:val="0"/>
        </w:rPr>
        <w:t xml:space="preserve">Khalifa</w:t>
      </w:r>
      <w:r w:rsidDel="00000000" w:rsidR="00000000" w:rsidRPr="00000000">
        <w:rPr>
          <w:rFonts w:ascii="Times New Roman" w:cs="Times New Roman" w:eastAsia="Times New Roman" w:hAnsi="Times New Roman"/>
          <w:sz w:val="24"/>
          <w:szCs w:val="24"/>
          <w:rtl w:val="0"/>
        </w:rPr>
        <w:t xml:space="preserve"> Ustad Amir Hussain Khan was a prominent stalwart of this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who was accomplished Tabla player, excellent composer and great teacher.</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literature is available in form of books written by Tabla players and musicologists to solve academic purposes. The book titled ‘Tabla’ by Arvind Mulgaonkar covers various topics in theory and practical aspects of Tabla such as history and development of Tabla, research of C. V. Raman regarding ‘Acoustics of Indian Musical Drum’, Forms of compositions,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system, Biographies of well-known Tabla artists and collection of some rare compositions from various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ethnomusicological field work by James kippen is based on the Tradition of Lucknow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Tabla. Beginning with general information on the history of lucknow and its pivotal role in evolution of Hindustani music in the nineteenth century,  the book studies and investigates the employment of musicians, political machinations in the music world, the social hereditary specialists, and traditional versus modern methods of musical training. (Kippen, 2005)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by Aban Msitry titled ‘Tabla</w:t>
      </w:r>
      <w:r w:rsidDel="00000000" w:rsidR="00000000" w:rsidRPr="00000000">
        <w:rPr>
          <w:rFonts w:ascii="Times New Roman" w:cs="Times New Roman" w:eastAsia="Times New Roman" w:hAnsi="Times New Roman"/>
          <w:i w:val="1"/>
          <w:sz w:val="24"/>
          <w:szCs w:val="24"/>
          <w:rtl w:val="0"/>
        </w:rPr>
        <w:t xml:space="preserve"> aur Pakhavaj ke Gharane aur Paramparaye’ </w:t>
      </w:r>
      <w:r w:rsidDel="00000000" w:rsidR="00000000" w:rsidRPr="00000000">
        <w:rPr>
          <w:rFonts w:ascii="Times New Roman" w:cs="Times New Roman" w:eastAsia="Times New Roman" w:hAnsi="Times New Roman"/>
          <w:sz w:val="24"/>
          <w:szCs w:val="24"/>
          <w:rtl w:val="0"/>
        </w:rPr>
        <w:t xml:space="preserve">focus on her research on the origin of Tabla. The tradition of schools in Tabla and Pakhavaj is discussed in detail. There is also a collection of some compositions of Tabla and pakhavaj of respective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w:t>
      </w:r>
      <w:r w:rsidDel="00000000" w:rsidR="00000000" w:rsidRPr="00000000">
        <w:rPr>
          <w:rFonts w:ascii="Times New Roman" w:cs="Times New Roman" w:eastAsia="Times New Roman" w:hAnsi="Times New Roman"/>
          <w:i w:val="1"/>
          <w:sz w:val="24"/>
          <w:szCs w:val="24"/>
          <w:rtl w:val="0"/>
        </w:rPr>
        <w:t xml:space="preserve">Athvanincha Doha’</w:t>
      </w:r>
      <w:r w:rsidDel="00000000" w:rsidR="00000000" w:rsidRPr="00000000">
        <w:rPr>
          <w:rFonts w:ascii="Times New Roman" w:cs="Times New Roman" w:eastAsia="Times New Roman" w:hAnsi="Times New Roman"/>
          <w:sz w:val="24"/>
          <w:szCs w:val="24"/>
          <w:rtl w:val="0"/>
        </w:rPr>
        <w:t xml:space="preserve"> is a biography of Ustad Amir hussain Khan where in the first half various events of his life are discussed and the second half is collection of Extendable and fixed compositions composed by Ustad Amir Hussain Khan.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studies of Daniel M. Neuman is a book with title ‘ Studying India’s Musicians’ is a collection which includes historical studies starting after the mid-nineteenth century. Focusing on the emergence of stylistic schools emerging out of core extended families of territorially based hereditary communities known as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s, these essays provide a way to understand how large numbers of professional musicians families were able to produce the core of most of the truly outstanding musicians of the twentieth century. This book will help to study the history of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s and traditions.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works of Pandit Umesh Moghe are eye opening in terms of History and origin of Tabla. His book </w:t>
      </w:r>
      <w:r w:rsidDel="00000000" w:rsidR="00000000" w:rsidRPr="00000000">
        <w:rPr>
          <w:rFonts w:ascii="Times New Roman" w:cs="Times New Roman" w:eastAsia="Times New Roman" w:hAnsi="Times New Roman"/>
          <w:i w:val="1"/>
          <w:sz w:val="24"/>
          <w:szCs w:val="24"/>
          <w:rtl w:val="0"/>
        </w:rPr>
        <w:t xml:space="preserve">‘Dehli ka Tabla’ </w:t>
      </w:r>
      <w:r w:rsidDel="00000000" w:rsidR="00000000" w:rsidRPr="00000000">
        <w:rPr>
          <w:rFonts w:ascii="Times New Roman" w:cs="Times New Roman" w:eastAsia="Times New Roman" w:hAnsi="Times New Roman"/>
          <w:sz w:val="24"/>
          <w:szCs w:val="24"/>
          <w:rtl w:val="0"/>
        </w:rPr>
        <w:t xml:space="preserve">gives deep insight to the Delhi school of Tabla about its technicalities in Tabla playing of Delhi. Usatd Amir Hussain khan was influenced by the playing style of Ustad Natthu khan sahab of Delhi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this book discusses the playing style of Natthu Khan sahab.</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written work of Pandit Sudhir Mainkar in ‘Aesthetics of Tabla’ deal with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Baaz</w:t>
      </w:r>
      <w:r w:rsidDel="00000000" w:rsidR="00000000" w:rsidRPr="00000000">
        <w:rPr>
          <w:rFonts w:ascii="Times New Roman" w:cs="Times New Roman" w:eastAsia="Times New Roman" w:hAnsi="Times New Roman"/>
          <w:sz w:val="24"/>
          <w:szCs w:val="24"/>
          <w:rtl w:val="0"/>
        </w:rPr>
        <w:t xml:space="preserve"> of Tabla, necessity of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Traditional compositions of many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s and characteristics of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s in Tabla. Contribution of Tabla stalwarts is discussed in this book including the contribution of Ustad Amir Hussain Khan in brief. </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Problem</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Ustad Haji Vilayat Ali who was the founder of Farukhabad School was disciple of Miyan Bakshu Khan of Lucknow School. Being a disciple school of Lucknow, Farukhabad has a     deep influence of Lucknow playing style. The compositions of </w:t>
      </w:r>
      <w:r w:rsidDel="00000000" w:rsidR="00000000" w:rsidRPr="00000000">
        <w:rPr>
          <w:rFonts w:ascii="Times New Roman" w:cs="Times New Roman" w:eastAsia="Times New Roman" w:hAnsi="Times New Roman"/>
          <w:i w:val="1"/>
          <w:sz w:val="24"/>
          <w:szCs w:val="24"/>
          <w:rtl w:val="0"/>
        </w:rPr>
        <w:t xml:space="preserve">Gat-Toda, Chakkradar, Paran</w:t>
      </w:r>
      <w:r w:rsidDel="00000000" w:rsidR="00000000" w:rsidRPr="00000000">
        <w:rPr>
          <w:rFonts w:ascii="Times New Roman" w:cs="Times New Roman" w:eastAsia="Times New Roman" w:hAnsi="Times New Roman"/>
          <w:sz w:val="24"/>
          <w:szCs w:val="24"/>
          <w:rtl w:val="0"/>
        </w:rPr>
        <w:t xml:space="preserve"> etc. are carried by tradition but innumerous compositions of </w:t>
      </w:r>
      <w:r w:rsidDel="00000000" w:rsidR="00000000" w:rsidRPr="00000000">
        <w:rPr>
          <w:rFonts w:ascii="Times New Roman" w:cs="Times New Roman" w:eastAsia="Times New Roman" w:hAnsi="Times New Roman"/>
          <w:i w:val="1"/>
          <w:sz w:val="24"/>
          <w:szCs w:val="24"/>
          <w:rtl w:val="0"/>
        </w:rPr>
        <w:t xml:space="preserve">Gat, Gat-Tukda, Chakkardar</w:t>
      </w:r>
      <w:r w:rsidDel="00000000" w:rsidR="00000000" w:rsidRPr="00000000">
        <w:rPr>
          <w:rFonts w:ascii="Times New Roman" w:cs="Times New Roman" w:eastAsia="Times New Roman" w:hAnsi="Times New Roman"/>
          <w:sz w:val="24"/>
          <w:szCs w:val="24"/>
          <w:rtl w:val="0"/>
        </w:rPr>
        <w:t xml:space="preserve"> are composed by extremely talented composers of this school. Apart from these non extendable compositions there are many extendable compositions of </w:t>
      </w:r>
      <w:r w:rsidDel="00000000" w:rsidR="00000000" w:rsidRPr="00000000">
        <w:rPr>
          <w:rFonts w:ascii="Times New Roman" w:cs="Times New Roman" w:eastAsia="Times New Roman" w:hAnsi="Times New Roman"/>
          <w:i w:val="1"/>
          <w:sz w:val="24"/>
          <w:szCs w:val="24"/>
          <w:rtl w:val="0"/>
        </w:rPr>
        <w:t xml:space="preserve">Peshkar, Kayda, Rela, Chalan-Rav</w:t>
      </w:r>
      <w:r w:rsidDel="00000000" w:rsidR="00000000" w:rsidRPr="00000000">
        <w:rPr>
          <w:rFonts w:ascii="Times New Roman" w:cs="Times New Roman" w:eastAsia="Times New Roman" w:hAnsi="Times New Roman"/>
          <w:sz w:val="24"/>
          <w:szCs w:val="24"/>
          <w:rtl w:val="0"/>
        </w:rPr>
        <w:t xml:space="preserve"> composed by composers of Farukhabad School. Haji Vilayat Ali is well known for his contribution in compositions of </w:t>
      </w:r>
      <w:r w:rsidDel="00000000" w:rsidR="00000000" w:rsidRPr="00000000">
        <w:rPr>
          <w:rFonts w:ascii="Times New Roman" w:cs="Times New Roman" w:eastAsia="Times New Roman" w:hAnsi="Times New Roman"/>
          <w:i w:val="1"/>
          <w:sz w:val="24"/>
          <w:szCs w:val="24"/>
          <w:rtl w:val="0"/>
        </w:rPr>
        <w:t xml:space="preserve">Gats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Gat</w:t>
      </w:r>
      <w:r w:rsidDel="00000000" w:rsidR="00000000" w:rsidRPr="00000000">
        <w:rPr>
          <w:rFonts w:ascii="Times New Roman" w:cs="Times New Roman" w:eastAsia="Times New Roman" w:hAnsi="Times New Roman"/>
          <w:sz w:val="24"/>
          <w:szCs w:val="24"/>
          <w:rtl w:val="0"/>
        </w:rPr>
        <w:t xml:space="preserve"> and its various types is the unique characteristic of Farukhabad. The composition of various Chalan-Rau is another important characteristic of this school. Most of the Tabla players of this school are great performer, composer and Teacher. Therefore, this school has prospered over the generations with new and newer compositions (Dandge, 2011). There are many compositions in this school whose composers are unknown. Also there is confusion with the names of the composers. Some of the composers have composed the pair (</w:t>
      </w:r>
      <w:r w:rsidDel="00000000" w:rsidR="00000000" w:rsidRPr="00000000">
        <w:rPr>
          <w:rFonts w:ascii="Times New Roman" w:cs="Times New Roman" w:eastAsia="Times New Roman" w:hAnsi="Times New Roman"/>
          <w:i w:val="1"/>
          <w:sz w:val="24"/>
          <w:szCs w:val="24"/>
          <w:rtl w:val="0"/>
        </w:rPr>
        <w:t xml:space="preserve">Joda</w:t>
      </w:r>
      <w:r w:rsidDel="00000000" w:rsidR="00000000" w:rsidRPr="00000000">
        <w:rPr>
          <w:rFonts w:ascii="Times New Roman" w:cs="Times New Roman" w:eastAsia="Times New Roman" w:hAnsi="Times New Roman"/>
          <w:sz w:val="24"/>
          <w:szCs w:val="24"/>
          <w:rtl w:val="0"/>
        </w:rPr>
        <w:t xml:space="preserve">) of the composition which was composed by other Tabla player. There are many pairs of </w:t>
      </w:r>
      <w:r w:rsidDel="00000000" w:rsidR="00000000" w:rsidRPr="00000000">
        <w:rPr>
          <w:rFonts w:ascii="Times New Roman" w:cs="Times New Roman" w:eastAsia="Times New Roman" w:hAnsi="Times New Roman"/>
          <w:i w:val="1"/>
          <w:sz w:val="24"/>
          <w:szCs w:val="24"/>
          <w:rtl w:val="0"/>
        </w:rPr>
        <w:t xml:space="preserve">gats</w:t>
      </w:r>
      <w:r w:rsidDel="00000000" w:rsidR="00000000" w:rsidRPr="00000000">
        <w:rPr>
          <w:rFonts w:ascii="Times New Roman" w:cs="Times New Roman" w:eastAsia="Times New Roman" w:hAnsi="Times New Roman"/>
          <w:sz w:val="24"/>
          <w:szCs w:val="24"/>
          <w:rtl w:val="0"/>
        </w:rPr>
        <w:t xml:space="preserve"> composed by composers of Farukhabad School. These compositions strongly need to be documented for the coming generations. Some stalwart composers of this school are Ustad Chudiyavale imam baksh, Ustad salari Khan, Ustad Masit Khan.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Khalifa </w:t>
      </w:r>
      <w:r w:rsidDel="00000000" w:rsidR="00000000" w:rsidRPr="00000000">
        <w:rPr>
          <w:rFonts w:ascii="Times New Roman" w:cs="Times New Roman" w:eastAsia="Times New Roman" w:hAnsi="Times New Roman"/>
          <w:sz w:val="24"/>
          <w:szCs w:val="24"/>
          <w:rtl w:val="0"/>
        </w:rPr>
        <w:t xml:space="preserve">Ustad Amir Hussain Khan’s (Desciple and Nephew of Ustad Munir Khan) contribution in the development of Farukhabad School is most significant, as a performer, composer and teacher his contribution in farukhabad is indisputably crucial. Numerous compositions of </w:t>
      </w:r>
      <w:r w:rsidDel="00000000" w:rsidR="00000000" w:rsidRPr="00000000">
        <w:rPr>
          <w:rFonts w:ascii="Times New Roman" w:cs="Times New Roman" w:eastAsia="Times New Roman" w:hAnsi="Times New Roman"/>
          <w:i w:val="1"/>
          <w:sz w:val="24"/>
          <w:szCs w:val="24"/>
          <w:rtl w:val="0"/>
        </w:rPr>
        <w:t xml:space="preserve">Gats, Tukda, chakkaradar, Paran, Punjabi Chaley</w:t>
      </w:r>
      <w:r w:rsidDel="00000000" w:rsidR="00000000" w:rsidRPr="00000000">
        <w:rPr>
          <w:rFonts w:ascii="Times New Roman" w:cs="Times New Roman" w:eastAsia="Times New Roman" w:hAnsi="Times New Roman"/>
          <w:sz w:val="24"/>
          <w:szCs w:val="24"/>
          <w:rtl w:val="0"/>
        </w:rPr>
        <w:t xml:space="preserve"> and extendable compositions of</w:t>
      </w:r>
      <w:r w:rsidDel="00000000" w:rsidR="00000000" w:rsidRPr="00000000">
        <w:rPr>
          <w:rFonts w:ascii="Times New Roman" w:cs="Times New Roman" w:eastAsia="Times New Roman" w:hAnsi="Times New Roman"/>
          <w:i w:val="1"/>
          <w:sz w:val="24"/>
          <w:szCs w:val="24"/>
          <w:rtl w:val="0"/>
        </w:rPr>
        <w:t xml:space="preserve"> kayda , rela</w:t>
      </w:r>
      <w:r w:rsidDel="00000000" w:rsidR="00000000" w:rsidRPr="00000000">
        <w:rPr>
          <w:rFonts w:ascii="Times New Roman" w:cs="Times New Roman" w:eastAsia="Times New Roman" w:hAnsi="Times New Roman"/>
          <w:sz w:val="24"/>
          <w:szCs w:val="24"/>
          <w:rtl w:val="0"/>
        </w:rPr>
        <w:t xml:space="preserve"> etc. in various metric cycles (</w:t>
      </w:r>
      <w:r w:rsidDel="00000000" w:rsidR="00000000" w:rsidRPr="00000000">
        <w:rPr>
          <w:rFonts w:ascii="Times New Roman" w:cs="Times New Roman" w:eastAsia="Times New Roman" w:hAnsi="Times New Roman"/>
          <w:i w:val="1"/>
          <w:sz w:val="24"/>
          <w:szCs w:val="24"/>
          <w:rtl w:val="0"/>
        </w:rPr>
        <w:t xml:space="preserve">Taal</w:t>
      </w:r>
      <w:r w:rsidDel="00000000" w:rsidR="00000000" w:rsidRPr="00000000">
        <w:rPr>
          <w:rFonts w:ascii="Times New Roman" w:cs="Times New Roman" w:eastAsia="Times New Roman" w:hAnsi="Times New Roman"/>
          <w:sz w:val="24"/>
          <w:szCs w:val="24"/>
          <w:rtl w:val="0"/>
        </w:rPr>
        <w:t xml:space="preserve">) enriched the repertoire of this school. Ustad Amir hussain khan a creative and rational thinker has a great disciple tradition throughout India and Pakistan.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Research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research is to study the contribution of Khalifa Ustad Amir Hussain Khan in Farukhabad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of Tabla.</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This research aims to study the contribution of Ustad Amir Hussain Khan as a Tabla Performer (Bajayak).</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To study his contributions as a composer (Banayak), analyze the compositions and aesthetical values in terms of Laya-Tala and poetic aspect and Baaz etc.</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To study his contribution as a Teacher (Batayak).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acknowledge his contribution in propagation and promotion of traditional Tabla in Maharashtra.</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hypothesized that the repertoire of Farukhabad school of Tabla is enriched by the compositions which are composed by creative minds of the stalwarts of this school. The </w:t>
      </w:r>
      <w:r w:rsidDel="00000000" w:rsidR="00000000" w:rsidRPr="00000000">
        <w:rPr>
          <w:rFonts w:ascii="Times New Roman" w:cs="Times New Roman" w:eastAsia="Times New Roman" w:hAnsi="Times New Roman"/>
          <w:i w:val="1"/>
          <w:sz w:val="24"/>
          <w:szCs w:val="24"/>
          <w:rtl w:val="0"/>
        </w:rPr>
        <w:t xml:space="preserve">Nikas </w:t>
      </w:r>
      <w:r w:rsidDel="00000000" w:rsidR="00000000" w:rsidRPr="00000000">
        <w:rPr>
          <w:rFonts w:ascii="Times New Roman" w:cs="Times New Roman" w:eastAsia="Times New Roman" w:hAnsi="Times New Roman"/>
          <w:sz w:val="24"/>
          <w:szCs w:val="24"/>
          <w:rtl w:val="0"/>
        </w:rPr>
        <w:t xml:space="preserve">techniques and equal preference to all sound aspects of Tabla and Dugga aesthetically proves this school as an ideal Tabla school. Especially the compositions of </w:t>
      </w:r>
      <w:r w:rsidDel="00000000" w:rsidR="00000000" w:rsidRPr="00000000">
        <w:rPr>
          <w:rFonts w:ascii="Times New Roman" w:cs="Times New Roman" w:eastAsia="Times New Roman" w:hAnsi="Times New Roman"/>
          <w:i w:val="1"/>
          <w:sz w:val="24"/>
          <w:szCs w:val="24"/>
          <w:rtl w:val="0"/>
        </w:rPr>
        <w:t xml:space="preserve">Khalifa</w:t>
      </w:r>
      <w:r w:rsidDel="00000000" w:rsidR="00000000" w:rsidRPr="00000000">
        <w:rPr>
          <w:rFonts w:ascii="Times New Roman" w:cs="Times New Roman" w:eastAsia="Times New Roman" w:hAnsi="Times New Roman"/>
          <w:sz w:val="24"/>
          <w:szCs w:val="24"/>
          <w:rtl w:val="0"/>
        </w:rPr>
        <w:t xml:space="preserve"> Ustad Amir Hussain Khan significantly contributed in traditional Tabla playing of Farukhabad and glorified the School. His overall contribution propagated and promoted traditional Tabla playing in Maharashtra.</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Methodology (Data collection)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work on Tabla is considerably less; information provided in the published books on Indian Music &amp; Tabla will certainly help the study. Ethnomusicological research work of James kippen on Tabla, research work of Indian musicologist like Arvind Mulgaonkar, Aban Mistry will also help to gather data for this research.  Large data and information will be gathered from meetings and series of interviews with stalwarts, Tabla artists, Musicologists. There are handfuls of artists in Farukhabad who can provide the authentic information regarding the compositions and composers also the tradition of Farukhabad School. Many central and state Universities libraries will be visited to examine the research work of other researchers on relevant subject.  Documentation of workshops, lecture demonstrations by NCPA, Mumbai and Journals of Akhil Bhartiya gandharva Mahavidyalaya will be another source to collect Data.  Collecting audio and video (where possible) recordings of stalwarts of this </w:t>
      </w:r>
      <w:r w:rsidDel="00000000" w:rsidR="00000000" w:rsidRPr="00000000">
        <w:rPr>
          <w:rFonts w:ascii="Times New Roman" w:cs="Times New Roman" w:eastAsia="Times New Roman" w:hAnsi="Times New Roman"/>
          <w:i w:val="1"/>
          <w:sz w:val="24"/>
          <w:szCs w:val="24"/>
          <w:rtl w:val="0"/>
        </w:rPr>
        <w:t xml:space="preserve">Gharana</w:t>
      </w:r>
      <w:r w:rsidDel="00000000" w:rsidR="00000000" w:rsidRPr="00000000">
        <w:rPr>
          <w:rFonts w:ascii="Times New Roman" w:cs="Times New Roman" w:eastAsia="Times New Roman" w:hAnsi="Times New Roman"/>
          <w:sz w:val="24"/>
          <w:szCs w:val="24"/>
          <w:rtl w:val="0"/>
        </w:rPr>
        <w:t xml:space="preserve"> from various sources like archives, libraries personal collection will be a major part of methodology. Workshops and solo concerts of well known Tabla players will be attended and recorded. During the course of research, learning and playing the compositions of AmirHussain Khan Sahab will certainly help the research as a part of applied and practiced approach in Tabla playing of Farukhabad style. The Data received from various mediums such as questionnaires, interviews, Audio – video recordings, Documents can be used to test the Hypothesis.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aspects of Amir Hussain Khan Sahab Bajayak (Performer)-Banayak (Composer)-Batayak (Teacher) will be studied. No other composer or performer from Farukhabad School will be studied. There were contemporary Tabla Players like Ustad Ahmedjaan Thirakwa and Ustad Habibuddin Khan but their contribution will not be studied, comparative study wherever possible will be done. This study deals with the study of Farukhabad School of Tabla hence other Gharans will not be studied in detail. Comparison of Lucknow and Farukhabad will be done wherever necessary.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Chapterization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Gharana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of Tabla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Farukhabad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Gharana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Playing Style and Characteristics)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Khalifa Ustad Amir Hussain Khan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Bajayak</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Banayak</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Batayak</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 Sahab’s contribution in Farukhabad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Gharana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D">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Dandge, A. (2011).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Complete Tabla.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Kolhapur: Bhairav Publication.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Kippen, J. (2005).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Tabla of Lucknow.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Delhi: Manohar Publishers.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Mainkar, S. (2000).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Tabla Vadan Kala Aur Shastra.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Mumbai: Gandharva Mahavidyalaya Prakashan.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Mishra, V. (2005).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Tabla Puran.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Delhi: Kanishka Publishers.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Mistry, A. (2000).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Tabla aur Pakhavaj ke Gharane Aur Paramparaye.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Mumbai: Swar Sadhana Samiti.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Mulgaonkar, A.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Athvanincha Doha.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Mumbai: Popular Prakashan.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Mulgaonkar, A. (1975).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Tabla.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Mumbai: Popular Prakashan.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Naimpalli, S. (2005).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Theory and Practise of Tabla.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Mumbai: Popular Prakashan.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saxena, S. k. (2008).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Art Of Tabla Rhythm.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Delhi: Sangeet Natak Academy, D.K.printworld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Sengupta, A. (2011).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Facets Of Tabla Playing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Delhi: Kanishka Publishers.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Sengupta, A. (2011).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Facets of Tabla Playing.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Delhi: Kanishka Publishers.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