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555555"/>
          <w:sz w:val="24"/>
        </w:rPr>
        <w:t>Phoenix Arena</w:t>
      </w:r>
    </w:p>
    <w:p>
      <w:pPr>
        <w:spacing w:before="0" w:after="80" w:line="264" w:lineRule="auto"/>
        <w:jc w:val="center"/>
      </w:pPr>
      <w:r>
        <w:rPr>
          <w:rFonts w:ascii="Calibri" w:hAnsi="Calibri"/>
          <w:b/>
          <w:i w:val="0"/>
          <w:color w:val="000000"/>
          <w:sz w:val="48"/>
        </w:rPr>
        <w:t>Cotización técnica y valor de reposición</w:t>
      </w:r>
    </w:p>
    <w:p>
      <w:pPr>
        <w:spacing w:before="0" w:after="360" w:line="276" w:lineRule="auto"/>
        <w:jc w:val="center"/>
      </w:pPr>
      <w:r>
        <w:rPr>
          <w:rFonts w:ascii="Calibri" w:hAnsi="Calibri"/>
          <w:b w:val="0"/>
          <w:i w:val="0"/>
          <w:color w:val="555555"/>
          <w:sz w:val="26"/>
        </w:rPr>
        <w:t>Valor construido, alcance técnico, algoritmo PSR, pagos y presupuesto para monetización</w:t>
      </w:r>
    </w:p>
    <w:p>
      <w:pPr>
        <w:pBdr>
          <w:bottom w:val="single" w:sz="12" w:space="4" w:color="2E74B5"/>
        </w:pBdr>
        <w:spacing w:after="3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Proyecto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Phoenix Arena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Fecha de corte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11 de mayo de 2026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Uso previsto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Cotización, pitch técnico y valoración de reposición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Cifra de pitch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Activo tecnológico: USD $115k-$170k; live monetizado: +USD $35k-$60k</w:t>
            </w:r>
          </w:p>
        </w:tc>
      </w:tr>
    </w:tbl>
    <w:p>
      <w:pPr>
        <w:spacing w:after="240"/>
      </w:pP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1. Resumen ejecutivo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Phoenix Arena no es una página web informativa. Es una </w:t>
      </w:r>
      <w:r>
        <w:rPr>
          <w:rFonts w:ascii="Calibri" w:hAnsi="Calibri"/>
          <w:b/>
          <w:color w:val="000000"/>
          <w:sz w:val="22"/>
        </w:rPr>
        <w:t>webapp transaccional competitiva para esports/gaming</w:t>
      </w:r>
      <w:r>
        <w:rPr>
          <w:rFonts w:ascii="Calibri" w:hAnsi="Calibri"/>
          <w:b w:val="0"/>
          <w:color w:val="000000"/>
          <w:sz w:val="22"/>
        </w:rPr>
        <w:t>, orientada a torneos, retos, perfiles de jugador, ranking verificable, wallet interna, pagos, premios, panel administrativo y auditoría de resultados.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El componente diferencial es </w:t>
      </w:r>
      <w:r>
        <w:rPr>
          <w:rFonts w:ascii="Calibri" w:hAnsi="Calibri"/>
          <w:b/>
          <w:color w:val="000000"/>
          <w:sz w:val="22"/>
        </w:rPr>
        <w:t>Phoenix Skill Rating (PSR)</w:t>
      </w:r>
      <w:r>
        <w:rPr>
          <w:rFonts w:ascii="Calibri" w:hAnsi="Calibri"/>
          <w:b w:val="0"/>
          <w:color w:val="000000"/>
          <w:sz w:val="22"/>
        </w:rPr>
        <w:t>: un algoritmo de clasificación de habilidad basado en evidencia, con sustento metodológico y trazabilidad. PSR no funciona como una suma simple de puntos; estima habilidad e incertidumbre con una lógica bayesiana conservadora inspirada en modelos de rating competitivos como TrueSkill, Glicko/Glicko-2 y OpenSkill.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Con base en el alcance observado en el repositorio, el valor de reposición defendible del estado actual es: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63"/>
        <w:gridCol w:w="3096"/>
      </w:tblGrid>
      <w:tr>
        <w:trPr>
          <w:tblHeader w:val="true"/>
        </w:trP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Escenario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Rango estimado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Reposición profesional nearshore/senior del estado actual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USD $115,000 - $170,000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Equivalente aproximado en MXN, usando 1 USD ≈ 17.21 MXN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MXN $1.98M - $2.93M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Presupuesto adicional recomendado antes de dinero real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USD $35,000 - $60,000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 endurecido para operación monetizada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USD $150,000 - $230,000</w:t>
            </w:r>
          </w:p>
        </w:tc>
      </w:tr>
    </w:tbl>
    <w:p>
      <w:pPr>
        <w:spacing w:after="80"/>
      </w:pP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Estos montos no son una tasación legal ni contable. Son una estimación de reposición técnica: cuánto costaría contratar a un equipo profesional para reconstruir un producto equivalente, con el mismo tipo de arquitectura, lógica de negocio, algoritmo, datos históricos, pagos, panel administrativo, documentación y despliegue.</w:t>
      </w: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2. Tipo de producto construido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Phoenix Arena debe clasificarse como una </w:t>
      </w:r>
      <w:r>
        <w:rPr>
          <w:rFonts w:ascii="Calibri" w:hAnsi="Calibri"/>
          <w:b/>
          <w:color w:val="000000"/>
          <w:sz w:val="22"/>
        </w:rPr>
        <w:t>plataforma web full-stack transaccional con componente fintech-lite y algoritmo competitivo propio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En términos de producto, combina: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SaaS vertical para comunidad competitiva:</w:t>
      </w:r>
      <w:r>
        <w:rPr>
          <w:rFonts w:ascii="Calibri" w:hAnsi="Calibri"/>
          <w:b w:val="0"/>
          <w:color w:val="000000"/>
          <w:sz w:val="22"/>
        </w:rPr>
        <w:t xml:space="preserve"> perfiles, comunidad, ranking, ladder, tienda, bóveda, feed y operación recurrente.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Plataforma de torneos:</w:t>
      </w:r>
      <w:r>
        <w:rPr>
          <w:rFonts w:ascii="Calibri" w:hAnsi="Calibri"/>
          <w:b w:val="0"/>
          <w:color w:val="000000"/>
          <w:sz w:val="22"/>
        </w:rPr>
        <w:t xml:space="preserve"> creación de torneos, inscripción, resultados, premios, formatos, splits y cancelaciones.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Wallet interna:</w:t>
      </w:r>
      <w:r>
        <w:rPr>
          <w:rFonts w:ascii="Calibri" w:hAnsi="Calibri"/>
          <w:b w:val="0"/>
          <w:color w:val="000000"/>
          <w:sz w:val="22"/>
        </w:rPr>
        <w:t xml:space="preserve"> saldo, depósitos, retiros, comisiones, historial de transacciones y reembolsos.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Pasarela de pagos:</w:t>
      </w:r>
      <w:r>
        <w:rPr>
          <w:rFonts w:ascii="Calibri" w:hAnsi="Calibri"/>
          <w:b w:val="0"/>
          <w:color w:val="000000"/>
          <w:sz w:val="22"/>
        </w:rPr>
        <w:t xml:space="preserve"> PayPal implementado en sandbox y MercadoPago implementado en código para México/MXN, con endpoints y webhooks.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Motor de rating/ranking propietario:</w:t>
      </w:r>
      <w:r>
        <w:rPr>
          <w:rFonts w:ascii="Calibri" w:hAnsi="Calibri"/>
          <w:b w:val="0"/>
          <w:color w:val="000000"/>
          <w:sz w:val="22"/>
        </w:rPr>
        <w:t xml:space="preserve"> PSR, con cálculo auditable, snapshots persistidos, deltas por jugador e historial.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Panel admin operativo:</w:t>
      </w:r>
      <w:r>
        <w:rPr>
          <w:rFonts w:ascii="Calibri" w:hAnsi="Calibri"/>
          <w:b w:val="0"/>
          <w:color w:val="000000"/>
          <w:sz w:val="22"/>
        </w:rPr>
        <w:t xml:space="preserve"> usuarios, torneos, resultados, transacciones, disputas, actividad y tienda.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Capa documental/legal:</w:t>
      </w:r>
      <w:r>
        <w:rPr>
          <w:rFonts w:ascii="Calibri" w:hAnsi="Calibri"/>
          <w:b w:val="0"/>
          <w:color w:val="000000"/>
          <w:sz w:val="22"/>
        </w:rPr>
        <w:t xml:space="preserve"> términos, privacidad, pagos, habilidad/ranking, ayuda y expediente técnico PSR.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La complejidad principal no viene de “hacer pantallas”, sino de coordinar resultado competitivo, dinero, evidencia, auditoría, ranking, reversibilidad y confianza operativa.</w:t>
      </w: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3. Alcance técnico observado en el proyecto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i w:val="0"/>
          <w:color w:val="1F4D78"/>
          <w:sz w:val="24"/>
        </w:rPr>
        <w:t>Stack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Frontend/backend:</w:t>
      </w:r>
      <w:r>
        <w:rPr>
          <w:rFonts w:ascii="Calibri" w:hAnsi="Calibri"/>
          <w:b w:val="0"/>
          <w:color w:val="000000"/>
          <w:sz w:val="22"/>
        </w:rPr>
        <w:t xml:space="preserve"> Next.js 16 App Router, React 19, TypeScript.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Base de datos y ORM:</w:t>
      </w:r>
      <w:r>
        <w:rPr>
          <w:rFonts w:ascii="Calibri" w:hAnsi="Calibri"/>
          <w:b w:val="0"/>
          <w:color w:val="000000"/>
          <w:sz w:val="22"/>
        </w:rPr>
        <w:t xml:space="preserve"> Prisma 7 con esquema SQLite/libSQL.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Deploy:</w:t>
      </w:r>
      <w:r>
        <w:rPr>
          <w:rFonts w:ascii="Calibri" w:hAnsi="Calibri"/>
          <w:b w:val="0"/>
          <w:color w:val="000000"/>
          <w:sz w:val="22"/>
        </w:rPr>
        <w:t xml:space="preserve"> Vercel, conectado a </w:t>
      </w:r>
      <w:r>
        <w:rPr>
          <w:rFonts w:ascii="Consolas" w:hAnsi="Consolas"/>
          <w:b w:val="0"/>
          <w:color w:val="000000"/>
          <w:sz w:val="21"/>
        </w:rPr>
        <w:t>main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Pagos:</w:t>
      </w:r>
      <w:r>
        <w:rPr>
          <w:rFonts w:ascii="Calibri" w:hAnsi="Calibri"/>
          <w:b w:val="0"/>
          <w:color w:val="000000"/>
          <w:sz w:val="22"/>
        </w:rPr>
        <w:t xml:space="preserve"> PayPal REST API v2; MercadoPago REST API/Checkout.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Datos históricos:</w:t>
      </w:r>
      <w:r>
        <w:rPr>
          <w:rFonts w:ascii="Calibri" w:hAnsi="Calibri"/>
          <w:b w:val="0"/>
          <w:color w:val="000000"/>
          <w:sz w:val="22"/>
        </w:rPr>
        <w:t xml:space="preserve"> importación desde archivos Excel </w:t>
      </w:r>
      <w:r>
        <w:rPr>
          <w:rFonts w:ascii="Consolas" w:hAnsi="Consolas"/>
          <w:b w:val="0"/>
          <w:color w:val="000000"/>
          <w:sz w:val="21"/>
        </w:rPr>
        <w:t>00_old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Documentación:</w:t>
      </w:r>
      <w:r>
        <w:rPr>
          <w:rFonts w:ascii="Calibri" w:hAnsi="Calibri"/>
          <w:b w:val="0"/>
          <w:color w:val="000000"/>
          <w:sz w:val="22"/>
        </w:rPr>
        <w:t xml:space="preserve"> expediente PSR, auditoría de datos antiguos, presentaciones y PDFs.</w:t>
      </w:r>
    </w:p>
    <w:p>
      <w:pPr>
        <w:pStyle w:val="Heading3"/>
        <w:pageBreakBefore/>
        <w:spacing w:before="160" w:after="80" w:line="264" w:lineRule="auto"/>
      </w:pPr>
      <w:r>
        <w:rPr>
          <w:rFonts w:ascii="Calibri" w:hAnsi="Calibri"/>
          <w:b/>
          <w:i w:val="0"/>
          <w:color w:val="1F4D78"/>
          <w:sz w:val="24"/>
        </w:rPr>
        <w:t>Métricas del repositorio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63"/>
        <w:gridCol w:w="3096"/>
      </w:tblGrid>
      <w:tr>
        <w:trPr>
          <w:tblHeader w:val="true"/>
        </w:trP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Evidencia local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Valor observado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Archivos versionados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177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Commits visibles en main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Ventana de trabajo visible en Git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27 mar 2026 - 10 may 2026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Código/documentación técnica en src, prisma, scripts, docs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~25,350 líneas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Archivos históricos importados desde 00_old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156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Participaciones históricas normalizadas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8,337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Jugadores únicos normalizados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2,843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Eventos PSR persistidos en producción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155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Deltas auditables de ranking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8,272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Jugadores en ranking productivo observado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2,846</w:t>
            </w:r>
          </w:p>
        </w:tc>
      </w:tr>
    </w:tbl>
    <w:p>
      <w:pPr>
        <w:spacing w:after="80"/>
      </w:pP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4. Qué se ha construido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i w:val="0"/>
          <w:color w:val="1F4D78"/>
          <w:sz w:val="24"/>
        </w:rPr>
        <w:t>Producto visible para usuarios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Home pública con propuesta de valor para jugadores LATAM.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Registro, login, sesión persistente y login Discord.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Perfiles de jugador con PSR, historial y posts.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Comunidad y perfiles públicos.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Ranking PSR con filtros, tiers, percentiles, calibración y estado de decaimiento.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Torneos con inscripción y pagos.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Retos/QuickMatch.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Wallet con depósitos, retiros e historial.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Tienda, bóveda, ladder, pulso/feed y páginas de ayuda/legal.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i w:val="0"/>
          <w:color w:val="1F4D78"/>
          <w:sz w:val="24"/>
        </w:rPr>
        <w:t>Operación/admin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Panel admin con módulos para usuarios, torneos, resultados, matches, transacciones, disputas, actividad y tienda.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Captura avanzada de resultados de torneo.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Cancelación de torneos con reembolsos.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Cierre de resultados con reconstrucción PSR.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Distribución de premios por presets o splits personalizados.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Auditoría de actividad y transacciones.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i w:val="0"/>
          <w:color w:val="1F4D78"/>
          <w:sz w:val="24"/>
        </w:rPr>
        <w:t>Pagos y dinero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El proyecto ya contiene una arquitectura de dinero interna:</w:t>
      </w:r>
    </w:p>
    <w:p>
      <w:pPr>
        <w:pStyle w:val="ListBullet"/>
        <w:spacing w:after="80" w:line="290" w:lineRule="auto"/>
        <w:ind w:left="540" w:hanging="279"/>
      </w:pPr>
      <w:r>
        <w:rPr>
          <w:rFonts w:ascii="Consolas" w:hAnsi="Consolas"/>
          <w:b w:val="0"/>
          <w:color w:val="000000"/>
          <w:sz w:val="21"/>
        </w:rPr>
        <w:t>Wallet.balance</w:t>
      </w:r>
      <w:r>
        <w:rPr>
          <w:rFonts w:ascii="Calibri" w:hAnsi="Calibri"/>
          <w:b w:val="0"/>
          <w:color w:val="000000"/>
          <w:sz w:val="22"/>
        </w:rPr>
        <w:t xml:space="preserve"> y </w:t>
      </w:r>
      <w:r>
        <w:rPr>
          <w:rFonts w:ascii="Consolas" w:hAnsi="Consolas"/>
          <w:b w:val="0"/>
          <w:color w:val="000000"/>
          <w:sz w:val="21"/>
        </w:rPr>
        <w:t>Wallet.heldBalance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  <w:spacing w:after="80" w:line="290" w:lineRule="auto"/>
        <w:ind w:left="540" w:hanging="279"/>
      </w:pPr>
      <w:r>
        <w:rPr>
          <w:rFonts w:ascii="Consolas" w:hAnsi="Consolas"/>
          <w:b w:val="0"/>
          <w:color w:val="000000"/>
          <w:sz w:val="21"/>
        </w:rPr>
        <w:t>Transaction</w:t>
      </w:r>
      <w:r>
        <w:rPr>
          <w:rFonts w:ascii="Calibri" w:hAnsi="Calibri"/>
          <w:b w:val="0"/>
          <w:color w:val="000000"/>
          <w:sz w:val="22"/>
        </w:rPr>
        <w:t xml:space="preserve"> con tipos: </w:t>
      </w:r>
      <w:r>
        <w:rPr>
          <w:rFonts w:ascii="Consolas" w:hAnsi="Consolas"/>
          <w:b w:val="0"/>
          <w:color w:val="000000"/>
          <w:sz w:val="21"/>
        </w:rPr>
        <w:t>deposit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1"/>
        </w:rPr>
        <w:t>tournament_entry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1"/>
        </w:rPr>
        <w:t>tournament_refund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1"/>
        </w:rPr>
        <w:t>tournament_win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1"/>
        </w:rPr>
        <w:t>withdrawal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1"/>
        </w:rPr>
        <w:t>commission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PayPal: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creación de orden;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aprobación/captura server-side;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webhook con verificación de firma;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idempotencia por referencia;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flujo “fund + join” para pagar e inscribirse a torneo.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MercadoPago: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creación de preferencia;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conversión USD -&gt; MXN;</w:t>
      </w:r>
    </w:p>
    <w:p>
      <w:pPr>
        <w:pStyle w:val="ListBullet"/>
        <w:spacing w:after="80" w:line="290" w:lineRule="auto"/>
        <w:ind w:left="540" w:hanging="279"/>
      </w:pPr>
      <w:r>
        <w:rPr>
          <w:rFonts w:ascii="Consolas" w:hAnsi="Consolas"/>
          <w:b w:val="0"/>
          <w:color w:val="000000"/>
          <w:sz w:val="21"/>
        </w:rPr>
        <w:t>external_reference</w:t>
      </w:r>
      <w:r>
        <w:rPr>
          <w:rFonts w:ascii="Calibri" w:hAnsi="Calibri"/>
          <w:b w:val="0"/>
          <w:color w:val="000000"/>
          <w:sz w:val="22"/>
        </w:rPr>
        <w:t xml:space="preserve"> con usuario, monto y torneo;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verificación server-side;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webhook HMAC;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flujo “fund + join”.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Premios: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comisión de plataforma del 10% sobre prize pool distribuible;</w:t>
      </w:r>
    </w:p>
    <w:p>
      <w:pPr>
        <w:pStyle w:val="ListBullet"/>
        <w:spacing w:after="80" w:line="290" w:lineRule="auto"/>
        <w:ind w:left="540" w:hanging="279"/>
      </w:pPr>
      <w:r>
        <w:rPr>
          <w:rFonts w:ascii="Consolas" w:hAnsi="Consolas"/>
          <w:b w:val="0"/>
          <w:color w:val="000000"/>
          <w:sz w:val="21"/>
        </w:rPr>
        <w:t>winner_takes_all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1"/>
        </w:rPr>
        <w:t>top_3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1"/>
        </w:rPr>
        <w:t>top_5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1"/>
        </w:rPr>
        <w:t>top_8</w:t>
      </w:r>
      <w:r>
        <w:rPr>
          <w:rFonts w:ascii="Calibri" w:hAnsi="Calibri"/>
          <w:b w:val="0"/>
          <w:color w:val="000000"/>
          <w:sz w:val="22"/>
        </w:rPr>
        <w:t xml:space="preserve"> y </w:t>
      </w:r>
      <w:r>
        <w:rPr>
          <w:rFonts w:ascii="Consolas" w:hAnsi="Consolas"/>
          <w:b w:val="0"/>
          <w:color w:val="000000"/>
          <w:sz w:val="21"/>
        </w:rPr>
        <w:t>custom</w:t>
      </w:r>
      <w:r>
        <w:rPr>
          <w:rFonts w:ascii="Calibri" w:hAnsi="Calibri"/>
          <w:b w:val="0"/>
          <w:color w:val="000000"/>
          <w:sz w:val="22"/>
        </w:rPr>
        <w:t>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premios como transacciones auditables.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Estado operativo actual: PayPal está documentado como </w:t>
      </w:r>
      <w:r>
        <w:rPr>
          <w:rFonts w:ascii="Consolas" w:hAnsi="Consolas"/>
          <w:b w:val="0"/>
          <w:color w:val="000000"/>
          <w:sz w:val="21"/>
        </w:rPr>
        <w:t>sandbox</w:t>
      </w:r>
      <w:r>
        <w:rPr>
          <w:rFonts w:ascii="Calibri" w:hAnsi="Calibri"/>
          <w:b w:val="0"/>
          <w:color w:val="000000"/>
          <w:sz w:val="22"/>
        </w:rPr>
        <w:t>; MercadoPago existe en código, pero la opción principal está oculta en UI. Antes de mover dinero real, se recomienda una fase formal de hardening.</w:t>
      </w: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5. Tipo de algoritmo: Phoenix Skill Rating (PSR)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PSR es un </w:t>
      </w:r>
      <w:r>
        <w:rPr>
          <w:rFonts w:ascii="Calibri" w:hAnsi="Calibri"/>
          <w:b/>
          <w:color w:val="000000"/>
          <w:sz w:val="22"/>
        </w:rPr>
        <w:t>algoritmo de rating competitivo bayesiano, conservador, auditable y basado en evidencia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La idea central es que cada jugador tiene una habilidad latente: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habilidad_i ~ Normal(mu_i, sigma_i^2)</w:t>
              <w:br/>
              <w:t>PSR_i = mu_i - 3 * sigma_i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Donde:</w:t>
      </w:r>
    </w:p>
    <w:p>
      <w:pPr>
        <w:pStyle w:val="ListBullet"/>
        <w:spacing w:after="80" w:line="290" w:lineRule="auto"/>
        <w:ind w:left="540" w:hanging="279"/>
      </w:pPr>
      <w:r>
        <w:rPr>
          <w:rFonts w:ascii="Consolas" w:hAnsi="Consolas"/>
          <w:b w:val="0"/>
          <w:color w:val="000000"/>
          <w:sz w:val="21"/>
        </w:rPr>
        <w:t>mu</w:t>
      </w:r>
      <w:r>
        <w:rPr>
          <w:rFonts w:ascii="Calibri" w:hAnsi="Calibri"/>
          <w:b w:val="0"/>
          <w:color w:val="000000"/>
          <w:sz w:val="22"/>
        </w:rPr>
        <w:t xml:space="preserve"> representa la estimación central de habilidad.</w:t>
      </w:r>
    </w:p>
    <w:p>
      <w:pPr>
        <w:pStyle w:val="ListBullet"/>
        <w:spacing w:after="80" w:line="290" w:lineRule="auto"/>
        <w:ind w:left="540" w:hanging="279"/>
      </w:pPr>
      <w:r>
        <w:rPr>
          <w:rFonts w:ascii="Consolas" w:hAnsi="Consolas"/>
          <w:b w:val="0"/>
          <w:color w:val="000000"/>
          <w:sz w:val="21"/>
        </w:rPr>
        <w:t>sigma</w:t>
      </w:r>
      <w:r>
        <w:rPr>
          <w:rFonts w:ascii="Calibri" w:hAnsi="Calibri"/>
          <w:b w:val="0"/>
          <w:color w:val="000000"/>
          <w:sz w:val="22"/>
        </w:rPr>
        <w:t xml:space="preserve"> representa incertidumbre.</w:t>
      </w:r>
    </w:p>
    <w:p>
      <w:pPr>
        <w:pStyle w:val="ListBullet"/>
        <w:spacing w:after="80" w:line="290" w:lineRule="auto"/>
        <w:ind w:left="540" w:hanging="279"/>
      </w:pPr>
      <w:r>
        <w:rPr>
          <w:rFonts w:ascii="Consolas" w:hAnsi="Consolas"/>
          <w:b w:val="0"/>
          <w:color w:val="000000"/>
          <w:sz w:val="21"/>
        </w:rPr>
        <w:t>PSR = mu - 3*sigma</w:t>
      </w:r>
      <w:r>
        <w:rPr>
          <w:rFonts w:ascii="Calibri" w:hAnsi="Calibri"/>
          <w:b w:val="0"/>
          <w:color w:val="000000"/>
          <w:sz w:val="22"/>
        </w:rPr>
        <w:t xml:space="preserve"> publica un valor conservador, para no inflar jugadores con poca evidencia.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El modelo utiliza señales de: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placement final;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placement promedio por mapas;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kills normalizadas;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puntos de equipo;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fuerza del lobby;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número de eventos rankeables;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verificación administrativa;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inactividad/decaimiento;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Matchpoint y casos históricos separados para auditoría.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La decisión metodológica importante es que PSR </w:t>
      </w:r>
      <w:r>
        <w:rPr>
          <w:rFonts w:ascii="Calibri" w:hAnsi="Calibri"/>
          <w:b/>
          <w:color w:val="000000"/>
          <w:sz w:val="22"/>
        </w:rPr>
        <w:t>no mezcla habilidad con confianza operativa ni con saldo financiero</w:t>
      </w:r>
      <w:r>
        <w:rPr>
          <w:rFonts w:ascii="Calibri" w:hAnsi="Calibri"/>
          <w:b w:val="0"/>
          <w:color w:val="000000"/>
          <w:sz w:val="22"/>
        </w:rPr>
        <w:t>. Habilidad, trust score y dinero son subsistemas separados. Esto permite resolver disputas deportivas o financieras sin reescribir silenciosamente el historial.</w:t>
      </w:r>
    </w:p>
    <w:p>
      <w:pPr>
        <w:pStyle w:val="Heading3"/>
        <w:spacing w:before="160" w:after="80" w:line="264" w:lineRule="auto"/>
      </w:pPr>
      <w:r>
        <w:rPr>
          <w:rFonts w:ascii="Calibri" w:hAnsi="Calibri"/>
          <w:b/>
          <w:i w:val="0"/>
          <w:color w:val="1F4D78"/>
          <w:sz w:val="24"/>
        </w:rPr>
        <w:t>Sustento metodológico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PSR se apoya conceptualmente en: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TrueSkill</w:t>
      </w:r>
      <w:r>
        <w:rPr>
          <w:rFonts w:ascii="Calibri" w:hAnsi="Calibri"/>
          <w:b w:val="0"/>
          <w:color w:val="000000"/>
          <w:sz w:val="22"/>
        </w:rPr>
        <w:t xml:space="preserve">, de Microsoft Research, que modela habilidad con </w:t>
      </w:r>
      <w:r>
        <w:rPr>
          <w:rFonts w:ascii="Consolas" w:hAnsi="Consolas"/>
          <w:b w:val="0"/>
          <w:color w:val="000000"/>
          <w:sz w:val="21"/>
        </w:rPr>
        <w:t>mu</w:t>
      </w:r>
      <w:r>
        <w:rPr>
          <w:rFonts w:ascii="Calibri" w:hAnsi="Calibri"/>
          <w:b w:val="0"/>
          <w:color w:val="000000"/>
          <w:sz w:val="22"/>
        </w:rPr>
        <w:t xml:space="preserve"> y </w:t>
      </w:r>
      <w:r>
        <w:rPr>
          <w:rFonts w:ascii="Consolas" w:hAnsi="Consolas"/>
          <w:b w:val="0"/>
          <w:color w:val="000000"/>
          <w:sz w:val="21"/>
        </w:rPr>
        <w:t>sigma</w:t>
      </w:r>
      <w:r>
        <w:rPr>
          <w:rFonts w:ascii="Calibri" w:hAnsi="Calibri"/>
          <w:b w:val="0"/>
          <w:color w:val="000000"/>
          <w:sz w:val="22"/>
        </w:rPr>
        <w:t xml:space="preserve"> y usa una estimación conservadora </w:t>
      </w:r>
      <w:r>
        <w:rPr>
          <w:rFonts w:ascii="Consolas" w:hAnsi="Consolas"/>
          <w:b w:val="0"/>
          <w:color w:val="000000"/>
          <w:sz w:val="21"/>
        </w:rPr>
        <w:t>mean - 3 * uncertainty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Glicko/Glicko-2</w:t>
      </w:r>
      <w:r>
        <w:rPr>
          <w:rFonts w:ascii="Calibri" w:hAnsi="Calibri"/>
          <w:b w:val="0"/>
          <w:color w:val="000000"/>
          <w:sz w:val="22"/>
        </w:rPr>
        <w:t>, que mejora Elo incorporando incertidumbre/fiabilidad del rating.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/>
          <w:color w:val="000000"/>
          <w:sz w:val="22"/>
        </w:rPr>
        <w:t>OpenSkill</w:t>
      </w:r>
      <w:r>
        <w:rPr>
          <w:rFonts w:ascii="Calibri" w:hAnsi="Calibri"/>
          <w:b w:val="0"/>
          <w:color w:val="000000"/>
          <w:sz w:val="22"/>
        </w:rPr>
        <w:t>, que ofrece rating para escenarios multiplayer y multi-equipo.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Por eso el valor técnico del proyecto no está solo en el código, sino en haber adaptado esa familia metodológica al dominio real de Phoenix Arena: Warzone, torneos multijugador, datos históricos, evidencia administrativa, pagos y ranking público.</w:t>
      </w:r>
    </w:p>
    <w:p>
      <w:pPr>
        <w:pStyle w:val="Heading1"/>
        <w:pageBreakBefore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6. Valor de reposición del estado actual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La siguiente estimación usa una tarifa blended de </w:t>
      </w:r>
      <w:r>
        <w:rPr>
          <w:rFonts w:ascii="Calibri" w:hAnsi="Calibri"/>
          <w:b/>
          <w:color w:val="000000"/>
          <w:sz w:val="22"/>
        </w:rPr>
        <w:t>USD $65/hora</w:t>
      </w:r>
      <w:r>
        <w:rPr>
          <w:rFonts w:ascii="Calibri" w:hAnsi="Calibri"/>
          <w:b w:val="0"/>
          <w:color w:val="000000"/>
          <w:sz w:val="22"/>
        </w:rPr>
        <w:t>. Esta tarifa está por encima del rango promedio de México publicado por Clutch porque el proyecto requiere seniority en backend, pagos, auditoría, datos, ranking algorítmico y operación con dinero. Aun así, queda por debajo de una agencia de Estados Unidos, donde Clutch lista rangos de USD $100-$149/h.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112"/>
        <w:gridCol w:w="1944"/>
        <w:gridCol w:w="2304"/>
      </w:tblGrid>
      <w:tr>
        <w:trPr>
          <w:tblHeader w:val="true"/>
        </w:trP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Módulo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Horas estimadas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/>
                <w:color w:val="000000"/>
                <w:sz w:val="17"/>
              </w:rPr>
              <w:t>Costo a USD $65/h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Descubrimiento, arquitectura y diseño de sistema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90 - 130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$5,850 - $8,450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UX/UI, experiencia responsive y contenido de producto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110 - 160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$7,150 - $10,400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Frontend de la app pública y usuario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180 - 270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$11,700 - $17,550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Backend, APIs y modelo de datos Prisma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180 - 280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$11,700 - $18,200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Autenticación, roles, perfiles, comunidad, tienda/vault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110 - 170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$7,150 - $11,050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Torneos, retos, resultados, disputas y admin operativo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210 - 310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$13,650 - $20,150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Wallet, PayPal, MercadoPago, premios y reembolsos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170 - 260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$11,050 - $16,900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PSR: algoritmo, ranking, snapshots, historial y auditoría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260 - 380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$16,900 - $24,700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Importación histórica, normalización y documentación de datos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120 - 180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$7,800 - $11,700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DevOps, performance, QA, despliegue y documentación final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120 - 160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$7,800 - $10,400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Subtotal técnico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1,550 - 2,300 h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$100,750 - $149,500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Dirección técnica/PM/contingencia razonable (~12%)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186 - 276 h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$12,090 - $17,940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Valor de reposición recomendado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1,736 - 2,576 h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$112,840 - $167,440</w:t>
            </w:r>
          </w:p>
        </w:tc>
      </w:tr>
    </w:tbl>
    <w:p>
      <w:pPr>
        <w:spacing w:after="80"/>
      </w:pPr>
    </w:p>
    <w:p>
      <w:pPr>
        <w:spacing w:before="0" w:after="160" w:line="320" w:lineRule="auto"/>
        <w:jc w:val="both"/>
      </w:pPr>
      <w:r>
        <w:rPr>
          <w:rFonts w:ascii="Calibri" w:hAnsi="Calibri"/>
          <w:b/>
          <w:color w:val="000000"/>
          <w:sz w:val="22"/>
        </w:rPr>
        <w:t>Rango redondeado para pitch: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alibri" w:hAnsi="Calibri"/>
          <w:b/>
          <w:color w:val="000000"/>
          <w:sz w:val="22"/>
        </w:rPr>
        <w:t>USD $115,000 - $170,000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alibri" w:hAnsi="Calibri"/>
          <w:b/>
          <w:color w:val="000000"/>
          <w:sz w:val="22"/>
        </w:rPr>
        <w:t>Equivalente MXN aproximado: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alibri" w:hAnsi="Calibri"/>
          <w:b/>
          <w:color w:val="000000"/>
          <w:sz w:val="22"/>
        </w:rPr>
        <w:t>MXN $1.98M - $2.93M</w:t>
      </w:r>
      <w:r>
        <w:rPr>
          <w:rFonts w:ascii="Calibri" w:hAnsi="Calibri"/>
          <w:b w:val="0"/>
          <w:color w:val="000000"/>
          <w:sz w:val="22"/>
        </w:rPr>
        <w:t>, usando ~17.21 MXN/USD.</w:t>
      </w: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7. Costo adicional para operar dinero real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El proyecto ya tiene una base fuerte, pero una plataforma con pagos, premios y retiros necesita una fase de endurecimiento antes de pasar a </w:t>
      </w:r>
      <w:r>
        <w:rPr>
          <w:rFonts w:ascii="Consolas" w:hAnsi="Consolas"/>
          <w:b w:val="0"/>
          <w:color w:val="000000"/>
          <w:sz w:val="21"/>
        </w:rPr>
        <w:t>live</w:t>
      </w:r>
      <w:r>
        <w:rPr>
          <w:rFonts w:ascii="Calibri" w:hAnsi="Calibri"/>
          <w:b w:val="0"/>
          <w:color w:val="000000"/>
          <w:sz w:val="22"/>
        </w:rPr>
        <w:t>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112"/>
        <w:gridCol w:w="1944"/>
        <w:gridCol w:w="2304"/>
      </w:tblGrid>
      <w:tr>
        <w:trPr>
          <w:tblHeader w:val="true"/>
        </w:trP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Paquete restante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Horas estimadas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/>
                <w:color w:val="000000"/>
                <w:sz w:val="17"/>
              </w:rPr>
              <w:t>Costo a USD $65/h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Ledger/idempotencia fuerte y atomicidad de inscripción wallet-only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70 - 110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$4,550 - $7,150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Conciliación PayPal/MercadoPago, duplicados, chargebacks y reportes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80 - 130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$5,200 - $8,450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Flujo formal de retiros y aprobación admin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60 - 100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$3,900 - $6,500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Seguridad live: secretos, roles, revisión de webhooks y hardening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70 - 120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$4,550 - $7,800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QA/E2E de flujos financieros, torneos y premios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90 - 160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$5,850 - $10,400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Backtest PSR, calibración, outliers y model card pública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80 - 140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$5,200 - $9,100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Políticas operativas, soporte, disputas y documentación legal-base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30 - 60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$1,950 - $3,900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Subtotal restante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480 - 820 h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$31,200 - $53,300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Dirección técnica/PM/contingencia (~12%)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58 - 98 h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$3,744 - $6,396</w:t>
            </w:r>
          </w:p>
        </w:tc>
      </w:tr>
      <w:tr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Presupuesto adicional recomendado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538 - 918 h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$34,944 - $59,696</w:t>
            </w:r>
          </w:p>
        </w:tc>
      </w:tr>
    </w:tbl>
    <w:p>
      <w:pPr>
        <w:spacing w:after="80"/>
      </w:pPr>
    </w:p>
    <w:p>
      <w:pPr>
        <w:spacing w:before="0" w:after="160" w:line="320" w:lineRule="auto"/>
        <w:jc w:val="both"/>
      </w:pPr>
      <w:r>
        <w:rPr>
          <w:rFonts w:ascii="Calibri" w:hAnsi="Calibri"/>
          <w:b/>
          <w:color w:val="000000"/>
          <w:sz w:val="22"/>
        </w:rPr>
        <w:t>Rango redondeado: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alibri" w:hAnsi="Calibri"/>
          <w:b/>
          <w:color w:val="000000"/>
          <w:sz w:val="22"/>
        </w:rPr>
        <w:t>USD $35,000 - $60,000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alibri" w:hAnsi="Calibri"/>
          <w:b/>
          <w:color w:val="000000"/>
          <w:sz w:val="22"/>
        </w:rPr>
        <w:t>Equivalente MXN aproximado: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alibri" w:hAnsi="Calibri"/>
          <w:b/>
          <w:color w:val="000000"/>
          <w:sz w:val="22"/>
        </w:rPr>
        <w:t>MXN $602,000 - $1.03M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8. Tiempo necesario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El historial visible en Git muestra una ventana de trabajo del </w:t>
      </w:r>
      <w:r>
        <w:rPr>
          <w:rFonts w:ascii="Calibri" w:hAnsi="Calibri"/>
          <w:b/>
          <w:color w:val="000000"/>
          <w:sz w:val="22"/>
        </w:rPr>
        <w:t>27 de marzo de 2026 al 10 de mayo de 2026</w:t>
      </w:r>
      <w:r>
        <w:rPr>
          <w:rFonts w:ascii="Calibri" w:hAnsi="Calibri"/>
          <w:b w:val="0"/>
          <w:color w:val="000000"/>
          <w:sz w:val="22"/>
        </w:rPr>
        <w:t>, con 46 commits. Eso representa aproximadamente 6.5 semanas calendario de avance intenso, probablemente con mucha aceleración por herramientas modernas/IA y decisiones rápidas.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Para reconstruir profesionalmente el estado actual desde cero: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63"/>
        <w:gridCol w:w="3096"/>
      </w:tblGrid>
      <w:tr>
        <w:trPr>
          <w:tblHeader w:val="true"/>
        </w:trP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Equipo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Tiempo estimado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dev senior full-stack + soporte puntual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6 - 9 meses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 devs full-stack + 1 product/design parcial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14 - 22 semanas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Equipo agencia completo, con QA y PM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4 - 6 meses</w:t>
            </w:r>
          </w:p>
        </w:tc>
      </w:tr>
    </w:tbl>
    <w:p>
      <w:pPr>
        <w:spacing w:after="80"/>
      </w:pP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Para llevarlo de estado actual a monetización live: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256"/>
        <w:gridCol w:w="4104"/>
      </w:tblGrid>
      <w:tr>
        <w:trPr>
          <w:tblHeader w:val="true"/>
        </w:trP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Fase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Tiempo estimado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Hardening financiero y seguridad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3 - 5 semanas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QA/E2E, conciliación y retiros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3 - 5 semanas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Validación PSR y documentación pública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2 - 4 semanas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adicional recomendado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6 - 10 semanas, en paralelo parcial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9. Costos variables de operación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Además del desarrollo, la plataforma tiene costos variables: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63"/>
        <w:gridCol w:w="3096"/>
      </w:tblGrid>
      <w:tr>
        <w:trPr>
          <w:tblHeader w:val="true"/>
        </w:trP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Concepto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Rango/nota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Vercel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 desde USD $20/mes + uso adicional.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Base de datos/libSQL/Turso o equivalente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Puede iniciar bajo, pero debe presupuestarse según tráfico, backups y almacenamiento.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PayPal México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Tarifa comercial doméstica estándar observada: 3.95% + cuota fija, sujeta a IVA.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MercadoPago México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Checkout: tarifas publicadas alrededor de 3.49% + IVA para disponibilidad inmediata; varían según plazo y medio de pago.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Dominio, correo, monitoreo, logs, storage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Estimación inicial: USD $30 - $300/mes, según stack final.</w:t>
            </w:r>
          </w:p>
        </w:tc>
      </w:tr>
      <w:tr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Soporte/operación/conciliación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20 - 60 h/mes después de live, según volumen y disputas.</w:t>
            </w:r>
          </w:p>
        </w:tc>
      </w:tr>
    </w:tbl>
    <w:p>
      <w:pPr>
        <w:spacing w:after="80"/>
      </w:pP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Los fees de proveedores no son margen de plataforma; deben modelarse dentro de la economía de cada torneo, junto con IVA/impuestos, chargebacks, comisiones de retiro, soporte y reserva de riesgo.</w:t>
      </w: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10. Riesgos abiertos antes de cotizar dinero real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El proyecto ya documenta varios riesgos importantes: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 xml:space="preserve">Desactivar o restringir el depósito manual de desarrollo en </w:t>
      </w:r>
      <w:r>
        <w:rPr>
          <w:rFonts w:ascii="Consolas" w:hAnsi="Consolas"/>
          <w:b w:val="0"/>
          <w:color w:val="000000"/>
          <w:sz w:val="21"/>
        </w:rPr>
        <w:t>/api/wallet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Hacer atómico el join wallet-only.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 xml:space="preserve">Crear restricción única o ledger append-only para </w:t>
      </w:r>
      <w:r>
        <w:rPr>
          <w:rFonts w:ascii="Consolas" w:hAnsi="Consolas"/>
          <w:b w:val="0"/>
          <w:color w:val="000000"/>
          <w:sz w:val="21"/>
        </w:rPr>
        <w:t>Transaction(type, reference)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Implementar conciliación diaria contra PayPal/MercadoPago.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 xml:space="preserve">Formalizar retiros con </w:t>
      </w:r>
      <w:r>
        <w:rPr>
          <w:rFonts w:ascii="Consolas" w:hAnsi="Consolas"/>
          <w:b w:val="0"/>
          <w:color w:val="000000"/>
          <w:sz w:val="21"/>
        </w:rPr>
        <w:t>WithdrawalRequest</w:t>
      </w:r>
      <w:r>
        <w:rPr>
          <w:rFonts w:ascii="Calibri" w:hAnsi="Calibri"/>
          <w:b w:val="0"/>
          <w:color w:val="000000"/>
          <w:sz w:val="22"/>
        </w:rPr>
        <w:t>, revisión y referencia externa.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Rotar credenciales antes de pasar de sandbox/live.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Separar permisos admin para resultados, dinero y modelo.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Ejecutar backtests de PSR antes de que el rating determine premios o acceso monetizado.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Publicar reglas de disputa, corrección de resultados y ajustes financieros.</w:t>
      </w: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11. Mensaje de pitch técnico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Phoenix Arena ya tiene construido el esqueleto de una plataforma competitiva monetizable: no solo muestra jugadores, sino que convierte evidencia de torneos en ranking, ranking en reputación competitiva y torneos en flujos transaccionales auditables.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El activo central es la combinación de tres capas: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000000"/>
          <w:sz w:val="22"/>
        </w:rPr>
        <w:t>Producto/comunidad: jugadores, perfiles, torneos, ranking, tienda, wallet y operación admin.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000000"/>
          <w:sz w:val="22"/>
        </w:rPr>
        <w:t>Algoritmo defendible: PSR como rating bayesiano conservador, con incertidumbre, evidencia, historial y auditoría.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000000"/>
          <w:sz w:val="22"/>
        </w:rPr>
        <w:t>Infraestructura monetizable: pagos, wallet, prize pool, premios, reembolsos y trazabilidad.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La tesis para inversionistas o socios no debe ser “hicimos una web”, sino: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/>
                <w:color w:val="1F4D78"/>
                <w:sz w:val="24"/>
              </w:rPr>
              <w:t>Construimos una infraestructura competitiva para esports LATAM donde la habilidad verificable puede ordenar torneos, reputación y premios sin depender de una tabla manual opaca.</w:t>
            </w:r>
          </w:p>
        </w:tc>
      </w:tr>
    </w:tbl>
    <w:p>
      <w:pPr>
        <w:spacing w:after="80"/>
      </w:pP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12. Fuentes externas usadas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Clutch, Software Development Company Pricing Guide 2026: rangos por proyecto, promedio de costo, timeline y tarifas por país. https://clutch.co/developers/pricing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PayPal México, Merchant Fees, actualización 9 feb 2026. https://www.paypal.com/mx/business/paypal-business-fees?locale.x=en_MX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PayPal Developer, Orders v2 API integration. https://developer.paypal.com/api/rest/integration/orders-api/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MercadoPago México, Checkout para sitio web. https://www.mercadopago.com.mx/herramientas-para-vender/check-out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MercadoPago Developers, Primeros pasos. https://www.mercadopago.com.mx/developers/es/docs/getting-started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Microsoft Research, TrueSkill Ranking System. https://www.microsoft.com/en-us/research/project/trueskill-ranking-system/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Mark Glickman, The Glicko System. https://www.glicko.net/glicko/glicko.pdf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OpenSkill, Multiplayer Rating System. https://openskill.me/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Tipo de cambio de referencia consultado: dólar México, 8 may 2026, ~17.21 MXN/USD. https://eldolar.mx/dolar-2026-05-08</w:t>
      </w:r>
    </w:p>
    <w:p>
      <w:pPr>
        <w:pStyle w:val="Heading1"/>
        <w:spacing w:before="360" w:after="200" w:line="264" w:lineRule="auto"/>
      </w:pPr>
      <w:r>
        <w:rPr>
          <w:rFonts w:ascii="Calibri" w:hAnsi="Calibri"/>
          <w:b/>
          <w:i w:val="0"/>
          <w:color w:val="2E74B5"/>
          <w:sz w:val="32"/>
        </w:rPr>
        <w:t>13. Supuestos y exclusiones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>Esta cotización asume que el objetivo es reponer el estado funcional y documental observado en el repositorio. No incluye: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asesoría legal especializada en apuestas, juegos de habilidad, sorteos, fintech, KYC/AML o regulación local;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certificación de seguridad externa;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auditoría contable;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campañas de marketing;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soporte 24/7;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costos fiscales, IVA o impuestos por operación;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reservas para contracargos;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fee de procesadores de pago;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color w:val="000000"/>
          <w:sz w:val="22"/>
        </w:rPr>
        <w:t>diseño de marca completo fuera de lo ya implementado.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color w:val="000000"/>
          <w:sz w:val="22"/>
        </w:rPr>
        <w:t xml:space="preserve">Si Phoenix Arena se presenta ante socios, patrocinadores o inversionistas, la cifra más defendible es comunicar un </w:t>
      </w:r>
      <w:r>
        <w:rPr>
          <w:rFonts w:ascii="Calibri" w:hAnsi="Calibri"/>
          <w:b/>
          <w:color w:val="000000"/>
          <w:sz w:val="22"/>
        </w:rPr>
        <w:t>activo tecnológico construido con valor de reposición de USD $115k-$170k</w:t>
      </w:r>
      <w:r>
        <w:rPr>
          <w:rFonts w:ascii="Calibri" w:hAnsi="Calibri"/>
          <w:b w:val="0"/>
          <w:color w:val="000000"/>
          <w:sz w:val="22"/>
        </w:rPr>
        <w:t xml:space="preserve">, y un </w:t>
      </w:r>
      <w:r>
        <w:rPr>
          <w:rFonts w:ascii="Calibri" w:hAnsi="Calibri"/>
          <w:b/>
          <w:color w:val="000000"/>
          <w:sz w:val="22"/>
        </w:rPr>
        <w:t>roadmap de live monetizado de USD $35k-$60k adicionales</w:t>
      </w:r>
      <w:r>
        <w:rPr>
          <w:rFonts w:ascii="Calibri" w:hAnsi="Calibri"/>
          <w:b w:val="0"/>
          <w:color w:val="00000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Documento de trabajo · 11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8"/>
      </w:rPr>
      <w:t>Phoenix Arena | Cotización técnica y valor de reposición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técnica y valor de reposición - Phoenix Arena</dc:title>
  <dc:subject>Valor de reposición, alcance técnico, PSR y pagos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