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B27F">
      <w:pPr>
        <w:pStyle w:val="31"/>
        <w:jc w:val="center"/>
      </w:pPr>
      <w:bookmarkStart w:id="0" w:name="_GoBack"/>
      <w:r>
        <w:t>面向城市更新文献识别的多层证据约束二分类实验设计</w:t>
      </w:r>
      <w:bookmarkEnd w:id="0"/>
    </w:p>
    <w:p w14:paraId="1C92A655">
      <w:pPr>
        <w:pStyle w:val="3"/>
      </w:pPr>
      <w:r>
        <w:t>摘要</w:t>
      </w:r>
    </w:p>
    <w:p w14:paraId="37FC36D8">
      <w:r>
        <w:t>本文档面向城市更新文献识别任务，提出一套多层证据约束的二分类实验设计框架。该框架的目标是在大规模城市更新相关文献库中，准确判断每篇文献是否属于城市更新研究，并为后续指标提取、主题分析和人工复核提供稳定入口。与单纯关键词检索、固定主题分类或全量大语言模型判定不同，本文将二分类任务拆解为概念边界建模、语义证据抽取、主题体系约束、开放集覆盖诊断、动态主题发现、证据仲裁和困难样本裁决等多个方法环节。各环节共同构成“规则主导、主题辅助、动态修正、模型裁决”的研究设计。</w:t>
      </w:r>
    </w:p>
    <w:p w14:paraId="6D998D92">
      <w:r>
        <w:t xml:space="preserve">在实验层面，本文设置 </w:t>
      </w:r>
      <w:r>
        <w:rPr>
          <w:rFonts w:hint="eastAsia" w:eastAsia="宋体"/>
          <w:lang w:val="en-US" w:eastAsia="zh-CN"/>
        </w:rPr>
        <w:t>本地分类器</w:t>
      </w:r>
      <w:r>
        <w:t>与 LLM 辅助两种路径。</w:t>
      </w:r>
      <w:r>
        <w:rPr>
          <w:rFonts w:hint="eastAsia" w:eastAsia="宋体"/>
          <w:lang w:val="en-US" w:eastAsia="zh-CN"/>
        </w:rPr>
        <w:t>本地分类器</w:t>
      </w:r>
      <w:r>
        <w:t xml:space="preserve"> 路径完全依赖本地规则、主题体系和动态主题证据，保证可复现性和部署稳定性；LLM 辅助路径仅对高冲突、近阈值和主题-二分类不一致样本进行选择性裁决，不替代全量分类流程。实验结果显示，1000 篇带标签样本 </w:t>
      </w:r>
      <w:r>
        <w:rPr>
          <w:rFonts w:hint="eastAsia" w:eastAsia="宋体"/>
          <w:lang w:val="en-US" w:eastAsia="zh-CN"/>
        </w:rPr>
        <w:t>在本地分类器策略下</w:t>
      </w:r>
      <w:r>
        <w:t>Accuracy 达到 84.1%，LLM 困难样本裁决后 Accuracy 达到 90.4%；两轮 10000 篇无标签抽样和全量 40276 篇 no-LLM 测试的正例率均稳定在约 76%。结果说明，该框架同时满足分类精度、结构稳定性、可解释性和工程可部署性要求。</w:t>
      </w:r>
    </w:p>
    <w:p w14:paraId="15958A89">
      <w:r>
        <w:rPr>
          <w:b/>
        </w:rPr>
        <w:t>关键词</w:t>
      </w:r>
      <w:r>
        <w:t>：城市更新；文献识别；二分类；证据仲裁；开放集识别；动态主题发现；大语言模型；可解释人工智能</w:t>
      </w:r>
    </w:p>
    <w:p w14:paraId="684D5F70">
      <w:pPr>
        <w:pStyle w:val="3"/>
      </w:pPr>
      <w:r>
        <w:t>1. 研究问题与方法定位</w:t>
      </w:r>
    </w:p>
    <w:p w14:paraId="61E7A43A">
      <w:r>
        <w:t>城市更新研究具有高度跨学科特征。其研究对象既包括老旧小区、城中村、棕地、旧城、历史街区、工业遗产、公共空间和非正规住区，也包括更新治理、融资机制、搬迁补偿、绅士化、社会影响和空间绩效评价等过程性议题。同一研究对象在不同学科语境中可能被表述为 renewal、regeneration、redevelopment、revitalization、adaptive reuse、upgrading 或 rehabilitation。因此，城市更新文献识别不能被简化为少数关键词的命中问题。</w:t>
      </w:r>
    </w:p>
    <w:p w14:paraId="6FB7DD3C">
      <w:r>
        <w:t>本研究的核心任务是二分类，而不是开放式主题发现。给定一篇文献的题名、摘要、关键词和学科背景信息，需要判断该文献是否属于城市更新研究。设文献样本为 \(x_i\)，输出标签为 \(y_i \in \{0,1\}\)。其中 \(y_i=1\) 表示文献属于城市更新研究，\(y_i=0\) 表示文献不属于城市更新研究。</w:t>
      </w:r>
    </w:p>
    <w:p w14:paraId="51B27E30">
      <w:r>
        <w:t>该任务面临三个方法难点：</w:t>
      </w:r>
    </w:p>
    <w:p w14:paraId="3F04F428">
      <w:pPr>
        <w:pStyle w:val="14"/>
      </w:pPr>
      <w:r>
        <w:rPr>
          <w:b/>
        </w:rPr>
        <w:t>语义边界复杂</w:t>
      </w:r>
      <w:r>
        <w:t>：城市更新既包含明确的空间改造，也包含治理、政策、社会影响和评价方法等间接研究。</w:t>
      </w:r>
    </w:p>
    <w:p w14:paraId="5D697E98">
      <w:pPr>
        <w:pStyle w:val="14"/>
      </w:pPr>
      <w:r>
        <w:rPr>
          <w:b/>
        </w:rPr>
        <w:t>负类相似度高</w:t>
      </w:r>
      <w:r>
        <w:t>：一般城市治理、房地产市场、交通可达性、生态修复、农村振兴和纯方法建模常与城市更新共享词汇。</w:t>
      </w:r>
    </w:p>
    <w:p w14:paraId="59BBF980">
      <w:pPr>
        <w:pStyle w:val="14"/>
      </w:pPr>
      <w:r>
        <w:rPr>
          <w:b/>
        </w:rPr>
        <w:t>主题体系不完备</w:t>
      </w:r>
      <w:r>
        <w:t>：固定主题 可以解释已知主题，但面对新兴表达和跨学科长尾样本时会产生</w:t>
      </w:r>
      <w:r>
        <w:rPr>
          <w:rFonts w:hint="eastAsia" w:eastAsia="宋体"/>
          <w:lang w:val="en-US" w:eastAsia="zh-CN"/>
        </w:rPr>
        <w:t>未知边界样本。</w:t>
      </w:r>
    </w:p>
    <w:p w14:paraId="5532043D">
      <w:r>
        <w:t>因此，本文采用多层证据约束框架，而不是单一分类器框架。该框架强调：以学理定义确立边界，以证据锚点捕捉正负类依据，以主题体系组织解释，以动态主题发现处理开放集，以层级证据仲裁形成最终标签，以 LLM 仅裁决困难样本。</w:t>
      </w:r>
    </w:p>
    <w:p w14:paraId="7DC7D962">
      <w:pPr>
        <w:pStyle w:val="3"/>
      </w:pPr>
      <w:r>
        <w:t>2. 总体方法体系</w:t>
      </w:r>
    </w:p>
    <w:p w14:paraId="73A7095C">
      <w:r>
        <w:t xml:space="preserve">本文将完整方法命名为 </w:t>
      </w:r>
      <w:r>
        <w:rPr>
          <w:rFonts w:hint="eastAsia" w:eastAsia="宋体"/>
          <w:lang w:val="en-US" w:eastAsia="zh-CN"/>
        </w:rPr>
        <w:t>基于大模型辅助策略的</w:t>
      </w:r>
      <w:r>
        <w:rPr>
          <w:b/>
        </w:rPr>
        <w:t>多层证据约束的城市更新文献二分类框架</w:t>
      </w:r>
      <w:r>
        <w:t xml:space="preserve">，英文可表述为 </w:t>
      </w:r>
      <w:r>
        <w:rPr>
          <w:b/>
        </w:rPr>
        <w:t>Multi-level Evidence-Constrained Binary Screening Framework for Urban Renewal Literature</w:t>
      </w:r>
      <w:r>
        <w:t xml:space="preserve">，简称 </w:t>
      </w:r>
      <w:r>
        <w:rPr>
          <w:b/>
        </w:rPr>
        <w:t>MEC-BS</w:t>
      </w:r>
      <w:r>
        <w:t>。该框架由九个方法模块组成。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2379"/>
        <w:gridCol w:w="2379"/>
        <w:gridCol w:w="2379"/>
      </w:tblGrid>
      <w:tr w14:paraId="2328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shd w:val="clear" w:color="auto" w:fill="D9EAF7"/>
            <w:vAlign w:val="center"/>
          </w:tcPr>
          <w:p w14:paraId="3AB646F5">
            <w:pPr>
              <w:spacing w:after="0"/>
            </w:pPr>
            <w:r>
              <w:rPr>
                <w:rFonts w:ascii="Times New Roman" w:hAnsi="Times New Roman" w:eastAsia="??"/>
                <w:b/>
                <w:sz w:val="18"/>
              </w:rPr>
              <w:t>方法编号</w:t>
            </w:r>
          </w:p>
        </w:tc>
        <w:tc>
          <w:tcPr>
            <w:tcW w:w="2379" w:type="dxa"/>
            <w:shd w:val="clear" w:color="auto" w:fill="D9EAF7"/>
            <w:vAlign w:val="center"/>
          </w:tcPr>
          <w:p w14:paraId="4B38BE5D">
            <w:pPr>
              <w:spacing w:after="0"/>
            </w:pPr>
            <w:r>
              <w:rPr>
                <w:rFonts w:ascii="Times New Roman" w:hAnsi="Times New Roman" w:eastAsia="??"/>
                <w:b/>
                <w:sz w:val="18"/>
              </w:rPr>
              <w:t>学术化方法名称</w:t>
            </w:r>
          </w:p>
        </w:tc>
        <w:tc>
          <w:tcPr>
            <w:tcW w:w="2379" w:type="dxa"/>
            <w:shd w:val="clear" w:color="auto" w:fill="D9EAF7"/>
            <w:vAlign w:val="center"/>
          </w:tcPr>
          <w:p w14:paraId="292277D8">
            <w:pPr>
              <w:spacing w:after="0"/>
            </w:pPr>
            <w:r>
              <w:rPr>
                <w:rFonts w:ascii="Times New Roman" w:hAnsi="Times New Roman" w:eastAsia="??"/>
                <w:b/>
                <w:sz w:val="18"/>
              </w:rPr>
              <w:t>英文名称</w:t>
            </w:r>
          </w:p>
        </w:tc>
        <w:tc>
          <w:tcPr>
            <w:tcW w:w="2379" w:type="dxa"/>
            <w:shd w:val="clear" w:color="auto" w:fill="D9EAF7"/>
            <w:vAlign w:val="center"/>
          </w:tcPr>
          <w:p w14:paraId="300D610C">
            <w:pPr>
              <w:spacing w:after="0"/>
            </w:pPr>
            <w:r>
              <w:rPr>
                <w:rFonts w:ascii="Times New Roman" w:hAnsi="Times New Roman" w:eastAsia="??"/>
                <w:b/>
                <w:sz w:val="18"/>
              </w:rPr>
              <w:t>方法作用</w:t>
            </w:r>
          </w:p>
        </w:tc>
      </w:tr>
      <w:tr w14:paraId="590D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3FF0651B">
            <w:pPr>
              <w:spacing w:after="0"/>
            </w:pPr>
            <w:r>
              <w:rPr>
                <w:rFonts w:ascii="Times New Roman" w:hAnsi="Times New Roman" w:eastAsia="??"/>
                <w:b w:val="0"/>
                <w:sz w:val="18"/>
              </w:rPr>
              <w:t>M1</w:t>
            </w:r>
          </w:p>
        </w:tc>
        <w:tc>
          <w:tcPr>
            <w:tcW w:w="2379" w:type="dxa"/>
            <w:vAlign w:val="center"/>
          </w:tcPr>
          <w:p w14:paraId="58B51878">
            <w:pPr>
              <w:spacing w:after="0"/>
            </w:pPr>
            <w:r>
              <w:rPr>
                <w:rFonts w:ascii="Times New Roman" w:hAnsi="Times New Roman" w:eastAsia="??"/>
                <w:b w:val="0"/>
                <w:sz w:val="18"/>
              </w:rPr>
              <w:t>领域概念边界形式化</w:t>
            </w:r>
          </w:p>
        </w:tc>
        <w:tc>
          <w:tcPr>
            <w:tcW w:w="2379" w:type="dxa"/>
            <w:vAlign w:val="center"/>
          </w:tcPr>
          <w:p w14:paraId="1A6600B9">
            <w:pPr>
              <w:spacing w:after="0"/>
            </w:pPr>
            <w:r>
              <w:rPr>
                <w:rFonts w:ascii="Times New Roman" w:hAnsi="Times New Roman" w:eastAsia="??"/>
                <w:b w:val="0"/>
                <w:sz w:val="18"/>
              </w:rPr>
              <w:t>Domain Boundary Formalization, DBF</w:t>
            </w:r>
          </w:p>
        </w:tc>
        <w:tc>
          <w:tcPr>
            <w:tcW w:w="2379" w:type="dxa"/>
            <w:vAlign w:val="center"/>
          </w:tcPr>
          <w:p w14:paraId="267ED9CE">
            <w:pPr>
              <w:spacing w:after="0"/>
            </w:pPr>
            <w:r>
              <w:rPr>
                <w:rFonts w:ascii="Times New Roman" w:hAnsi="Times New Roman" w:eastAsia="??"/>
                <w:b w:val="0"/>
                <w:sz w:val="18"/>
              </w:rPr>
              <w:t>明确城市更新研究的正负类学理边界</w:t>
            </w:r>
          </w:p>
        </w:tc>
      </w:tr>
      <w:tr w14:paraId="4ABD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7671C338">
            <w:pPr>
              <w:spacing w:after="0"/>
            </w:pPr>
            <w:r>
              <w:rPr>
                <w:rFonts w:ascii="Times New Roman" w:hAnsi="Times New Roman" w:eastAsia="??"/>
                <w:b w:val="0"/>
                <w:sz w:val="18"/>
              </w:rPr>
              <w:t>M2</w:t>
            </w:r>
          </w:p>
        </w:tc>
        <w:tc>
          <w:tcPr>
            <w:tcW w:w="2379" w:type="dxa"/>
            <w:vAlign w:val="center"/>
          </w:tcPr>
          <w:p w14:paraId="270F1114">
            <w:pPr>
              <w:spacing w:after="0"/>
            </w:pPr>
            <w:r>
              <w:rPr>
                <w:rFonts w:ascii="Times New Roman" w:hAnsi="Times New Roman" w:eastAsia="??"/>
                <w:b w:val="0"/>
                <w:sz w:val="18"/>
              </w:rPr>
              <w:t>语义证据锚点抽取</w:t>
            </w:r>
          </w:p>
        </w:tc>
        <w:tc>
          <w:tcPr>
            <w:tcW w:w="2379" w:type="dxa"/>
            <w:vAlign w:val="center"/>
          </w:tcPr>
          <w:p w14:paraId="65C6C4A9">
            <w:pPr>
              <w:spacing w:after="0"/>
            </w:pPr>
            <w:r>
              <w:rPr>
                <w:rFonts w:ascii="Times New Roman" w:hAnsi="Times New Roman" w:eastAsia="??"/>
                <w:b w:val="0"/>
                <w:sz w:val="18"/>
              </w:rPr>
              <w:t>Semantic Evidence Anchor Extraction, SEAE</w:t>
            </w:r>
          </w:p>
        </w:tc>
        <w:tc>
          <w:tcPr>
            <w:tcW w:w="2379" w:type="dxa"/>
            <w:vAlign w:val="center"/>
          </w:tcPr>
          <w:p w14:paraId="1F7E8D24">
            <w:pPr>
              <w:spacing w:after="0"/>
            </w:pPr>
            <w:r>
              <w:rPr>
                <w:rFonts w:ascii="Times New Roman" w:hAnsi="Times New Roman" w:eastAsia="??"/>
                <w:b w:val="0"/>
                <w:sz w:val="18"/>
              </w:rPr>
              <w:t>抽取更新动作、城市对象和负类风险证据</w:t>
            </w:r>
          </w:p>
        </w:tc>
      </w:tr>
      <w:tr w14:paraId="0E14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1C7DF49D">
            <w:pPr>
              <w:spacing w:after="0"/>
            </w:pPr>
            <w:r>
              <w:rPr>
                <w:rFonts w:ascii="Times New Roman" w:hAnsi="Times New Roman" w:eastAsia="??"/>
                <w:b w:val="0"/>
                <w:sz w:val="18"/>
              </w:rPr>
              <w:t>M3</w:t>
            </w:r>
          </w:p>
        </w:tc>
        <w:tc>
          <w:tcPr>
            <w:tcW w:w="2379" w:type="dxa"/>
            <w:vAlign w:val="center"/>
          </w:tcPr>
          <w:p w14:paraId="0AC2ADA1">
            <w:pPr>
              <w:spacing w:after="0"/>
            </w:pPr>
            <w:r>
              <w:rPr>
                <w:rFonts w:ascii="Times New Roman" w:hAnsi="Times New Roman" w:eastAsia="??"/>
                <w:b w:val="0"/>
                <w:sz w:val="18"/>
              </w:rPr>
              <w:t>主题本体约束映射</w:t>
            </w:r>
          </w:p>
        </w:tc>
        <w:tc>
          <w:tcPr>
            <w:tcW w:w="2379" w:type="dxa"/>
            <w:vAlign w:val="center"/>
          </w:tcPr>
          <w:p w14:paraId="08F3B576">
            <w:pPr>
              <w:spacing w:after="0"/>
            </w:pPr>
            <w:r>
              <w:rPr>
                <w:rFonts w:ascii="Times New Roman" w:hAnsi="Times New Roman" w:eastAsia="??"/>
                <w:b w:val="0"/>
                <w:sz w:val="18"/>
              </w:rPr>
              <w:t>Taxonomy-Constrained Topic Alignment, TCTA</w:t>
            </w:r>
          </w:p>
        </w:tc>
        <w:tc>
          <w:tcPr>
            <w:tcW w:w="2379" w:type="dxa"/>
            <w:vAlign w:val="center"/>
          </w:tcPr>
          <w:p w14:paraId="2CED04DF">
            <w:pPr>
              <w:spacing w:after="0"/>
            </w:pPr>
            <w:r>
              <w:rPr>
                <w:rFonts w:ascii="Times New Roman" w:hAnsi="Times New Roman" w:eastAsia="??"/>
                <w:b w:val="0"/>
                <w:sz w:val="18"/>
              </w:rPr>
              <w:t>将样本映射到固定城市更新/非城市更新主题体系</w:t>
            </w:r>
          </w:p>
        </w:tc>
      </w:tr>
      <w:tr w14:paraId="2E55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6CFE25E0">
            <w:pPr>
              <w:spacing w:after="0"/>
            </w:pPr>
            <w:r>
              <w:rPr>
                <w:rFonts w:ascii="Times New Roman" w:hAnsi="Times New Roman" w:eastAsia="??"/>
                <w:b w:val="0"/>
                <w:sz w:val="18"/>
              </w:rPr>
              <w:t>M4</w:t>
            </w:r>
          </w:p>
        </w:tc>
        <w:tc>
          <w:tcPr>
            <w:tcW w:w="2379" w:type="dxa"/>
            <w:vAlign w:val="center"/>
          </w:tcPr>
          <w:p w14:paraId="72AE2C74">
            <w:pPr>
              <w:spacing w:after="0"/>
            </w:pPr>
            <w:r>
              <w:rPr>
                <w:rFonts w:ascii="Times New Roman" w:hAnsi="Times New Roman" w:eastAsia="??"/>
                <w:b w:val="0"/>
                <w:sz w:val="18"/>
              </w:rPr>
              <w:t>开放集覆盖诊断</w:t>
            </w:r>
          </w:p>
        </w:tc>
        <w:tc>
          <w:tcPr>
            <w:tcW w:w="2379" w:type="dxa"/>
            <w:vAlign w:val="center"/>
          </w:tcPr>
          <w:p w14:paraId="439F0124">
            <w:pPr>
              <w:spacing w:after="0"/>
            </w:pPr>
            <w:r>
              <w:rPr>
                <w:rFonts w:ascii="Times New Roman" w:hAnsi="Times New Roman" w:eastAsia="??"/>
                <w:b w:val="0"/>
                <w:sz w:val="18"/>
              </w:rPr>
              <w:t>Open-Set Coverage Diagnosis, OSCD</w:t>
            </w:r>
          </w:p>
        </w:tc>
        <w:tc>
          <w:tcPr>
            <w:tcW w:w="2379" w:type="dxa"/>
            <w:vAlign w:val="center"/>
          </w:tcPr>
          <w:p w14:paraId="7D723583">
            <w:pPr>
              <w:spacing w:after="0"/>
            </w:pPr>
            <w:r>
              <w:rPr>
                <w:rFonts w:ascii="Times New Roman" w:hAnsi="Times New Roman" w:eastAsia="??"/>
                <w:b w:val="0"/>
                <w:sz w:val="18"/>
              </w:rPr>
              <w:t>判断样本是否被固定主题体系覆盖，识别 unknown/open-set</w:t>
            </w:r>
          </w:p>
        </w:tc>
      </w:tr>
      <w:tr w14:paraId="5431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0EEE32B3">
            <w:pPr>
              <w:spacing w:after="0"/>
            </w:pPr>
            <w:r>
              <w:rPr>
                <w:rFonts w:ascii="Times New Roman" w:hAnsi="Times New Roman" w:eastAsia="??"/>
                <w:b w:val="0"/>
                <w:sz w:val="18"/>
              </w:rPr>
              <w:t>M5</w:t>
            </w:r>
          </w:p>
        </w:tc>
        <w:tc>
          <w:tcPr>
            <w:tcW w:w="2379" w:type="dxa"/>
            <w:vAlign w:val="center"/>
          </w:tcPr>
          <w:p w14:paraId="3461B77B">
            <w:pPr>
              <w:spacing w:after="0"/>
            </w:pPr>
            <w:r>
              <w:rPr>
                <w:rFonts w:ascii="Times New Roman" w:hAnsi="Times New Roman" w:eastAsia="??"/>
                <w:b w:val="0"/>
                <w:sz w:val="18"/>
              </w:rPr>
              <w:t>动态语义主题发现</w:t>
            </w:r>
          </w:p>
        </w:tc>
        <w:tc>
          <w:tcPr>
            <w:tcW w:w="2379" w:type="dxa"/>
            <w:vAlign w:val="center"/>
          </w:tcPr>
          <w:p w14:paraId="500E3E9B">
            <w:pPr>
              <w:spacing w:after="0"/>
            </w:pPr>
            <w:r>
              <w:rPr>
                <w:rFonts w:ascii="Times New Roman" w:hAnsi="Times New Roman" w:eastAsia="??"/>
                <w:b w:val="0"/>
                <w:sz w:val="18"/>
              </w:rPr>
              <w:t>Dynamic Semantic Topic Discovery, DSTD</w:t>
            </w:r>
          </w:p>
        </w:tc>
        <w:tc>
          <w:tcPr>
            <w:tcW w:w="2379" w:type="dxa"/>
            <w:vAlign w:val="center"/>
          </w:tcPr>
          <w:p w14:paraId="3B50C3E1">
            <w:pPr>
              <w:spacing w:after="0"/>
            </w:pPr>
            <w:r>
              <w:rPr>
                <w:rFonts w:ascii="Times New Roman" w:hAnsi="Times New Roman" w:eastAsia="??"/>
                <w:b w:val="0"/>
                <w:sz w:val="18"/>
              </w:rPr>
              <w:t>对未知、冲突和复核样本进行本地聚类与主题命名</w:t>
            </w:r>
          </w:p>
        </w:tc>
      </w:tr>
      <w:tr w14:paraId="407F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4052C65C">
            <w:pPr>
              <w:spacing w:after="0"/>
            </w:pPr>
            <w:r>
              <w:rPr>
                <w:rFonts w:ascii="Times New Roman" w:hAnsi="Times New Roman" w:eastAsia="??"/>
                <w:b w:val="0"/>
                <w:sz w:val="18"/>
              </w:rPr>
              <w:t>M6</w:t>
            </w:r>
          </w:p>
        </w:tc>
        <w:tc>
          <w:tcPr>
            <w:tcW w:w="2379" w:type="dxa"/>
            <w:vAlign w:val="center"/>
          </w:tcPr>
          <w:p w14:paraId="66CC02FE">
            <w:pPr>
              <w:spacing w:after="0"/>
            </w:pPr>
            <w:r>
              <w:rPr>
                <w:rFonts w:ascii="Times New Roman" w:hAnsi="Times New Roman" w:eastAsia="??"/>
                <w:b w:val="0"/>
                <w:sz w:val="18"/>
              </w:rPr>
              <w:t>主题簇驱动的二分类修正</w:t>
            </w:r>
          </w:p>
        </w:tc>
        <w:tc>
          <w:tcPr>
            <w:tcW w:w="2379" w:type="dxa"/>
            <w:vAlign w:val="center"/>
          </w:tcPr>
          <w:p w14:paraId="45B8A071">
            <w:pPr>
              <w:spacing w:after="0"/>
            </w:pPr>
            <w:r>
              <w:rPr>
                <w:rFonts w:ascii="Times New Roman" w:hAnsi="Times New Roman" w:eastAsia="??"/>
                <w:b w:val="0"/>
                <w:sz w:val="18"/>
              </w:rPr>
              <w:t>Cluster-Informed Binary Refinement, CIBR</w:t>
            </w:r>
          </w:p>
        </w:tc>
        <w:tc>
          <w:tcPr>
            <w:tcW w:w="2379" w:type="dxa"/>
            <w:vAlign w:val="center"/>
          </w:tcPr>
          <w:p w14:paraId="0D4E62C3">
            <w:pPr>
              <w:spacing w:after="0"/>
            </w:pPr>
            <w:r>
              <w:rPr>
                <w:rFonts w:ascii="Times New Roman" w:hAnsi="Times New Roman" w:eastAsia="??"/>
                <w:b w:val="0"/>
                <w:sz w:val="18"/>
              </w:rPr>
              <w:t>利用高置信动态主题修复二分类漏召回</w:t>
            </w:r>
          </w:p>
        </w:tc>
      </w:tr>
      <w:tr w14:paraId="46D2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2661FBD3">
            <w:pPr>
              <w:spacing w:after="0"/>
            </w:pPr>
            <w:r>
              <w:rPr>
                <w:rFonts w:ascii="Times New Roman" w:hAnsi="Times New Roman" w:eastAsia="??"/>
                <w:b w:val="0"/>
                <w:sz w:val="18"/>
              </w:rPr>
              <w:t>M7</w:t>
            </w:r>
          </w:p>
        </w:tc>
        <w:tc>
          <w:tcPr>
            <w:tcW w:w="2379" w:type="dxa"/>
            <w:vAlign w:val="center"/>
          </w:tcPr>
          <w:p w14:paraId="50C35985">
            <w:pPr>
              <w:spacing w:after="0"/>
            </w:pPr>
            <w:r>
              <w:rPr>
                <w:rFonts w:ascii="Times New Roman" w:hAnsi="Times New Roman" w:eastAsia="??"/>
                <w:b w:val="0"/>
                <w:sz w:val="18"/>
              </w:rPr>
              <w:t>层级证据仲裁决策</w:t>
            </w:r>
          </w:p>
        </w:tc>
        <w:tc>
          <w:tcPr>
            <w:tcW w:w="2379" w:type="dxa"/>
            <w:vAlign w:val="center"/>
          </w:tcPr>
          <w:p w14:paraId="1C232BBF">
            <w:pPr>
              <w:spacing w:after="0"/>
            </w:pPr>
            <w:r>
              <w:rPr>
                <w:rFonts w:ascii="Times New Roman" w:hAnsi="Times New Roman" w:eastAsia="??"/>
                <w:b w:val="0"/>
                <w:sz w:val="18"/>
              </w:rPr>
              <w:t>Hierarchical Evidence Arbitration, HEA</w:t>
            </w:r>
          </w:p>
        </w:tc>
        <w:tc>
          <w:tcPr>
            <w:tcW w:w="2379" w:type="dxa"/>
            <w:vAlign w:val="center"/>
          </w:tcPr>
          <w:p w14:paraId="0DB99EFA">
            <w:pPr>
              <w:spacing w:after="0"/>
            </w:pPr>
            <w:r>
              <w:rPr>
                <w:rFonts w:ascii="Times New Roman" w:hAnsi="Times New Roman" w:eastAsia="??"/>
                <w:b w:val="0"/>
                <w:sz w:val="18"/>
              </w:rPr>
              <w:t>综合主题、分数、锚点和风险生成最终二分类</w:t>
            </w:r>
          </w:p>
        </w:tc>
      </w:tr>
      <w:tr w14:paraId="76A3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1DD0CBD8">
            <w:pPr>
              <w:spacing w:after="0"/>
            </w:pPr>
            <w:r>
              <w:rPr>
                <w:rFonts w:ascii="Times New Roman" w:hAnsi="Times New Roman" w:eastAsia="??"/>
                <w:b w:val="0"/>
                <w:sz w:val="18"/>
              </w:rPr>
              <w:t>M8</w:t>
            </w:r>
          </w:p>
        </w:tc>
        <w:tc>
          <w:tcPr>
            <w:tcW w:w="2379" w:type="dxa"/>
            <w:vAlign w:val="center"/>
          </w:tcPr>
          <w:p w14:paraId="3381D26B">
            <w:pPr>
              <w:spacing w:after="0"/>
            </w:pPr>
            <w:r>
              <w:rPr>
                <w:rFonts w:ascii="Times New Roman" w:hAnsi="Times New Roman" w:eastAsia="??"/>
                <w:b w:val="0"/>
                <w:sz w:val="18"/>
              </w:rPr>
              <w:t>选择性大语言模型裁决</w:t>
            </w:r>
          </w:p>
        </w:tc>
        <w:tc>
          <w:tcPr>
            <w:tcW w:w="2379" w:type="dxa"/>
            <w:vAlign w:val="center"/>
          </w:tcPr>
          <w:p w14:paraId="3A49B303">
            <w:pPr>
              <w:spacing w:after="0"/>
            </w:pPr>
            <w:r>
              <w:rPr>
                <w:rFonts w:ascii="Times New Roman" w:hAnsi="Times New Roman" w:eastAsia="??"/>
                <w:b w:val="0"/>
                <w:sz w:val="18"/>
              </w:rPr>
              <w:t>Selective LLM Adjudication, SLA</w:t>
            </w:r>
          </w:p>
        </w:tc>
        <w:tc>
          <w:tcPr>
            <w:tcW w:w="2379" w:type="dxa"/>
            <w:vAlign w:val="center"/>
          </w:tcPr>
          <w:p w14:paraId="71F8B66F">
            <w:pPr>
              <w:spacing w:after="0"/>
            </w:pPr>
            <w:r>
              <w:rPr>
                <w:rFonts w:ascii="Times New Roman" w:hAnsi="Times New Roman" w:eastAsia="??"/>
                <w:b w:val="0"/>
                <w:sz w:val="18"/>
              </w:rPr>
              <w:t>仅对困难样本进行结构化语义裁决</w:t>
            </w:r>
          </w:p>
        </w:tc>
      </w:tr>
      <w:tr w14:paraId="3145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63C10A2B">
            <w:pPr>
              <w:spacing w:after="0"/>
            </w:pPr>
            <w:r>
              <w:rPr>
                <w:rFonts w:ascii="Times New Roman" w:hAnsi="Times New Roman" w:eastAsia="??"/>
                <w:b w:val="0"/>
                <w:sz w:val="18"/>
              </w:rPr>
              <w:t>M9</w:t>
            </w:r>
          </w:p>
        </w:tc>
        <w:tc>
          <w:tcPr>
            <w:tcW w:w="2379" w:type="dxa"/>
            <w:vAlign w:val="center"/>
          </w:tcPr>
          <w:p w14:paraId="12C0FE34">
            <w:pPr>
              <w:spacing w:after="0"/>
            </w:pPr>
            <w:r>
              <w:rPr>
                <w:rFonts w:ascii="Times New Roman" w:hAnsi="Times New Roman" w:eastAsia="??"/>
                <w:b w:val="0"/>
                <w:sz w:val="18"/>
              </w:rPr>
              <w:t>双层实验验证协议</w:t>
            </w:r>
          </w:p>
        </w:tc>
        <w:tc>
          <w:tcPr>
            <w:tcW w:w="2379" w:type="dxa"/>
            <w:vAlign w:val="center"/>
          </w:tcPr>
          <w:p w14:paraId="77E331FA">
            <w:pPr>
              <w:spacing w:after="0"/>
            </w:pPr>
            <w:r>
              <w:rPr>
                <w:rFonts w:ascii="Times New Roman" w:hAnsi="Times New Roman" w:eastAsia="??"/>
                <w:b w:val="0"/>
                <w:sz w:val="18"/>
              </w:rPr>
              <w:t>Dual-Level Validation Protocol, DLVP</w:t>
            </w:r>
          </w:p>
        </w:tc>
        <w:tc>
          <w:tcPr>
            <w:tcW w:w="2379" w:type="dxa"/>
            <w:vAlign w:val="center"/>
          </w:tcPr>
          <w:p w14:paraId="68271497">
            <w:pPr>
              <w:spacing w:after="0"/>
            </w:pPr>
            <w:r>
              <w:rPr>
                <w:rFonts w:ascii="Times New Roman" w:hAnsi="Times New Roman" w:eastAsia="??"/>
                <w:b w:val="0"/>
                <w:sz w:val="18"/>
              </w:rPr>
              <w:t>同时检验有标签精度和无标签大样本结构稳定性</w:t>
            </w:r>
          </w:p>
        </w:tc>
      </w:tr>
    </w:tbl>
    <w:p w14:paraId="459C258F"/>
    <w:p w14:paraId="710FC01C">
      <w:r>
        <w:t>方法围绕同一研究目标形成</w:t>
      </w:r>
      <w:r>
        <w:rPr>
          <w:rFonts w:hint="eastAsia" w:eastAsia="宋体"/>
          <w:lang w:val="en-US" w:eastAsia="zh-CN"/>
        </w:rPr>
        <w:t>严格的</w:t>
      </w:r>
      <w:r>
        <w:t>逻辑体系</w:t>
      </w:r>
      <w:r>
        <w:rPr>
          <w:rFonts w:hint="eastAsia" w:eastAsia="宋体"/>
          <w:lang w:val="en-US" w:eastAsia="zh-CN"/>
        </w:rPr>
        <w:t>同时增加可解释性</w:t>
      </w:r>
      <w:r>
        <w:t>：M1 定义概念边界，M2 将概念边界转化为可计算证据，M3-M4 负责固定知识体系约束，M5-M6 处理开放主题和漏召回，M7 负责最终二分类决策，M8 提供可控的大模型增益，M9 保证实验结论不仅来自小样本 Accuracy，也来自大规模真实语料的结构稳定性。</w:t>
      </w:r>
    </w:p>
    <w:p w14:paraId="3E7FD5BC">
      <w:pPr>
        <w:pStyle w:val="3"/>
      </w:pPr>
      <w:r>
        <w:t>3. M1：领域概念边界形式化</w:t>
      </w:r>
    </w:p>
    <w:p w14:paraId="1D048495">
      <w:r>
        <w:t>领域概念边界形式化的任务是把“城市更新研究”从自然语言概念转化为可操作的分类边界。本文将城市更新定义为围绕既有城市建成环境、社区、棕地、旧区、住房、工业遗产、历史街区、公共空间或非正规住区展开的更新、再开发、复兴、修复、升级、适应性再利用及其社会经济影响研究。</w:t>
      </w:r>
    </w:p>
    <w:p w14:paraId="1FA73B71">
      <w:r>
        <w:t>该定义强调三个必要条件：</w:t>
      </w:r>
    </w:p>
    <w:p w14:paraId="2D322A13">
      <w:pPr>
        <w:pStyle w:val="14"/>
      </w:pPr>
      <w:r>
        <w:rPr>
          <w:b/>
        </w:rPr>
        <w:t>对象条件</w:t>
      </w:r>
      <w:r>
        <w:t>：研究对象应指向既有城市空间或城市建成环境，而不是纯粹的新区开发、一般城市扩张或农村地区变化。</w:t>
      </w:r>
    </w:p>
    <w:p w14:paraId="1F1578E0">
      <w:pPr>
        <w:pStyle w:val="14"/>
      </w:pPr>
      <w:r>
        <w:rPr>
          <w:b/>
        </w:rPr>
        <w:t>过程条件</w:t>
      </w:r>
      <w:r>
        <w:t>：研究中应存在更新、再开发、复兴、修复、升级、活化或社会空间重组等过程，而不是仅有城市背景描述。</w:t>
      </w:r>
    </w:p>
    <w:p w14:paraId="43DD2C68">
      <w:pPr>
        <w:pStyle w:val="14"/>
      </w:pPr>
      <w:r>
        <w:rPr>
          <w:b/>
        </w:rPr>
        <w:t>研究关联条件</w:t>
      </w:r>
      <w:r>
        <w:t>：文献关注点应与城市更新过程、机制、影响、治理或评价有关，而不是把城市作为数据来源或方法测试场景。</w:t>
      </w:r>
    </w:p>
    <w:p w14:paraId="3F035BEC">
      <w:r>
        <w:t>相应地，负类边界也被明确限定。一般城市化、绿地新区开发、纯房地产市场、一般城市治理、交通可达性、生态修复、旅游发展、农村振兴和纯算法模型，如果缺乏既有城市更新对象与更新过程，均不应判为城市更新研究。</w:t>
      </w:r>
    </w:p>
    <w:p w14:paraId="37E2B04E">
      <w:r>
        <w:t>该方法的作用在于防止二分类规则被数据表面词汇牵引。即使样本中出现 urban、city、development 等词，也必须结合对象条件和过程条件共同判断。</w:t>
      </w:r>
    </w:p>
    <w:p w14:paraId="1D11C719">
      <w:pPr>
        <w:pStyle w:val="3"/>
      </w:pPr>
      <w:r>
        <w:t>4. M2：语义证据锚点抽取</w:t>
      </w:r>
    </w:p>
    <w:p w14:paraId="1BD3CD4A">
      <w:r>
        <w:t>语义证据锚点抽取将 M1 的概念边界转化为可计算证据。本文将证据分为正向动作锚点、正向对象锚点和负向风险锚点三类。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3230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9EAF7"/>
            <w:vAlign w:val="center"/>
          </w:tcPr>
          <w:p w14:paraId="2F244E5F">
            <w:pPr>
              <w:spacing w:after="0"/>
            </w:pPr>
            <w:r>
              <w:rPr>
                <w:rFonts w:ascii="Times New Roman" w:hAnsi="Times New Roman" w:eastAsia="??"/>
                <w:b/>
                <w:sz w:val="18"/>
              </w:rPr>
              <w:t>证据类型</w:t>
            </w:r>
          </w:p>
        </w:tc>
        <w:tc>
          <w:tcPr>
            <w:tcW w:w="3173" w:type="dxa"/>
            <w:shd w:val="clear" w:color="auto" w:fill="D9EAF7"/>
            <w:vAlign w:val="center"/>
          </w:tcPr>
          <w:p w14:paraId="0B15AD78">
            <w:pPr>
              <w:spacing w:after="0"/>
            </w:pPr>
            <w:r>
              <w:rPr>
                <w:rFonts w:ascii="Times New Roman" w:hAnsi="Times New Roman" w:eastAsia="??"/>
                <w:b/>
                <w:sz w:val="18"/>
              </w:rPr>
              <w:t>典型表达</w:t>
            </w:r>
          </w:p>
        </w:tc>
        <w:tc>
          <w:tcPr>
            <w:tcW w:w="3173" w:type="dxa"/>
            <w:shd w:val="clear" w:color="auto" w:fill="D9EAF7"/>
            <w:vAlign w:val="center"/>
          </w:tcPr>
          <w:p w14:paraId="0D5FAE82">
            <w:pPr>
              <w:spacing w:after="0"/>
            </w:pPr>
            <w:r>
              <w:rPr>
                <w:rFonts w:ascii="Times New Roman" w:hAnsi="Times New Roman" w:eastAsia="??"/>
                <w:b/>
                <w:sz w:val="18"/>
              </w:rPr>
              <w:t>判定作用</w:t>
            </w:r>
          </w:p>
        </w:tc>
      </w:tr>
      <w:tr w14:paraId="2307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7098DD7E">
            <w:pPr>
              <w:spacing w:after="0"/>
            </w:pPr>
            <w:r>
              <w:rPr>
                <w:rFonts w:ascii="Times New Roman" w:hAnsi="Times New Roman" w:eastAsia="??"/>
                <w:b w:val="0"/>
                <w:sz w:val="18"/>
              </w:rPr>
              <w:t>更新动作锚点</w:t>
            </w:r>
          </w:p>
        </w:tc>
        <w:tc>
          <w:tcPr>
            <w:tcW w:w="3173" w:type="dxa"/>
            <w:vAlign w:val="center"/>
          </w:tcPr>
          <w:p w14:paraId="3B93A538">
            <w:pPr>
              <w:spacing w:after="0"/>
            </w:pPr>
            <w:r>
              <w:rPr>
                <w:rFonts w:ascii="Times New Roman" w:hAnsi="Times New Roman" w:eastAsia="??"/>
                <w:b w:val="0"/>
                <w:sz w:val="18"/>
              </w:rPr>
              <w:t>renewal, regeneration, redevelopment, revitalization, rehabilitation, retrofit, adaptive reuse, upgrading, gentrification</w:t>
            </w:r>
          </w:p>
        </w:tc>
        <w:tc>
          <w:tcPr>
            <w:tcW w:w="3173" w:type="dxa"/>
            <w:vAlign w:val="center"/>
          </w:tcPr>
          <w:p w14:paraId="0ACFB480">
            <w:pPr>
              <w:spacing w:after="0"/>
            </w:pPr>
            <w:r>
              <w:rPr>
                <w:rFonts w:ascii="Times New Roman" w:hAnsi="Times New Roman" w:eastAsia="??"/>
                <w:b w:val="0"/>
                <w:sz w:val="18"/>
              </w:rPr>
              <w:t>表明研究涉及更新过程</w:t>
            </w:r>
          </w:p>
        </w:tc>
      </w:tr>
      <w:tr w14:paraId="0C82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0A87C1FA">
            <w:pPr>
              <w:spacing w:after="0"/>
            </w:pPr>
            <w:r>
              <w:rPr>
                <w:rFonts w:ascii="Times New Roman" w:hAnsi="Times New Roman" w:eastAsia="??"/>
                <w:b w:val="0"/>
                <w:sz w:val="18"/>
              </w:rPr>
              <w:t>既有城市对象锚点</w:t>
            </w:r>
          </w:p>
        </w:tc>
        <w:tc>
          <w:tcPr>
            <w:tcW w:w="3173" w:type="dxa"/>
            <w:vAlign w:val="center"/>
          </w:tcPr>
          <w:p w14:paraId="1A8B2C1C">
            <w:pPr>
              <w:spacing w:after="0"/>
            </w:pPr>
            <w:r>
              <w:rPr>
                <w:rFonts w:ascii="Times New Roman" w:hAnsi="Times New Roman" w:eastAsia="??"/>
                <w:b w:val="0"/>
                <w:sz w:val="18"/>
              </w:rPr>
              <w:t>old neighborhood, old community, inner city, historic district, brownfield, industrial site, urban village, housing estate, public space, informal settlement</w:t>
            </w:r>
          </w:p>
        </w:tc>
        <w:tc>
          <w:tcPr>
            <w:tcW w:w="3173" w:type="dxa"/>
            <w:vAlign w:val="center"/>
          </w:tcPr>
          <w:p w14:paraId="151E7776">
            <w:pPr>
              <w:spacing w:after="0"/>
            </w:pPr>
            <w:r>
              <w:rPr>
                <w:rFonts w:ascii="Times New Roman" w:hAnsi="Times New Roman" w:eastAsia="??"/>
                <w:b w:val="0"/>
                <w:sz w:val="18"/>
              </w:rPr>
              <w:t>表明研究对象属于既有城市空间</w:t>
            </w:r>
          </w:p>
        </w:tc>
      </w:tr>
      <w:tr w14:paraId="4654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023E9D79">
            <w:pPr>
              <w:spacing w:after="0"/>
            </w:pPr>
            <w:r>
              <w:rPr>
                <w:rFonts w:ascii="Times New Roman" w:hAnsi="Times New Roman" w:eastAsia="??"/>
                <w:b w:val="0"/>
                <w:sz w:val="18"/>
              </w:rPr>
              <w:t>负类风险锚点</w:t>
            </w:r>
          </w:p>
        </w:tc>
        <w:tc>
          <w:tcPr>
            <w:tcW w:w="3173" w:type="dxa"/>
            <w:vAlign w:val="center"/>
          </w:tcPr>
          <w:p w14:paraId="2A41F257">
            <w:pPr>
              <w:spacing w:after="0"/>
            </w:pPr>
            <w:r>
              <w:rPr>
                <w:rFonts w:ascii="Times New Roman" w:hAnsi="Times New Roman" w:eastAsia="??"/>
                <w:b w:val="0"/>
                <w:sz w:val="18"/>
              </w:rPr>
              <w:t>rural, agricultural, greenfield, algorithm, simulation, traffic, ecology, tourism, general governance, real estate market</w:t>
            </w:r>
          </w:p>
        </w:tc>
        <w:tc>
          <w:tcPr>
            <w:tcW w:w="3173" w:type="dxa"/>
            <w:vAlign w:val="center"/>
          </w:tcPr>
          <w:p w14:paraId="774F2457">
            <w:pPr>
              <w:spacing w:after="0"/>
            </w:pPr>
            <w:r>
              <w:rPr>
                <w:rFonts w:ascii="Times New Roman" w:hAnsi="Times New Roman" w:eastAsia="??"/>
                <w:b w:val="0"/>
                <w:sz w:val="18"/>
              </w:rPr>
              <w:t>表明样本可能属于非城市更新或背景性研究</w:t>
            </w:r>
          </w:p>
        </w:tc>
      </w:tr>
    </w:tbl>
    <w:p w14:paraId="59398618"/>
    <w:p w14:paraId="69584466">
      <w:r>
        <w:t>本文采用“动作-对象-风险”三元证据结构。只有当更新动作锚点与既有城市对象锚点共同出现，且没有强农村或纯方法风险时，才形成强正例证据。该结构比单纯关键词命中更严谨，因为它要求文献同时满足“做了什么”和“在哪里/对什么做”的语义条件。</w:t>
      </w:r>
    </w:p>
    <w:p w14:paraId="14E586FA">
      <w:r>
        <w:t>语义证据锚点抽取还负责形成可解释字段，包括正向证据、负向证据、证据倾向和判定说明。这些字段使每个样本的二分类结果可以被人工复核，而不是只给出不可解释的 0/1 标签。</w:t>
      </w:r>
    </w:p>
    <w:p w14:paraId="440D7F59">
      <w:pPr>
        <w:pStyle w:val="3"/>
      </w:pPr>
      <w:r>
        <w:t>5. M3：主题本体约束映射</w:t>
      </w:r>
    </w:p>
    <w:p w14:paraId="559C5B30">
      <w:r>
        <w:t>主题本体约束映射用于把样本放入一个稳定的城市更新主题体系。本文采用固定主题本体作为解释框架，而不是把主题结果直接等同于最终二分类标签。主题本体由城市更新主题、非城市更新主题、开放主题和未知主题组成。</w:t>
      </w:r>
    </w:p>
    <w:p w14:paraId="05BAC1CB">
      <w:r>
        <w:t>城市更新主题覆盖老旧小区更新、城中村改造、非正规住区升级、旧城复兴、棕地再开发、工业遗产再利用、历史街区保护更新、公共空间更新、更新治理、更新融资、搬迁补偿、绅士化、更新评价、轨道站点地区更新和综合影响等方向。</w:t>
      </w:r>
    </w:p>
    <w:p w14:paraId="3314548B">
      <w:r>
        <w:t>非城市更新主题覆盖一般城市化、新城新区开发、一般城市治理、房地产市场、一般社会问题、非更新语境下的非正规住区研究、交通可达性、纯方法模型、农村农业变化和生态环境修复等方向。</w:t>
      </w:r>
    </w:p>
    <w:p w14:paraId="1B37BC6E">
      <w:r>
        <w:t>该方法的优势在于可解释性和可治理性。每个样本不仅有二分类标签，还可以获得主题解释。但本文明确不让主题本体单独决定最终标签。原因是主题本体可能存在覆盖不足，一些真实城市更新文献可能暂时落入 unknown 或开放类；相反，一些主题相近样本也可能只是背景相关而非真正城市更新研究。</w:t>
      </w:r>
    </w:p>
    <w:p w14:paraId="4EDA52CC">
      <w:pPr>
        <w:pStyle w:val="3"/>
      </w:pPr>
      <w:r>
        <w:t>6. M4：开放集覆盖诊断</w:t>
      </w:r>
    </w:p>
    <w:p w14:paraId="21629FCA">
      <w:r>
        <w:t>开放集覆盖诊断用于判断样本是否被固定主题本体充分解释。本文区分五类覆盖状态：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6497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9EAF7"/>
            <w:vAlign w:val="center"/>
          </w:tcPr>
          <w:p w14:paraId="16A6DE17">
            <w:pPr>
              <w:spacing w:after="0"/>
            </w:pPr>
            <w:r>
              <w:rPr>
                <w:rFonts w:ascii="Times New Roman" w:hAnsi="Times New Roman" w:eastAsia="??"/>
                <w:b/>
                <w:sz w:val="18"/>
              </w:rPr>
              <w:t>覆盖状态</w:t>
            </w:r>
          </w:p>
        </w:tc>
        <w:tc>
          <w:tcPr>
            <w:tcW w:w="3173" w:type="dxa"/>
            <w:shd w:val="clear" w:color="auto" w:fill="D9EAF7"/>
            <w:vAlign w:val="center"/>
          </w:tcPr>
          <w:p w14:paraId="09EE87C5">
            <w:pPr>
              <w:spacing w:after="0"/>
            </w:pPr>
            <w:r>
              <w:rPr>
                <w:rFonts w:ascii="Times New Roman" w:hAnsi="Times New Roman" w:eastAsia="??"/>
                <w:b/>
                <w:sz w:val="18"/>
              </w:rPr>
              <w:t>学术含义</w:t>
            </w:r>
          </w:p>
        </w:tc>
        <w:tc>
          <w:tcPr>
            <w:tcW w:w="3173" w:type="dxa"/>
            <w:shd w:val="clear" w:color="auto" w:fill="D9EAF7"/>
            <w:vAlign w:val="center"/>
          </w:tcPr>
          <w:p w14:paraId="79359E8C">
            <w:pPr>
              <w:spacing w:after="0"/>
            </w:pPr>
            <w:r>
              <w:rPr>
                <w:rFonts w:ascii="Times New Roman" w:hAnsi="Times New Roman" w:eastAsia="??"/>
                <w:b/>
                <w:sz w:val="18"/>
              </w:rPr>
              <w:t>方法处理</w:t>
            </w:r>
          </w:p>
        </w:tc>
      </w:tr>
      <w:tr w14:paraId="45AB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36B2C489">
            <w:pPr>
              <w:spacing w:after="0"/>
            </w:pPr>
            <w:r>
              <w:rPr>
                <w:rFonts w:ascii="Times New Roman" w:hAnsi="Times New Roman" w:eastAsia="??"/>
                <w:b w:val="0"/>
                <w:sz w:val="18"/>
              </w:rPr>
              <w:t>`covered`</w:t>
            </w:r>
          </w:p>
        </w:tc>
        <w:tc>
          <w:tcPr>
            <w:tcW w:w="3173" w:type="dxa"/>
            <w:vAlign w:val="center"/>
          </w:tcPr>
          <w:p w14:paraId="64FB5646">
            <w:pPr>
              <w:spacing w:after="0"/>
            </w:pPr>
            <w:r>
              <w:rPr>
                <w:rFonts w:ascii="Times New Roman" w:hAnsi="Times New Roman" w:eastAsia="??"/>
                <w:b w:val="0"/>
                <w:sz w:val="18"/>
              </w:rPr>
              <w:t>样本被固定主题体系明确解释</w:t>
            </w:r>
          </w:p>
        </w:tc>
        <w:tc>
          <w:tcPr>
            <w:tcW w:w="3173" w:type="dxa"/>
            <w:vAlign w:val="center"/>
          </w:tcPr>
          <w:p w14:paraId="4ED56CF6">
            <w:pPr>
              <w:spacing w:after="0"/>
            </w:pPr>
            <w:r>
              <w:rPr>
                <w:rFonts w:ascii="Times New Roman" w:hAnsi="Times New Roman" w:eastAsia="??"/>
                <w:b w:val="0"/>
                <w:sz w:val="18"/>
              </w:rPr>
              <w:t>作为稳定主题证据输入后续仲裁</w:t>
            </w:r>
          </w:p>
        </w:tc>
      </w:tr>
      <w:tr w14:paraId="6108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225D8F97">
            <w:pPr>
              <w:spacing w:after="0"/>
            </w:pPr>
            <w:r>
              <w:rPr>
                <w:rFonts w:ascii="Times New Roman" w:hAnsi="Times New Roman" w:eastAsia="??"/>
                <w:b w:val="0"/>
                <w:sz w:val="18"/>
              </w:rPr>
              <w:t>`unknown`</w:t>
            </w:r>
          </w:p>
        </w:tc>
        <w:tc>
          <w:tcPr>
            <w:tcW w:w="3173" w:type="dxa"/>
            <w:vAlign w:val="center"/>
          </w:tcPr>
          <w:p w14:paraId="6F070BEC">
            <w:pPr>
              <w:spacing w:after="0"/>
            </w:pPr>
            <w:r>
              <w:rPr>
                <w:rFonts w:ascii="Times New Roman" w:hAnsi="Times New Roman" w:eastAsia="??"/>
                <w:b w:val="0"/>
                <w:sz w:val="18"/>
              </w:rPr>
              <w:t>样本无法被固定主题体系解释</w:t>
            </w:r>
          </w:p>
        </w:tc>
        <w:tc>
          <w:tcPr>
            <w:tcW w:w="3173" w:type="dxa"/>
            <w:vAlign w:val="center"/>
          </w:tcPr>
          <w:p w14:paraId="63139ECE">
            <w:pPr>
              <w:spacing w:after="0"/>
            </w:pPr>
            <w:r>
              <w:rPr>
                <w:rFonts w:ascii="Times New Roman" w:hAnsi="Times New Roman" w:eastAsia="??"/>
                <w:b w:val="0"/>
                <w:sz w:val="18"/>
              </w:rPr>
              <w:t>进入动态主题发现和复核链</w:t>
            </w:r>
          </w:p>
        </w:tc>
      </w:tr>
      <w:tr w14:paraId="04F2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44318A8F">
            <w:pPr>
              <w:spacing w:after="0"/>
            </w:pPr>
            <w:r>
              <w:rPr>
                <w:rFonts w:ascii="Times New Roman" w:hAnsi="Times New Roman" w:eastAsia="??"/>
                <w:b w:val="0"/>
                <w:sz w:val="18"/>
              </w:rPr>
              <w:t>`open_set`</w:t>
            </w:r>
          </w:p>
        </w:tc>
        <w:tc>
          <w:tcPr>
            <w:tcW w:w="3173" w:type="dxa"/>
            <w:vAlign w:val="center"/>
          </w:tcPr>
          <w:p w14:paraId="4A43030A">
            <w:pPr>
              <w:spacing w:after="0"/>
            </w:pPr>
            <w:r>
              <w:rPr>
                <w:rFonts w:ascii="Times New Roman" w:hAnsi="Times New Roman" w:eastAsia="??"/>
                <w:b w:val="0"/>
                <w:sz w:val="18"/>
              </w:rPr>
              <w:t>样本接近已知主题但不能稳定归入固定类</w:t>
            </w:r>
          </w:p>
        </w:tc>
        <w:tc>
          <w:tcPr>
            <w:tcW w:w="3173" w:type="dxa"/>
            <w:vAlign w:val="center"/>
          </w:tcPr>
          <w:p w14:paraId="38A5011B">
            <w:pPr>
              <w:spacing w:after="0"/>
            </w:pPr>
            <w:r>
              <w:rPr>
                <w:rFonts w:ascii="Times New Roman" w:hAnsi="Times New Roman" w:eastAsia="??"/>
                <w:b w:val="0"/>
                <w:sz w:val="18"/>
              </w:rPr>
              <w:t>进入开放集分析和动态映射</w:t>
            </w:r>
          </w:p>
        </w:tc>
      </w:tr>
      <w:tr w14:paraId="62D3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45B47F00">
            <w:pPr>
              <w:spacing w:after="0"/>
            </w:pPr>
            <w:r>
              <w:rPr>
                <w:rFonts w:ascii="Times New Roman" w:hAnsi="Times New Roman" w:eastAsia="??"/>
                <w:b w:val="0"/>
                <w:sz w:val="18"/>
              </w:rPr>
              <w:t>`binary_resolved`</w:t>
            </w:r>
          </w:p>
        </w:tc>
        <w:tc>
          <w:tcPr>
            <w:tcW w:w="3173" w:type="dxa"/>
            <w:vAlign w:val="center"/>
          </w:tcPr>
          <w:p w14:paraId="656DCD70">
            <w:pPr>
              <w:spacing w:after="0"/>
            </w:pPr>
            <w:r>
              <w:rPr>
                <w:rFonts w:ascii="Times New Roman" w:hAnsi="Times New Roman" w:eastAsia="??"/>
                <w:b w:val="0"/>
                <w:sz w:val="18"/>
              </w:rPr>
              <w:t>主题覆盖不足但二分类证据已能给出明确方向</w:t>
            </w:r>
          </w:p>
        </w:tc>
        <w:tc>
          <w:tcPr>
            <w:tcW w:w="3173" w:type="dxa"/>
            <w:vAlign w:val="center"/>
          </w:tcPr>
          <w:p w14:paraId="56291EDC">
            <w:pPr>
              <w:spacing w:after="0"/>
            </w:pPr>
            <w:r>
              <w:rPr>
                <w:rFonts w:ascii="Times New Roman" w:hAnsi="Times New Roman" w:eastAsia="??"/>
                <w:b w:val="0"/>
                <w:sz w:val="18"/>
              </w:rPr>
              <w:t>保留二分类结果并记录解释</w:t>
            </w:r>
          </w:p>
        </w:tc>
      </w:tr>
      <w:tr w14:paraId="7AAF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49D51ADC">
            <w:pPr>
              <w:spacing w:after="0"/>
            </w:pPr>
            <w:r>
              <w:rPr>
                <w:rFonts w:ascii="Times New Roman" w:hAnsi="Times New Roman" w:eastAsia="??"/>
                <w:b w:val="0"/>
                <w:sz w:val="18"/>
              </w:rPr>
              <w:t>`hard_negative`</w:t>
            </w:r>
          </w:p>
        </w:tc>
        <w:tc>
          <w:tcPr>
            <w:tcW w:w="3173" w:type="dxa"/>
            <w:vAlign w:val="center"/>
          </w:tcPr>
          <w:p w14:paraId="3C09F1A2">
            <w:pPr>
              <w:spacing w:after="0"/>
            </w:pPr>
            <w:r>
              <w:rPr>
                <w:rFonts w:ascii="Times New Roman" w:hAnsi="Times New Roman" w:eastAsia="??"/>
                <w:b w:val="0"/>
                <w:sz w:val="18"/>
              </w:rPr>
              <w:t>样本命中强负类保护条件</w:t>
            </w:r>
          </w:p>
        </w:tc>
        <w:tc>
          <w:tcPr>
            <w:tcW w:w="3173" w:type="dxa"/>
            <w:vAlign w:val="center"/>
          </w:tcPr>
          <w:p w14:paraId="55C99437">
            <w:pPr>
              <w:spacing w:after="0"/>
            </w:pPr>
            <w:r>
              <w:rPr>
                <w:rFonts w:ascii="Times New Roman" w:hAnsi="Times New Roman" w:eastAsia="??"/>
                <w:b w:val="0"/>
                <w:sz w:val="18"/>
              </w:rPr>
              <w:t>优先保护为负例</w:t>
            </w:r>
          </w:p>
        </w:tc>
      </w:tr>
    </w:tbl>
    <w:p w14:paraId="1D167782"/>
    <w:p w14:paraId="12D449EA">
      <w:r>
        <w:t>开放集覆盖诊断的核心价值是避免把“主题未知”误判为“非城市更新”。在城市更新这一跨学科领域，主题未知常常意味着固定</w:t>
      </w:r>
      <w:r>
        <w:rPr>
          <w:rFonts w:hint="eastAsia" w:eastAsia="宋体"/>
          <w:lang w:val="en-US" w:eastAsia="zh-CN"/>
        </w:rPr>
        <w:t>主题划分</w:t>
      </w:r>
      <w:r>
        <w:t>尚未覆盖到某类表达，而不一定意味着样本为负类。因此，</w:t>
      </w:r>
      <w:r>
        <w:rPr>
          <w:rFonts w:hint="eastAsia" w:eastAsia="宋体"/>
          <w:lang w:val="en-US" w:eastAsia="zh-CN"/>
        </w:rPr>
        <w:t>边界</w:t>
      </w:r>
      <w:r>
        <w:t>样本需要进入动态主题或复核链，而不是被直接压成负例。</w:t>
      </w:r>
    </w:p>
    <w:p w14:paraId="7675BC13">
      <w:pPr>
        <w:pStyle w:val="3"/>
      </w:pPr>
      <w:r>
        <w:t>7. M5：动态语义主题发现</w:t>
      </w:r>
    </w:p>
    <w:p w14:paraId="421BEFEC">
      <w:r>
        <w:t>动态语义主题发现用于处理固定主题体系无法充分解释的样本。该方法面向</w:t>
      </w:r>
      <w:r>
        <w:rPr>
          <w:rFonts w:hint="eastAsia" w:eastAsia="宋体"/>
          <w:lang w:val="en-US" w:eastAsia="zh-CN"/>
        </w:rPr>
        <w:t>边界样本</w:t>
      </w:r>
      <w:r>
        <w:t>t、近阈值、证据冲突和人工复核样本，使用本地文本表示和聚类方法形成动态主题簇。</w:t>
      </w:r>
    </w:p>
    <w:p w14:paraId="54FA26DD">
      <w:r>
        <w:t>本文采用本地无监督语义发现路径。首先将题名、摘要和关键词拼接为文本单元；其次使用词项频率-逆文档频率表示捕捉样本的核心短语；然后使用小批量聚类方法形成主题簇；最后根据簇内高权重关键词生成中文主题名。主题命名不调用 LLM，而是通过领域模板完成，例如将 brownfield 相关簇命名为“棕地再开发”，将 neighborhood 相关簇命名为“社区更新”，将 heritage 相关簇命名为“历史街区或遗产活化”。</w:t>
      </w:r>
    </w:p>
    <w:p w14:paraId="51E49E63">
      <w:r>
        <w:t>动态主题发现</w:t>
      </w:r>
      <w:r>
        <w:rPr>
          <w:rFonts w:hint="eastAsia" w:eastAsia="宋体"/>
          <w:lang w:val="en-US" w:eastAsia="zh-CN"/>
        </w:rPr>
        <w:t>不</w:t>
      </w:r>
      <w:r>
        <w:t>输出最终标签，而是一组主题证据：</w:t>
      </w:r>
    </w:p>
    <w:p w14:paraId="6AEDBA83">
      <w:pPr>
        <w:pStyle w:val="16"/>
      </w:pPr>
      <w:r>
        <w:t>动态主题编号；</w:t>
      </w:r>
      <w:r>
        <w:rPr>
          <w:rFonts w:hint="eastAsia" w:eastAsia="宋体"/>
          <w:lang w:val="en-US" w:eastAsia="zh-CN"/>
        </w:rPr>
        <w:t xml:space="preserve"> </w:t>
      </w:r>
    </w:p>
    <w:p w14:paraId="2C521668">
      <w:pPr>
        <w:pStyle w:val="16"/>
      </w:pPr>
      <w:r>
        <w:t>动态主题中文名称；</w:t>
      </w:r>
    </w:p>
    <w:p w14:paraId="4FDE5C88">
      <w:pPr>
        <w:pStyle w:val="16"/>
      </w:pPr>
      <w:r>
        <w:t>动态主题关键词；</w:t>
      </w:r>
    </w:p>
    <w:p w14:paraId="239C0418">
      <w:pPr>
        <w:pStyle w:val="16"/>
      </w:pPr>
      <w:r>
        <w:t>主题簇样本量；</w:t>
      </w:r>
    </w:p>
    <w:p w14:paraId="4AE63C35">
      <w:pPr>
        <w:pStyle w:val="16"/>
      </w:pPr>
      <w:r>
        <w:t>主题置信度；</w:t>
      </w:r>
    </w:p>
    <w:p w14:paraId="6A07D8DB">
      <w:pPr>
        <w:pStyle w:val="16"/>
      </w:pPr>
      <w:r>
        <w:t>动态主题来源池；</w:t>
      </w:r>
    </w:p>
    <w:p w14:paraId="4D276364">
      <w:pPr>
        <w:pStyle w:val="16"/>
      </w:pPr>
      <w:r>
        <w:t>与固定主题的候选映射；</w:t>
      </w:r>
    </w:p>
    <w:p w14:paraId="5E3F8D74">
      <w:pPr>
        <w:pStyle w:val="16"/>
      </w:pPr>
      <w:r>
        <w:t>动态主题映射状态。</w:t>
      </w:r>
    </w:p>
    <w:p w14:paraId="361ECA7E">
      <w:r>
        <w:t>该方法提高了系统对新兴主题和长尾表达的适应性。它不破坏固定主题体系，而是为固定体系提供候选补充和复核线索。</w:t>
      </w:r>
    </w:p>
    <w:p w14:paraId="593E07C5">
      <w:pPr>
        <w:pStyle w:val="3"/>
      </w:pPr>
      <w:r>
        <w:t>8. M6：主题簇驱动的二分类修正</w:t>
      </w:r>
    </w:p>
    <w:p w14:paraId="4F68645E">
      <w:r>
        <w:t>主题簇驱动的二分类修正用于把高置信动态主题证据转化为有限的二分类修复。该方法的设计目标不是批量翻转标签，而是修复固定主题体系覆盖不足造成的假阴性。</w:t>
      </w:r>
    </w:p>
    <w:p w14:paraId="1AE497A9">
      <w:r>
        <w:t>修正规则遵循三个约束：</w:t>
      </w:r>
    </w:p>
    <w:p w14:paraId="4EA437E9">
      <w:pPr>
        <w:pStyle w:val="14"/>
      </w:pPr>
      <w:r>
        <w:rPr>
          <w:b/>
        </w:rPr>
        <w:t>置信约束</w:t>
      </w:r>
      <w:r>
        <w:t>：动态主题簇必须达到最低样本量和主题置信度，避免由零散文本噪声驱动标签变化。</w:t>
      </w:r>
    </w:p>
    <w:p w14:paraId="42BCC22E">
      <w:pPr>
        <w:pStyle w:val="14"/>
      </w:pPr>
      <w:r>
        <w:rPr>
          <w:b/>
        </w:rPr>
        <w:t>语义约束</w:t>
      </w:r>
      <w:r>
        <w:t>：正例修正必须同时具备更新动作和城市对象证据，不能只凭泛城市词汇提升为正例。</w:t>
      </w:r>
    </w:p>
    <w:p w14:paraId="7043BC39">
      <w:pPr>
        <w:pStyle w:val="14"/>
      </w:pPr>
      <w:r>
        <w:rPr>
          <w:b/>
        </w:rPr>
        <w:t>召回保护约束</w:t>
      </w:r>
      <w:r>
        <w:t>：动态主题负类候选不能直接把已有正例批量翻为负例，避免重新引入过度保守问题。</w:t>
      </w:r>
    </w:p>
    <w:p w14:paraId="02EA3EA4">
      <w:r>
        <w:t>该方法在实验中承担关键作用。初版策略在 10000 篇样本上的正例率只有 34.07%，说明大量样本被过度压制为负例。引入主题簇驱动修正后，大样本正例率稳定恢复到约 76%，表明该方法有效修复了漏召回。</w:t>
      </w:r>
    </w:p>
    <w:p w14:paraId="62A79F66">
      <w:pPr>
        <w:pStyle w:val="3"/>
      </w:pPr>
      <w:r>
        <w:t>9. M7：层级证据仲裁决策</w:t>
      </w:r>
    </w:p>
    <w:p w14:paraId="37BC596E">
      <w:r>
        <w:t>层级证据仲裁决策是最终二分类落点方法。它不是简单投票，也不是单一阈值分类，而是按照证据优先级处理正负类冲突。本文将最终判定划分为四种策略动作：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070C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9EAF7"/>
            <w:vAlign w:val="center"/>
          </w:tcPr>
          <w:p w14:paraId="3D5802F3">
            <w:pPr>
              <w:spacing w:after="0"/>
            </w:pPr>
            <w:r>
              <w:rPr>
                <w:rFonts w:ascii="Times New Roman" w:hAnsi="Times New Roman" w:eastAsia="??"/>
                <w:b/>
                <w:sz w:val="18"/>
              </w:rPr>
              <w:t>策略动作</w:t>
            </w:r>
          </w:p>
        </w:tc>
        <w:tc>
          <w:tcPr>
            <w:tcW w:w="3173" w:type="dxa"/>
            <w:shd w:val="clear" w:color="auto" w:fill="D9EAF7"/>
            <w:vAlign w:val="center"/>
          </w:tcPr>
          <w:p w14:paraId="5DC7F241">
            <w:pPr>
              <w:spacing w:after="0"/>
            </w:pPr>
            <w:r>
              <w:rPr>
                <w:rFonts w:ascii="Times New Roman" w:hAnsi="Times New Roman" w:eastAsia="??"/>
                <w:b/>
                <w:sz w:val="18"/>
              </w:rPr>
              <w:t>学术解释</w:t>
            </w:r>
          </w:p>
        </w:tc>
        <w:tc>
          <w:tcPr>
            <w:tcW w:w="3173" w:type="dxa"/>
            <w:shd w:val="clear" w:color="auto" w:fill="D9EAF7"/>
            <w:vAlign w:val="center"/>
          </w:tcPr>
          <w:p w14:paraId="32070677">
            <w:pPr>
              <w:spacing w:after="0"/>
            </w:pPr>
            <w:r>
              <w:rPr>
                <w:rFonts w:ascii="Times New Roman" w:hAnsi="Times New Roman" w:eastAsia="??"/>
                <w:b/>
                <w:sz w:val="18"/>
              </w:rPr>
              <w:t>输出倾向</w:t>
            </w:r>
          </w:p>
        </w:tc>
      </w:tr>
      <w:tr w14:paraId="6189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7B57ACB9">
            <w:pPr>
              <w:spacing w:after="0"/>
            </w:pPr>
            <w:r>
              <w:rPr>
                <w:rFonts w:ascii="Times New Roman" w:hAnsi="Times New Roman" w:eastAsia="??"/>
                <w:b w:val="0"/>
                <w:sz w:val="18"/>
              </w:rPr>
              <w:t>确证正例</w:t>
            </w:r>
          </w:p>
        </w:tc>
        <w:tc>
          <w:tcPr>
            <w:tcW w:w="3173" w:type="dxa"/>
            <w:vAlign w:val="center"/>
          </w:tcPr>
          <w:p w14:paraId="750A124C">
            <w:pPr>
              <w:spacing w:after="0"/>
            </w:pPr>
            <w:r>
              <w:rPr>
                <w:rFonts w:ascii="Times New Roman" w:hAnsi="Times New Roman" w:eastAsia="??"/>
                <w:b w:val="0"/>
                <w:sz w:val="18"/>
              </w:rPr>
              <w:t>更新动作、城市对象和主题证据一致</w:t>
            </w:r>
          </w:p>
        </w:tc>
        <w:tc>
          <w:tcPr>
            <w:tcW w:w="3173" w:type="dxa"/>
            <w:vAlign w:val="center"/>
          </w:tcPr>
          <w:p w14:paraId="7A4362F5">
            <w:pPr>
              <w:spacing w:after="0"/>
            </w:pPr>
            <w:r>
              <w:rPr>
                <w:rFonts w:ascii="Times New Roman" w:hAnsi="Times New Roman" w:eastAsia="??"/>
                <w:b w:val="0"/>
                <w:sz w:val="18"/>
              </w:rPr>
              <w:t>正例</w:t>
            </w:r>
          </w:p>
        </w:tc>
      </w:tr>
      <w:tr w14:paraId="47389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1221474E">
            <w:pPr>
              <w:spacing w:after="0"/>
            </w:pPr>
            <w:r>
              <w:rPr>
                <w:rFonts w:ascii="Times New Roman" w:hAnsi="Times New Roman" w:eastAsia="??"/>
                <w:b w:val="0"/>
                <w:sz w:val="18"/>
              </w:rPr>
              <w:t>确证负例</w:t>
            </w:r>
          </w:p>
        </w:tc>
        <w:tc>
          <w:tcPr>
            <w:tcW w:w="3173" w:type="dxa"/>
            <w:vAlign w:val="center"/>
          </w:tcPr>
          <w:p w14:paraId="62BA3DC0">
            <w:pPr>
              <w:spacing w:after="0"/>
            </w:pPr>
            <w:r>
              <w:rPr>
                <w:rFonts w:ascii="Times New Roman" w:hAnsi="Times New Roman" w:eastAsia="??"/>
                <w:b w:val="0"/>
                <w:sz w:val="18"/>
              </w:rPr>
              <w:t>缺少城市更新证据或为一般背景研究</w:t>
            </w:r>
          </w:p>
        </w:tc>
        <w:tc>
          <w:tcPr>
            <w:tcW w:w="3173" w:type="dxa"/>
            <w:vAlign w:val="center"/>
          </w:tcPr>
          <w:p w14:paraId="2943EB63">
            <w:pPr>
              <w:spacing w:after="0"/>
            </w:pPr>
            <w:r>
              <w:rPr>
                <w:rFonts w:ascii="Times New Roman" w:hAnsi="Times New Roman" w:eastAsia="??"/>
                <w:b w:val="0"/>
                <w:sz w:val="18"/>
              </w:rPr>
              <w:t>负例</w:t>
            </w:r>
          </w:p>
        </w:tc>
      </w:tr>
      <w:tr w14:paraId="312C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65C253C5">
            <w:pPr>
              <w:spacing w:after="0"/>
            </w:pPr>
            <w:r>
              <w:rPr>
                <w:rFonts w:ascii="Times New Roman" w:hAnsi="Times New Roman" w:eastAsia="??"/>
                <w:b w:val="0"/>
                <w:sz w:val="18"/>
              </w:rPr>
              <w:t>保护性负例</w:t>
            </w:r>
          </w:p>
        </w:tc>
        <w:tc>
          <w:tcPr>
            <w:tcW w:w="3173" w:type="dxa"/>
            <w:vAlign w:val="center"/>
          </w:tcPr>
          <w:p w14:paraId="5F9BAD56">
            <w:pPr>
              <w:spacing w:after="0"/>
            </w:pPr>
            <w:r>
              <w:rPr>
                <w:rFonts w:ascii="Times New Roman" w:hAnsi="Times New Roman" w:eastAsia="??"/>
                <w:b w:val="0"/>
                <w:sz w:val="18"/>
              </w:rPr>
              <w:t>命中农村、数学误用或强非目标语境</w:t>
            </w:r>
          </w:p>
        </w:tc>
        <w:tc>
          <w:tcPr>
            <w:tcW w:w="3173" w:type="dxa"/>
            <w:vAlign w:val="center"/>
          </w:tcPr>
          <w:p w14:paraId="6CBE5292">
            <w:pPr>
              <w:spacing w:after="0"/>
            </w:pPr>
            <w:r>
              <w:rPr>
                <w:rFonts w:ascii="Times New Roman" w:hAnsi="Times New Roman" w:eastAsia="??"/>
                <w:b w:val="0"/>
                <w:sz w:val="18"/>
              </w:rPr>
              <w:t>负例</w:t>
            </w:r>
          </w:p>
        </w:tc>
      </w:tr>
      <w:tr w14:paraId="7B30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vAlign w:val="center"/>
          </w:tcPr>
          <w:p w14:paraId="4494BAF0">
            <w:pPr>
              <w:spacing w:after="0"/>
            </w:pPr>
            <w:r>
              <w:rPr>
                <w:rFonts w:ascii="Times New Roman" w:hAnsi="Times New Roman" w:eastAsia="??"/>
                <w:b w:val="0"/>
                <w:sz w:val="18"/>
              </w:rPr>
              <w:t>冲突待裁决</w:t>
            </w:r>
          </w:p>
        </w:tc>
        <w:tc>
          <w:tcPr>
            <w:tcW w:w="3173" w:type="dxa"/>
            <w:vAlign w:val="center"/>
          </w:tcPr>
          <w:p w14:paraId="291BAAB2">
            <w:pPr>
              <w:spacing w:after="0"/>
            </w:pPr>
            <w:r>
              <w:rPr>
                <w:rFonts w:ascii="Times New Roman" w:hAnsi="Times New Roman" w:eastAsia="??"/>
                <w:b w:val="0"/>
                <w:sz w:val="18"/>
              </w:rPr>
              <w:t>二分类证据为正但主题、风险或阈值存在冲突</w:t>
            </w:r>
          </w:p>
        </w:tc>
        <w:tc>
          <w:tcPr>
            <w:tcW w:w="3173" w:type="dxa"/>
            <w:vAlign w:val="center"/>
          </w:tcPr>
          <w:p w14:paraId="7D63F225">
            <w:pPr>
              <w:spacing w:after="0"/>
            </w:pPr>
            <w:r>
              <w:rPr>
                <w:rFonts w:ascii="Times New Roman" w:hAnsi="Times New Roman" w:eastAsia="??"/>
                <w:b w:val="0"/>
                <w:sz w:val="18"/>
              </w:rPr>
              <w:t>no-LLM 保留正例并标记复核</w:t>
            </w:r>
          </w:p>
        </w:tc>
      </w:tr>
    </w:tbl>
    <w:p w14:paraId="5EC120B6"/>
    <w:p w14:paraId="286CEF21">
      <w:r>
        <w:t>该方法的优先级如下：</w:t>
      </w:r>
    </w:p>
    <w:p w14:paraId="00DB655F">
      <w:pPr>
        <w:pStyle w:val="14"/>
      </w:pPr>
      <w:r>
        <w:t>强负类保护优先，防止农村振兴、纯方法误用等样本被错误提升。</w:t>
      </w:r>
    </w:p>
    <w:p w14:paraId="6E3D5549">
      <w:pPr>
        <w:pStyle w:val="14"/>
      </w:pPr>
      <w:r>
        <w:t>强正类证据恢复优先，防止 unknown 或非城市主题吸附导致真实城市更新文献漏判。</w:t>
      </w:r>
    </w:p>
    <w:p w14:paraId="03365317">
      <w:pPr>
        <w:pStyle w:val="14"/>
      </w:pPr>
      <w:r>
        <w:t>城市更新主题与二分类证据一致时接受正例。</w:t>
      </w:r>
    </w:p>
    <w:p w14:paraId="4A5179EF">
      <w:pPr>
        <w:pStyle w:val="14"/>
      </w:pPr>
      <w:r>
        <w:t>非城市或 unknown 主题下的正例不直接否决，而是检查是否存在强更新动作和城市对象证据。</w:t>
      </w:r>
    </w:p>
    <w:p w14:paraId="514EEA4E">
      <w:pPr>
        <w:pStyle w:val="14"/>
      </w:pPr>
      <w:r>
        <w:t>证据冲突但召回风险较高时，no-LLM 路径保留正例并标记为冲突待裁决，为 LLM 或人工复核保留入口。</w:t>
      </w:r>
    </w:p>
    <w:p w14:paraId="13119559">
      <w:r>
        <w:t>该仲裁方式体现了本任务的实质目标：最终目标是二分类准确识别城市更新文献，主题体系只是证据来源之一，而不是最终裁判。</w:t>
      </w:r>
    </w:p>
    <w:p w14:paraId="7DF78F02">
      <w:pPr>
        <w:pStyle w:val="3"/>
      </w:pPr>
      <w:r>
        <w:t>10. M8：选择性大语言模型裁决</w:t>
      </w:r>
    </w:p>
    <w:p w14:paraId="4BBC7BAD">
      <w:r>
        <w:t>选择性大语言模型裁决用于处理层级证据仲裁后仍然存在高冲突的样本。该方法只在显式启用的研究矩阵实验中运行，不参与 no-LLM 稳定路径。</w:t>
      </w:r>
    </w:p>
    <w:p w14:paraId="324CAFFA">
      <w:r>
        <w:t>LLM 裁决样本主要包括：</w:t>
      </w:r>
    </w:p>
    <w:p w14:paraId="24D53BE7">
      <w:pPr>
        <w:pStyle w:val="16"/>
      </w:pPr>
      <w:r>
        <w:t>主题组与二分类结果不一致样本；</w:t>
      </w:r>
    </w:p>
    <w:p w14:paraId="38F20980">
      <w:pPr>
        <w:pStyle w:val="16"/>
      </w:pPr>
      <w:r>
        <w:t>证据倾向为冲突正例样本；</w:t>
      </w:r>
    </w:p>
    <w:p w14:paraId="3AD8AA3D">
      <w:pPr>
        <w:pStyle w:val="16"/>
      </w:pPr>
      <w:r>
        <w:t>分数接近阈值样本；</w:t>
      </w:r>
    </w:p>
    <w:p w14:paraId="44094F24">
      <w:pPr>
        <w:pStyle w:val="16"/>
      </w:pPr>
      <w:r>
        <w:t>动态主题候选与当前标签冲突样本；</w:t>
      </w:r>
    </w:p>
    <w:p w14:paraId="2BED8789">
      <w:pPr>
        <w:pStyle w:val="16"/>
      </w:pPr>
      <w:r>
        <w:t>高风险非城市主题但存在城市更新证据的样本。</w:t>
      </w:r>
    </w:p>
    <w:p w14:paraId="4BFBFA2E">
      <w:r>
        <w:t>LLM 输出被限制为结构化二分类裁决，包括标签、置信度和简短证据。只有当标签可解析且置信度达到阈值时，才允许覆盖规则结果。否则只记录尝试，不改变最终标签。</w:t>
      </w:r>
    </w:p>
    <w:p w14:paraId="363F5B8B">
      <w:r>
        <w:t>该方法的学术意义在于将 LLM 从“全量黑箱分类器”转化为“困难样本语义裁决器”。实验显示，这种选择性使用方式能够在控制成本和漂移风险的同时，将 1000 篇带标签样本 Accuracy 从 no-LLM 的 84.1% 提升到 90.4%。</w:t>
      </w:r>
    </w:p>
    <w:p w14:paraId="6B4B6C3C">
      <w:pPr>
        <w:pStyle w:val="3"/>
      </w:pPr>
      <w:r>
        <w:t>11. M9：双层实验验证协议</w:t>
      </w:r>
    </w:p>
    <w:p w14:paraId="16665720">
      <w:r>
        <w:t>双层实验验证协议用于避免只看小规模有标签 Accuracy 所造成的错误结论。本文同时设置两类评价：</w:t>
      </w:r>
    </w:p>
    <w:p w14:paraId="200D9B81">
      <w:pPr>
        <w:pStyle w:val="14"/>
      </w:pPr>
      <w:r>
        <w:rPr>
          <w:b/>
        </w:rPr>
        <w:t>有标签精度评价</w:t>
      </w:r>
      <w:r>
        <w:t>：使用 1000 篇带标签样本计算 Accuracy、Precision、Recall、F1、TP、TN、FP、FN。</w:t>
      </w:r>
    </w:p>
    <w:p w14:paraId="7E5DA949">
      <w:pPr>
        <w:pStyle w:val="14"/>
      </w:pPr>
      <w:r>
        <w:rPr>
          <w:b/>
        </w:rPr>
        <w:t>无标签结构稳定性评价</w:t>
      </w:r>
      <w:r>
        <w:t>：使用 10000 篇抽样、重新抽样和全量 40276 篇语料，评价正例率、负例率、策略动作分布、主题组分布、动态主题映射状态和 LLM 使用计数。</w:t>
      </w:r>
    </w:p>
    <w:p w14:paraId="2E798811">
      <w:r>
        <w:t>该协议的必要性由实验结果直接说明。初版 no-LLM 在 1000 篇带标签样本上 Accuracy 为 84.9%，但在 10000 篇真实语料中的正例率只有 34.07%。这说明小样本 Accuracy 不能单独证明方法可部署。最终稳定方案虽然 no-LLM Accuracy 为 84.1%，但在两轮 10000 篇和全量 40276 篇上正例率均稳定在约 76%，因此更符合实际任务目标。</w:t>
      </w:r>
    </w:p>
    <w:p w14:paraId="54508F26">
      <w:pPr>
        <w:pStyle w:val="3"/>
      </w:pPr>
      <w:r>
        <w:t>12. 实验设置</w:t>
      </w:r>
    </w:p>
    <w:p w14:paraId="3912BC45">
      <w:pPr>
        <w:pStyle w:val="4"/>
      </w:pPr>
      <w:r>
        <w:t>12.1 数据设置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2379"/>
        <w:gridCol w:w="2379"/>
        <w:gridCol w:w="2379"/>
      </w:tblGrid>
      <w:tr w14:paraId="0063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shd w:val="clear" w:color="auto" w:fill="D9EAF7"/>
            <w:vAlign w:val="center"/>
          </w:tcPr>
          <w:p w14:paraId="4F2E831B">
            <w:pPr>
              <w:spacing w:after="0"/>
            </w:pPr>
            <w:r>
              <w:rPr>
                <w:rFonts w:ascii="Times New Roman" w:hAnsi="Times New Roman" w:eastAsia="??"/>
                <w:b/>
                <w:sz w:val="18"/>
              </w:rPr>
              <w:t>数据集</w:t>
            </w:r>
          </w:p>
        </w:tc>
        <w:tc>
          <w:tcPr>
            <w:tcW w:w="2379" w:type="dxa"/>
            <w:shd w:val="clear" w:color="auto" w:fill="D9EAF7"/>
            <w:vAlign w:val="center"/>
          </w:tcPr>
          <w:p w14:paraId="68A48D24">
            <w:pPr>
              <w:spacing w:after="0"/>
            </w:pPr>
            <w:r>
              <w:rPr>
                <w:rFonts w:ascii="Times New Roman" w:hAnsi="Times New Roman" w:eastAsia="??"/>
                <w:b/>
                <w:sz w:val="18"/>
              </w:rPr>
              <w:t>样本量</w:t>
            </w:r>
          </w:p>
        </w:tc>
        <w:tc>
          <w:tcPr>
            <w:tcW w:w="2379" w:type="dxa"/>
            <w:shd w:val="clear" w:color="auto" w:fill="D9EAF7"/>
            <w:vAlign w:val="center"/>
          </w:tcPr>
          <w:p w14:paraId="299912FD">
            <w:pPr>
              <w:spacing w:after="0"/>
            </w:pPr>
            <w:r>
              <w:rPr>
                <w:rFonts w:ascii="Times New Roman" w:hAnsi="Times New Roman" w:eastAsia="??"/>
                <w:b/>
                <w:sz w:val="18"/>
              </w:rPr>
              <w:t>是否有真值</w:t>
            </w:r>
          </w:p>
        </w:tc>
        <w:tc>
          <w:tcPr>
            <w:tcW w:w="2379" w:type="dxa"/>
            <w:shd w:val="clear" w:color="auto" w:fill="D9EAF7"/>
            <w:vAlign w:val="center"/>
          </w:tcPr>
          <w:p w14:paraId="5FCE4559">
            <w:pPr>
              <w:spacing w:after="0"/>
            </w:pPr>
            <w:r>
              <w:rPr>
                <w:rFonts w:ascii="Times New Roman" w:hAnsi="Times New Roman" w:eastAsia="??"/>
                <w:b/>
                <w:sz w:val="18"/>
              </w:rPr>
              <w:t>作用</w:t>
            </w:r>
          </w:p>
        </w:tc>
      </w:tr>
      <w:tr w14:paraId="012E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7008FDC8">
            <w:pPr>
              <w:spacing w:after="0"/>
            </w:pPr>
            <w:r>
              <w:rPr>
                <w:rFonts w:ascii="Times New Roman" w:hAnsi="Times New Roman" w:eastAsia="??"/>
                <w:b w:val="0"/>
                <w:sz w:val="18"/>
              </w:rPr>
              <w:t>带标签验证集</w:t>
            </w:r>
          </w:p>
        </w:tc>
        <w:tc>
          <w:tcPr>
            <w:tcW w:w="2379" w:type="dxa"/>
            <w:vAlign w:val="center"/>
          </w:tcPr>
          <w:p w14:paraId="14C84383">
            <w:pPr>
              <w:spacing w:after="0"/>
            </w:pPr>
            <w:r>
              <w:rPr>
                <w:rFonts w:ascii="Times New Roman" w:hAnsi="Times New Roman" w:eastAsia="??"/>
                <w:b w:val="0"/>
                <w:sz w:val="18"/>
              </w:rPr>
              <w:t>1000</w:t>
            </w:r>
          </w:p>
        </w:tc>
        <w:tc>
          <w:tcPr>
            <w:tcW w:w="2379" w:type="dxa"/>
            <w:vAlign w:val="center"/>
          </w:tcPr>
          <w:p w14:paraId="17DC5918">
            <w:pPr>
              <w:spacing w:after="0"/>
            </w:pPr>
            <w:r>
              <w:rPr>
                <w:rFonts w:ascii="Times New Roman" w:hAnsi="Times New Roman" w:eastAsia="??"/>
                <w:b w:val="0"/>
                <w:sz w:val="18"/>
              </w:rPr>
              <w:t>是</w:t>
            </w:r>
          </w:p>
        </w:tc>
        <w:tc>
          <w:tcPr>
            <w:tcW w:w="2379" w:type="dxa"/>
            <w:vAlign w:val="center"/>
          </w:tcPr>
          <w:p w14:paraId="1FC4A0A4">
            <w:pPr>
              <w:spacing w:after="0"/>
            </w:pPr>
            <w:r>
              <w:rPr>
                <w:rFonts w:ascii="Times New Roman" w:hAnsi="Times New Roman" w:eastAsia="??"/>
                <w:b w:val="0"/>
                <w:sz w:val="18"/>
              </w:rPr>
              <w:t>检验二分类 Accuracy、Precision、Recall 和 F1</w:t>
            </w:r>
          </w:p>
        </w:tc>
      </w:tr>
      <w:tr w14:paraId="590B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1C3A4F13">
            <w:pPr>
              <w:spacing w:after="0"/>
            </w:pPr>
            <w:r>
              <w:rPr>
                <w:rFonts w:ascii="Times New Roman" w:hAnsi="Times New Roman" w:eastAsia="??"/>
                <w:b w:val="0"/>
                <w:sz w:val="18"/>
              </w:rPr>
              <w:t>第一轮无标签抽样</w:t>
            </w:r>
          </w:p>
        </w:tc>
        <w:tc>
          <w:tcPr>
            <w:tcW w:w="2379" w:type="dxa"/>
            <w:vAlign w:val="center"/>
          </w:tcPr>
          <w:p w14:paraId="4BEA9F25">
            <w:pPr>
              <w:spacing w:after="0"/>
            </w:pPr>
            <w:r>
              <w:rPr>
                <w:rFonts w:ascii="Times New Roman" w:hAnsi="Times New Roman" w:eastAsia="??"/>
                <w:b w:val="0"/>
                <w:sz w:val="18"/>
              </w:rPr>
              <w:t>10000</w:t>
            </w:r>
          </w:p>
        </w:tc>
        <w:tc>
          <w:tcPr>
            <w:tcW w:w="2379" w:type="dxa"/>
            <w:vAlign w:val="center"/>
          </w:tcPr>
          <w:p w14:paraId="1FD23BC9">
            <w:pPr>
              <w:spacing w:after="0"/>
            </w:pPr>
            <w:r>
              <w:rPr>
                <w:rFonts w:ascii="Times New Roman" w:hAnsi="Times New Roman" w:eastAsia="??"/>
                <w:b w:val="0"/>
                <w:sz w:val="18"/>
              </w:rPr>
              <w:t>否</w:t>
            </w:r>
          </w:p>
        </w:tc>
        <w:tc>
          <w:tcPr>
            <w:tcW w:w="2379" w:type="dxa"/>
            <w:vAlign w:val="center"/>
          </w:tcPr>
          <w:p w14:paraId="66111036">
            <w:pPr>
              <w:spacing w:after="0"/>
            </w:pPr>
            <w:r>
              <w:rPr>
                <w:rFonts w:ascii="Times New Roman" w:hAnsi="Times New Roman" w:eastAsia="??"/>
                <w:b w:val="0"/>
                <w:sz w:val="18"/>
              </w:rPr>
              <w:t>检验 no-LLM 正例比例</w:t>
            </w:r>
          </w:p>
        </w:tc>
      </w:tr>
      <w:tr w14:paraId="58C8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70BD99CE">
            <w:pPr>
              <w:spacing w:after="0"/>
            </w:pPr>
            <w:r>
              <w:rPr>
                <w:rFonts w:ascii="Times New Roman" w:hAnsi="Times New Roman" w:eastAsia="??"/>
                <w:b w:val="0"/>
                <w:sz w:val="18"/>
              </w:rPr>
              <w:t>重新抽样无标签集</w:t>
            </w:r>
          </w:p>
        </w:tc>
        <w:tc>
          <w:tcPr>
            <w:tcW w:w="2379" w:type="dxa"/>
            <w:vAlign w:val="center"/>
          </w:tcPr>
          <w:p w14:paraId="3C6A6F19">
            <w:pPr>
              <w:spacing w:after="0"/>
            </w:pPr>
            <w:r>
              <w:rPr>
                <w:rFonts w:ascii="Times New Roman" w:hAnsi="Times New Roman" w:eastAsia="??"/>
                <w:b w:val="0"/>
                <w:sz w:val="18"/>
              </w:rPr>
              <w:t>10000</w:t>
            </w:r>
          </w:p>
        </w:tc>
        <w:tc>
          <w:tcPr>
            <w:tcW w:w="2379" w:type="dxa"/>
            <w:vAlign w:val="center"/>
          </w:tcPr>
          <w:p w14:paraId="5B6C1B50">
            <w:pPr>
              <w:spacing w:after="0"/>
            </w:pPr>
            <w:r>
              <w:rPr>
                <w:rFonts w:ascii="Times New Roman" w:hAnsi="Times New Roman" w:eastAsia="??"/>
                <w:b w:val="0"/>
                <w:sz w:val="18"/>
              </w:rPr>
              <w:t>否</w:t>
            </w:r>
          </w:p>
        </w:tc>
        <w:tc>
          <w:tcPr>
            <w:tcW w:w="2379" w:type="dxa"/>
            <w:vAlign w:val="center"/>
          </w:tcPr>
          <w:p w14:paraId="0870645B">
            <w:pPr>
              <w:spacing w:after="0"/>
            </w:pPr>
            <w:r>
              <w:rPr>
                <w:rFonts w:ascii="Times New Roman" w:hAnsi="Times New Roman" w:eastAsia="??"/>
                <w:b w:val="0"/>
                <w:sz w:val="18"/>
              </w:rPr>
              <w:t>检验抽样稳定性</w:t>
            </w:r>
          </w:p>
        </w:tc>
      </w:tr>
      <w:tr w14:paraId="2942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vAlign w:val="center"/>
          </w:tcPr>
          <w:p w14:paraId="11C030FF">
            <w:pPr>
              <w:spacing w:after="0"/>
            </w:pPr>
            <w:r>
              <w:rPr>
                <w:rFonts w:ascii="Times New Roman" w:hAnsi="Times New Roman" w:eastAsia="??"/>
                <w:b w:val="0"/>
                <w:sz w:val="18"/>
              </w:rPr>
              <w:t>全量语料</w:t>
            </w:r>
          </w:p>
        </w:tc>
        <w:tc>
          <w:tcPr>
            <w:tcW w:w="2379" w:type="dxa"/>
            <w:vAlign w:val="center"/>
          </w:tcPr>
          <w:p w14:paraId="7C062D4E">
            <w:pPr>
              <w:spacing w:after="0"/>
            </w:pPr>
            <w:r>
              <w:rPr>
                <w:rFonts w:ascii="Times New Roman" w:hAnsi="Times New Roman" w:eastAsia="??"/>
                <w:b w:val="0"/>
                <w:sz w:val="18"/>
              </w:rPr>
              <w:t>40276</w:t>
            </w:r>
          </w:p>
        </w:tc>
        <w:tc>
          <w:tcPr>
            <w:tcW w:w="2379" w:type="dxa"/>
            <w:vAlign w:val="center"/>
          </w:tcPr>
          <w:p w14:paraId="7CAE04CF">
            <w:pPr>
              <w:spacing w:after="0"/>
            </w:pPr>
            <w:r>
              <w:rPr>
                <w:rFonts w:ascii="Times New Roman" w:hAnsi="Times New Roman" w:eastAsia="??"/>
                <w:b w:val="0"/>
                <w:sz w:val="18"/>
              </w:rPr>
              <w:t>否</w:t>
            </w:r>
          </w:p>
        </w:tc>
        <w:tc>
          <w:tcPr>
            <w:tcW w:w="2379" w:type="dxa"/>
            <w:vAlign w:val="center"/>
          </w:tcPr>
          <w:p w14:paraId="71624CD6">
            <w:pPr>
              <w:spacing w:after="0"/>
            </w:pPr>
            <w:r>
              <w:rPr>
                <w:rFonts w:ascii="Times New Roman" w:hAnsi="Times New Roman" w:eastAsia="??"/>
                <w:b w:val="0"/>
                <w:sz w:val="18"/>
              </w:rPr>
              <w:t>检验完整部署输出结构</w:t>
            </w:r>
          </w:p>
        </w:tc>
      </w:tr>
    </w:tbl>
    <w:p w14:paraId="1A5A1E20"/>
    <w:p w14:paraId="0C41549B">
      <w:r>
        <w:t xml:space="preserve">全量语料输入为 </w:t>
      </w:r>
      <w:r>
        <w:rPr>
          <w:rFonts w:ascii="Consolas" w:hAnsi="Consolas" w:eastAsia="Consolas"/>
          <w:color w:val="505050"/>
          <w:sz w:val="19"/>
        </w:rPr>
        <w:t>Data/Urban Renovation V2.0/input/labels/Urban Renovation V2.0.xlsx</w:t>
      </w:r>
      <w:r>
        <w:t>。</w:t>
      </w:r>
    </w:p>
    <w:p w14:paraId="30306915">
      <w:pPr>
        <w:pStyle w:val="4"/>
      </w:pPr>
      <w:r>
        <w:t>12.2 方法对比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328A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63868900">
            <w:pPr>
              <w:spacing w:after="0"/>
            </w:pPr>
            <w:r>
              <w:rPr>
                <w:rFonts w:ascii="Times New Roman" w:hAnsi="Times New Roman" w:eastAsia="??"/>
                <w:b/>
                <w:sz w:val="18"/>
              </w:rPr>
              <w:t>对比方法</w:t>
            </w:r>
          </w:p>
        </w:tc>
        <w:tc>
          <w:tcPr>
            <w:tcW w:w="4759" w:type="dxa"/>
            <w:shd w:val="clear" w:color="auto" w:fill="D9EAF7"/>
            <w:vAlign w:val="center"/>
          </w:tcPr>
          <w:p w14:paraId="41595488">
            <w:pPr>
              <w:spacing w:after="0"/>
            </w:pPr>
            <w:r>
              <w:rPr>
                <w:rFonts w:ascii="Times New Roman" w:hAnsi="Times New Roman" w:eastAsia="??"/>
                <w:b/>
                <w:sz w:val="18"/>
              </w:rPr>
              <w:t>学术解释</w:t>
            </w:r>
          </w:p>
        </w:tc>
      </w:tr>
      <w:tr w14:paraId="1886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59BE047">
            <w:pPr>
              <w:spacing w:after="0"/>
            </w:pPr>
            <w:r>
              <w:rPr>
                <w:rFonts w:ascii="Times New Roman" w:hAnsi="Times New Roman" w:eastAsia="??"/>
                <w:b w:val="0"/>
                <w:sz w:val="18"/>
              </w:rPr>
              <w:t>初始证据规则模型</w:t>
            </w:r>
          </w:p>
        </w:tc>
        <w:tc>
          <w:tcPr>
            <w:tcW w:w="4759" w:type="dxa"/>
            <w:vAlign w:val="center"/>
          </w:tcPr>
          <w:p w14:paraId="3AF337F4">
            <w:pPr>
              <w:spacing w:after="0"/>
            </w:pPr>
            <w:r>
              <w:rPr>
                <w:rFonts w:ascii="Times New Roman" w:hAnsi="Times New Roman" w:eastAsia="??"/>
                <w:b w:val="0"/>
                <w:sz w:val="18"/>
              </w:rPr>
              <w:t>未充分引入动态主题和召回修正的早期证据融合方案</w:t>
            </w:r>
          </w:p>
        </w:tc>
      </w:tr>
      <w:tr w14:paraId="4150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1A44C55">
            <w:pPr>
              <w:spacing w:after="0"/>
            </w:pPr>
            <w:r>
              <w:rPr>
                <w:rFonts w:ascii="Times New Roman" w:hAnsi="Times New Roman" w:eastAsia="??"/>
                <w:b w:val="0"/>
                <w:sz w:val="18"/>
              </w:rPr>
              <w:t>初始证据规则模型 + 选择性 LLM</w:t>
            </w:r>
          </w:p>
        </w:tc>
        <w:tc>
          <w:tcPr>
            <w:tcW w:w="4759" w:type="dxa"/>
            <w:vAlign w:val="center"/>
          </w:tcPr>
          <w:p w14:paraId="164EF760">
            <w:pPr>
              <w:spacing w:after="0"/>
            </w:pPr>
            <w:r>
              <w:rPr>
                <w:rFonts w:ascii="Times New Roman" w:hAnsi="Times New Roman" w:eastAsia="??"/>
                <w:b w:val="0"/>
                <w:sz w:val="18"/>
              </w:rPr>
              <w:t>在早期方案上加入困难样本裁决</w:t>
            </w:r>
          </w:p>
        </w:tc>
      </w:tr>
      <w:tr w14:paraId="000B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876ED89">
            <w:pPr>
              <w:spacing w:after="0"/>
            </w:pPr>
            <w:r>
              <w:rPr>
                <w:rFonts w:ascii="Times New Roman" w:hAnsi="Times New Roman" w:eastAsia="??"/>
                <w:b w:val="0"/>
                <w:sz w:val="18"/>
              </w:rPr>
              <w:t>稳定多层证据模型</w:t>
            </w:r>
          </w:p>
        </w:tc>
        <w:tc>
          <w:tcPr>
            <w:tcW w:w="4759" w:type="dxa"/>
            <w:vAlign w:val="center"/>
          </w:tcPr>
          <w:p w14:paraId="7EF9C627">
            <w:pPr>
              <w:spacing w:after="0"/>
            </w:pPr>
            <w:r>
              <w:rPr>
                <w:rFonts w:ascii="Times New Roman" w:hAnsi="Times New Roman" w:eastAsia="??"/>
                <w:b w:val="0"/>
                <w:sz w:val="18"/>
              </w:rPr>
              <w:t>本文最终 no-LLM 方案，包含动态主题、二分类修正和层级证据仲裁</w:t>
            </w:r>
          </w:p>
        </w:tc>
      </w:tr>
      <w:tr w14:paraId="3C00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FB5E74E">
            <w:pPr>
              <w:spacing w:after="0"/>
            </w:pPr>
            <w:r>
              <w:rPr>
                <w:rFonts w:ascii="Times New Roman" w:hAnsi="Times New Roman" w:eastAsia="??"/>
                <w:b w:val="0"/>
                <w:sz w:val="18"/>
              </w:rPr>
              <w:t>稳定多层证据模型 + 选择性 LLM</w:t>
            </w:r>
          </w:p>
        </w:tc>
        <w:tc>
          <w:tcPr>
            <w:tcW w:w="4759" w:type="dxa"/>
            <w:vAlign w:val="center"/>
          </w:tcPr>
          <w:p w14:paraId="3C52A785">
            <w:pPr>
              <w:spacing w:after="0"/>
            </w:pPr>
            <w:r>
              <w:rPr>
                <w:rFonts w:ascii="Times New Roman" w:hAnsi="Times New Roman" w:eastAsia="??"/>
                <w:b w:val="0"/>
                <w:sz w:val="18"/>
              </w:rPr>
              <w:t>本文最终 LLM 辅助方案，只对困难样本裁决</w:t>
            </w:r>
          </w:p>
        </w:tc>
      </w:tr>
    </w:tbl>
    <w:p w14:paraId="498923A9"/>
    <w:p w14:paraId="6FEC1EFD">
      <w:pPr>
        <w:pStyle w:val="4"/>
      </w:pPr>
      <w:r>
        <w:t>12.3 评价指标</w:t>
      </w:r>
    </w:p>
    <w:p w14:paraId="730C9DAB">
      <w:r>
        <w:t>有标签验证集使用标准二分类指标：</w:t>
      </w:r>
    </w:p>
    <w:p w14:paraId="66CCE319">
      <w:pPr>
        <w:jc w:val="center"/>
      </w:pPr>
      <w:r>
        <w:t>\[</w:t>
      </w:r>
    </w:p>
    <w:p w14:paraId="5B2AD2AC">
      <w:pPr>
        <w:jc w:val="center"/>
      </w:pPr>
      <w:r>
        <w:t>Accuracy = \frac{TP+TN}{TP+TN+FP+FN}</w:t>
      </w:r>
    </w:p>
    <w:p w14:paraId="1289BBC4">
      <w:r>
        <w:t>\]</w:t>
      </w:r>
    </w:p>
    <w:p w14:paraId="19EF5378">
      <w:pPr>
        <w:jc w:val="center"/>
      </w:pPr>
      <w:r>
        <w:t>\[</w:t>
      </w:r>
    </w:p>
    <w:p w14:paraId="16BA8475">
      <w:pPr>
        <w:jc w:val="center"/>
      </w:pPr>
      <w:r>
        <w:t>Precision = \frac{TP}{TP+FP}</w:t>
      </w:r>
    </w:p>
    <w:p w14:paraId="26EE2934">
      <w:r>
        <w:t>\]</w:t>
      </w:r>
    </w:p>
    <w:p w14:paraId="0AF46C1E">
      <w:pPr>
        <w:jc w:val="center"/>
      </w:pPr>
      <w:r>
        <w:t>\[</w:t>
      </w:r>
    </w:p>
    <w:p w14:paraId="5809C3DA">
      <w:pPr>
        <w:jc w:val="center"/>
      </w:pPr>
      <w:r>
        <w:t>Recall = \frac{TP}{TP+FN}</w:t>
      </w:r>
    </w:p>
    <w:p w14:paraId="5F086646">
      <w:r>
        <w:t>\]</w:t>
      </w:r>
    </w:p>
    <w:p w14:paraId="3DEE649D">
      <w:pPr>
        <w:jc w:val="center"/>
      </w:pPr>
      <w:r>
        <w:t>\[</w:t>
      </w:r>
    </w:p>
    <w:p w14:paraId="4003CE69">
      <w:pPr>
        <w:jc w:val="center"/>
      </w:pPr>
      <w:r>
        <w:t>F1 = \frac{2 \times Precision \times Recall}{Precision + Recall}</w:t>
      </w:r>
    </w:p>
    <w:p w14:paraId="17A009DA">
      <w:r>
        <w:t>\]</w:t>
      </w:r>
    </w:p>
    <w:p w14:paraId="3CFB3449">
      <w:r>
        <w:t>无标签大样本不计算 Accuracy，而采用结构性诊断指标，包括正例率、策略动作分布、主题组分布、动态主题映射分布和 LLM 使用计数。</w:t>
      </w:r>
    </w:p>
    <w:p w14:paraId="5C937823">
      <w:pPr>
        <w:pStyle w:val="3"/>
      </w:pPr>
      <w:r>
        <w:t>13. 实验结果</w:t>
      </w:r>
    </w:p>
    <w:p w14:paraId="26FD0947">
      <w:pPr>
        <w:pStyle w:val="4"/>
      </w:pPr>
      <w:r>
        <w:t>13.1 有标签验证集结果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1058"/>
        <w:gridCol w:w="1058"/>
        <w:gridCol w:w="1058"/>
        <w:gridCol w:w="1058"/>
        <w:gridCol w:w="1058"/>
        <w:gridCol w:w="1058"/>
        <w:gridCol w:w="1058"/>
        <w:gridCol w:w="1058"/>
      </w:tblGrid>
      <w:tr w14:paraId="68A8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dxa"/>
            <w:shd w:val="clear" w:color="auto" w:fill="D9EAF7"/>
            <w:vAlign w:val="center"/>
          </w:tcPr>
          <w:p w14:paraId="2249068E">
            <w:pPr>
              <w:spacing w:after="0"/>
            </w:pPr>
            <w:r>
              <w:rPr>
                <w:rFonts w:ascii="Times New Roman" w:hAnsi="Times New Roman" w:eastAsia="??"/>
                <w:b/>
                <w:sz w:val="18"/>
              </w:rPr>
              <w:t>方法</w:t>
            </w:r>
          </w:p>
        </w:tc>
        <w:tc>
          <w:tcPr>
            <w:tcW w:w="1058" w:type="dxa"/>
            <w:shd w:val="clear" w:color="auto" w:fill="D9EAF7"/>
            <w:vAlign w:val="center"/>
          </w:tcPr>
          <w:p w14:paraId="3E0444D3">
            <w:pPr>
              <w:spacing w:after="0"/>
            </w:pPr>
            <w:r>
              <w:rPr>
                <w:rFonts w:ascii="Times New Roman" w:hAnsi="Times New Roman" w:eastAsia="??"/>
                <w:b/>
                <w:sz w:val="18"/>
              </w:rPr>
              <w:t>Accuracy</w:t>
            </w:r>
          </w:p>
        </w:tc>
        <w:tc>
          <w:tcPr>
            <w:tcW w:w="1058" w:type="dxa"/>
            <w:shd w:val="clear" w:color="auto" w:fill="D9EAF7"/>
            <w:vAlign w:val="center"/>
          </w:tcPr>
          <w:p w14:paraId="133E3F79">
            <w:pPr>
              <w:spacing w:after="0"/>
            </w:pPr>
            <w:r>
              <w:rPr>
                <w:rFonts w:ascii="Times New Roman" w:hAnsi="Times New Roman" w:eastAsia="??"/>
                <w:b/>
                <w:sz w:val="18"/>
              </w:rPr>
              <w:t>Precision</w:t>
            </w:r>
          </w:p>
        </w:tc>
        <w:tc>
          <w:tcPr>
            <w:tcW w:w="1058" w:type="dxa"/>
            <w:shd w:val="clear" w:color="auto" w:fill="D9EAF7"/>
            <w:vAlign w:val="center"/>
          </w:tcPr>
          <w:p w14:paraId="119FE68F">
            <w:pPr>
              <w:spacing w:after="0"/>
            </w:pPr>
            <w:r>
              <w:rPr>
                <w:rFonts w:ascii="Times New Roman" w:hAnsi="Times New Roman" w:eastAsia="??"/>
                <w:b/>
                <w:sz w:val="18"/>
              </w:rPr>
              <w:t>Recall</w:t>
            </w:r>
          </w:p>
        </w:tc>
        <w:tc>
          <w:tcPr>
            <w:tcW w:w="1058" w:type="dxa"/>
            <w:shd w:val="clear" w:color="auto" w:fill="D9EAF7"/>
            <w:vAlign w:val="center"/>
          </w:tcPr>
          <w:p w14:paraId="2557B977">
            <w:pPr>
              <w:spacing w:after="0"/>
            </w:pPr>
            <w:r>
              <w:rPr>
                <w:rFonts w:ascii="Times New Roman" w:hAnsi="Times New Roman" w:eastAsia="??"/>
                <w:b/>
                <w:sz w:val="18"/>
              </w:rPr>
              <w:t>F1</w:t>
            </w:r>
          </w:p>
        </w:tc>
        <w:tc>
          <w:tcPr>
            <w:tcW w:w="1058" w:type="dxa"/>
            <w:shd w:val="clear" w:color="auto" w:fill="D9EAF7"/>
            <w:vAlign w:val="center"/>
          </w:tcPr>
          <w:p w14:paraId="53D5D66A">
            <w:pPr>
              <w:spacing w:after="0"/>
            </w:pPr>
            <w:r>
              <w:rPr>
                <w:rFonts w:ascii="Times New Roman" w:hAnsi="Times New Roman" w:eastAsia="??"/>
                <w:b/>
                <w:sz w:val="18"/>
              </w:rPr>
              <w:t>TP</w:t>
            </w:r>
          </w:p>
        </w:tc>
        <w:tc>
          <w:tcPr>
            <w:tcW w:w="1058" w:type="dxa"/>
            <w:shd w:val="clear" w:color="auto" w:fill="D9EAF7"/>
            <w:vAlign w:val="center"/>
          </w:tcPr>
          <w:p w14:paraId="158CD237">
            <w:pPr>
              <w:spacing w:after="0"/>
            </w:pPr>
            <w:r>
              <w:rPr>
                <w:rFonts w:ascii="Times New Roman" w:hAnsi="Times New Roman" w:eastAsia="??"/>
                <w:b/>
                <w:sz w:val="18"/>
              </w:rPr>
              <w:t>TN</w:t>
            </w:r>
          </w:p>
        </w:tc>
        <w:tc>
          <w:tcPr>
            <w:tcW w:w="1058" w:type="dxa"/>
            <w:shd w:val="clear" w:color="auto" w:fill="D9EAF7"/>
            <w:vAlign w:val="center"/>
          </w:tcPr>
          <w:p w14:paraId="11C34D65">
            <w:pPr>
              <w:spacing w:after="0"/>
            </w:pPr>
            <w:r>
              <w:rPr>
                <w:rFonts w:ascii="Times New Roman" w:hAnsi="Times New Roman" w:eastAsia="??"/>
                <w:b/>
                <w:sz w:val="18"/>
              </w:rPr>
              <w:t>FP</w:t>
            </w:r>
          </w:p>
        </w:tc>
        <w:tc>
          <w:tcPr>
            <w:tcW w:w="1058" w:type="dxa"/>
            <w:shd w:val="clear" w:color="auto" w:fill="D9EAF7"/>
            <w:vAlign w:val="center"/>
          </w:tcPr>
          <w:p w14:paraId="2F93E4D5">
            <w:pPr>
              <w:spacing w:after="0"/>
            </w:pPr>
            <w:r>
              <w:rPr>
                <w:rFonts w:ascii="Times New Roman" w:hAnsi="Times New Roman" w:eastAsia="??"/>
                <w:b/>
                <w:sz w:val="18"/>
              </w:rPr>
              <w:t>FN</w:t>
            </w:r>
          </w:p>
        </w:tc>
      </w:tr>
      <w:tr w14:paraId="0399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dxa"/>
            <w:vAlign w:val="center"/>
          </w:tcPr>
          <w:p w14:paraId="1C190545">
            <w:pPr>
              <w:spacing w:after="0"/>
            </w:pPr>
            <w:r>
              <w:rPr>
                <w:rFonts w:ascii="Times New Roman" w:hAnsi="Times New Roman" w:eastAsia="??"/>
                <w:b w:val="0"/>
                <w:sz w:val="18"/>
              </w:rPr>
              <w:t>初始证据规则模型</w:t>
            </w:r>
          </w:p>
        </w:tc>
        <w:tc>
          <w:tcPr>
            <w:tcW w:w="1058" w:type="dxa"/>
            <w:vAlign w:val="center"/>
          </w:tcPr>
          <w:p w14:paraId="2994546F">
            <w:pPr>
              <w:spacing w:after="0"/>
            </w:pPr>
            <w:r>
              <w:rPr>
                <w:rFonts w:ascii="Times New Roman" w:hAnsi="Times New Roman" w:eastAsia="??"/>
                <w:b w:val="0"/>
                <w:sz w:val="18"/>
              </w:rPr>
              <w:t>84.9%</w:t>
            </w:r>
          </w:p>
        </w:tc>
        <w:tc>
          <w:tcPr>
            <w:tcW w:w="1058" w:type="dxa"/>
            <w:vAlign w:val="center"/>
          </w:tcPr>
          <w:p w14:paraId="4BD30293">
            <w:pPr>
              <w:spacing w:after="0"/>
            </w:pPr>
            <w:r>
              <w:rPr>
                <w:rFonts w:ascii="Times New Roman" w:hAnsi="Times New Roman" w:eastAsia="??"/>
                <w:b w:val="0"/>
                <w:sz w:val="18"/>
              </w:rPr>
              <w:t>93.54%</w:t>
            </w:r>
          </w:p>
        </w:tc>
        <w:tc>
          <w:tcPr>
            <w:tcW w:w="1058" w:type="dxa"/>
            <w:vAlign w:val="center"/>
          </w:tcPr>
          <w:p w14:paraId="73CD5E77">
            <w:pPr>
              <w:spacing w:after="0"/>
            </w:pPr>
            <w:r>
              <w:rPr>
                <w:rFonts w:ascii="Times New Roman" w:hAnsi="Times New Roman" w:eastAsia="??"/>
                <w:b w:val="0"/>
                <w:sz w:val="18"/>
              </w:rPr>
              <w:t>87.44%</w:t>
            </w:r>
          </w:p>
        </w:tc>
        <w:tc>
          <w:tcPr>
            <w:tcW w:w="1058" w:type="dxa"/>
            <w:vAlign w:val="center"/>
          </w:tcPr>
          <w:p w14:paraId="06FB3BEE">
            <w:pPr>
              <w:spacing w:after="0"/>
            </w:pPr>
            <w:r>
              <w:rPr>
                <w:rFonts w:ascii="Times New Roman" w:hAnsi="Times New Roman" w:eastAsia="??"/>
                <w:b w:val="0"/>
                <w:sz w:val="18"/>
              </w:rPr>
              <w:t>90.39%</w:t>
            </w:r>
          </w:p>
        </w:tc>
        <w:tc>
          <w:tcPr>
            <w:tcW w:w="1058" w:type="dxa"/>
            <w:vAlign w:val="center"/>
          </w:tcPr>
          <w:p w14:paraId="1AEFA51F">
            <w:pPr>
              <w:spacing w:after="0"/>
            </w:pPr>
            <w:r>
              <w:rPr>
                <w:rFonts w:ascii="Times New Roman" w:hAnsi="Times New Roman" w:eastAsia="??"/>
                <w:b w:val="0"/>
                <w:sz w:val="18"/>
              </w:rPr>
              <w:t>710</w:t>
            </w:r>
          </w:p>
        </w:tc>
        <w:tc>
          <w:tcPr>
            <w:tcW w:w="1058" w:type="dxa"/>
            <w:vAlign w:val="center"/>
          </w:tcPr>
          <w:p w14:paraId="7B782F0A">
            <w:pPr>
              <w:spacing w:after="0"/>
            </w:pPr>
            <w:r>
              <w:rPr>
                <w:rFonts w:ascii="Times New Roman" w:hAnsi="Times New Roman" w:eastAsia="??"/>
                <w:b w:val="0"/>
                <w:sz w:val="18"/>
              </w:rPr>
              <w:t>139</w:t>
            </w:r>
          </w:p>
        </w:tc>
        <w:tc>
          <w:tcPr>
            <w:tcW w:w="1058" w:type="dxa"/>
            <w:vAlign w:val="center"/>
          </w:tcPr>
          <w:p w14:paraId="2BAB1672">
            <w:pPr>
              <w:spacing w:after="0"/>
            </w:pPr>
            <w:r>
              <w:rPr>
                <w:rFonts w:ascii="Times New Roman" w:hAnsi="Times New Roman" w:eastAsia="??"/>
                <w:b w:val="0"/>
                <w:sz w:val="18"/>
              </w:rPr>
              <w:t>49</w:t>
            </w:r>
          </w:p>
        </w:tc>
        <w:tc>
          <w:tcPr>
            <w:tcW w:w="1058" w:type="dxa"/>
            <w:vAlign w:val="center"/>
          </w:tcPr>
          <w:p w14:paraId="0A390C86">
            <w:pPr>
              <w:spacing w:after="0"/>
            </w:pPr>
            <w:r>
              <w:rPr>
                <w:rFonts w:ascii="Times New Roman" w:hAnsi="Times New Roman" w:eastAsia="??"/>
                <w:b w:val="0"/>
                <w:sz w:val="18"/>
              </w:rPr>
              <w:t>102</w:t>
            </w:r>
          </w:p>
        </w:tc>
      </w:tr>
      <w:tr w14:paraId="6D9D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dxa"/>
            <w:vAlign w:val="center"/>
          </w:tcPr>
          <w:p w14:paraId="173F5E26">
            <w:pPr>
              <w:spacing w:after="0"/>
            </w:pPr>
            <w:r>
              <w:rPr>
                <w:rFonts w:ascii="Times New Roman" w:hAnsi="Times New Roman" w:eastAsia="??"/>
                <w:b w:val="0"/>
                <w:sz w:val="18"/>
              </w:rPr>
              <w:t>初始证据规则模型 + 选择性 LLM</w:t>
            </w:r>
          </w:p>
        </w:tc>
        <w:tc>
          <w:tcPr>
            <w:tcW w:w="1058" w:type="dxa"/>
            <w:vAlign w:val="center"/>
          </w:tcPr>
          <w:p w14:paraId="64976F14">
            <w:pPr>
              <w:spacing w:after="0"/>
            </w:pPr>
            <w:r>
              <w:rPr>
                <w:rFonts w:ascii="Times New Roman" w:hAnsi="Times New Roman" w:eastAsia="??"/>
                <w:b w:val="0"/>
                <w:sz w:val="18"/>
              </w:rPr>
              <w:t>88.8%</w:t>
            </w:r>
          </w:p>
        </w:tc>
        <w:tc>
          <w:tcPr>
            <w:tcW w:w="1058" w:type="dxa"/>
            <w:vAlign w:val="center"/>
          </w:tcPr>
          <w:p w14:paraId="47D3F386">
            <w:pPr>
              <w:spacing w:after="0"/>
            </w:pPr>
            <w:r>
              <w:rPr>
                <w:rFonts w:ascii="Times New Roman" w:hAnsi="Times New Roman" w:eastAsia="??"/>
                <w:b w:val="0"/>
                <w:sz w:val="18"/>
              </w:rPr>
              <w:t>92.68%</w:t>
            </w:r>
          </w:p>
        </w:tc>
        <w:tc>
          <w:tcPr>
            <w:tcW w:w="1058" w:type="dxa"/>
            <w:vAlign w:val="center"/>
          </w:tcPr>
          <w:p w14:paraId="5425BBCC">
            <w:pPr>
              <w:spacing w:after="0"/>
            </w:pPr>
            <w:r>
              <w:rPr>
                <w:rFonts w:ascii="Times New Roman" w:hAnsi="Times New Roman" w:eastAsia="??"/>
                <w:b w:val="0"/>
                <w:sz w:val="18"/>
              </w:rPr>
              <w:t>93.60%</w:t>
            </w:r>
          </w:p>
        </w:tc>
        <w:tc>
          <w:tcPr>
            <w:tcW w:w="1058" w:type="dxa"/>
            <w:vAlign w:val="center"/>
          </w:tcPr>
          <w:p w14:paraId="6282EC62">
            <w:pPr>
              <w:spacing w:after="0"/>
            </w:pPr>
            <w:r>
              <w:rPr>
                <w:rFonts w:ascii="Times New Roman" w:hAnsi="Times New Roman" w:eastAsia="??"/>
                <w:b w:val="0"/>
                <w:sz w:val="18"/>
              </w:rPr>
              <w:t>93.14%</w:t>
            </w:r>
          </w:p>
        </w:tc>
        <w:tc>
          <w:tcPr>
            <w:tcW w:w="1058" w:type="dxa"/>
            <w:vAlign w:val="center"/>
          </w:tcPr>
          <w:p w14:paraId="598E5748">
            <w:pPr>
              <w:spacing w:after="0"/>
            </w:pPr>
            <w:r>
              <w:rPr>
                <w:rFonts w:ascii="Times New Roman" w:hAnsi="Times New Roman" w:eastAsia="??"/>
                <w:b w:val="0"/>
                <w:sz w:val="18"/>
              </w:rPr>
              <w:t>760</w:t>
            </w:r>
          </w:p>
        </w:tc>
        <w:tc>
          <w:tcPr>
            <w:tcW w:w="1058" w:type="dxa"/>
            <w:vAlign w:val="center"/>
          </w:tcPr>
          <w:p w14:paraId="7C46D8A7">
            <w:pPr>
              <w:spacing w:after="0"/>
            </w:pPr>
            <w:r>
              <w:rPr>
                <w:rFonts w:ascii="Times New Roman" w:hAnsi="Times New Roman" w:eastAsia="??"/>
                <w:b w:val="0"/>
                <w:sz w:val="18"/>
              </w:rPr>
              <w:t>128</w:t>
            </w:r>
          </w:p>
        </w:tc>
        <w:tc>
          <w:tcPr>
            <w:tcW w:w="1058" w:type="dxa"/>
            <w:vAlign w:val="center"/>
          </w:tcPr>
          <w:p w14:paraId="01C2F196">
            <w:pPr>
              <w:spacing w:after="0"/>
            </w:pPr>
            <w:r>
              <w:rPr>
                <w:rFonts w:ascii="Times New Roman" w:hAnsi="Times New Roman" w:eastAsia="??"/>
                <w:b w:val="0"/>
                <w:sz w:val="18"/>
              </w:rPr>
              <w:t>60</w:t>
            </w:r>
          </w:p>
        </w:tc>
        <w:tc>
          <w:tcPr>
            <w:tcW w:w="1058" w:type="dxa"/>
            <w:vAlign w:val="center"/>
          </w:tcPr>
          <w:p w14:paraId="31713C8E">
            <w:pPr>
              <w:spacing w:after="0"/>
            </w:pPr>
            <w:r>
              <w:rPr>
                <w:rFonts w:ascii="Times New Roman" w:hAnsi="Times New Roman" w:eastAsia="??"/>
                <w:b w:val="0"/>
                <w:sz w:val="18"/>
              </w:rPr>
              <w:t>52</w:t>
            </w:r>
          </w:p>
        </w:tc>
      </w:tr>
      <w:tr w14:paraId="51E6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dxa"/>
            <w:vAlign w:val="center"/>
          </w:tcPr>
          <w:p w14:paraId="75815D70">
            <w:pPr>
              <w:spacing w:after="0"/>
            </w:pPr>
            <w:r>
              <w:rPr>
                <w:rFonts w:ascii="Times New Roman" w:hAnsi="Times New Roman" w:eastAsia="??"/>
                <w:b w:val="0"/>
                <w:sz w:val="18"/>
              </w:rPr>
              <w:t>稳定多层证据模型</w:t>
            </w:r>
          </w:p>
        </w:tc>
        <w:tc>
          <w:tcPr>
            <w:tcW w:w="1058" w:type="dxa"/>
            <w:vAlign w:val="center"/>
          </w:tcPr>
          <w:p w14:paraId="5A5C3620">
            <w:pPr>
              <w:spacing w:after="0"/>
            </w:pPr>
            <w:r>
              <w:rPr>
                <w:rFonts w:ascii="Times New Roman" w:hAnsi="Times New Roman" w:eastAsia="??"/>
                <w:b w:val="0"/>
                <w:sz w:val="18"/>
              </w:rPr>
              <w:t>84.1%</w:t>
            </w:r>
          </w:p>
        </w:tc>
        <w:tc>
          <w:tcPr>
            <w:tcW w:w="1058" w:type="dxa"/>
            <w:vAlign w:val="center"/>
          </w:tcPr>
          <w:p w14:paraId="4961EC60">
            <w:pPr>
              <w:spacing w:after="0"/>
            </w:pPr>
            <w:r>
              <w:rPr>
                <w:rFonts w:ascii="Times New Roman" w:hAnsi="Times New Roman" w:eastAsia="??"/>
                <w:b w:val="0"/>
                <w:sz w:val="18"/>
              </w:rPr>
              <w:t>83.76%</w:t>
            </w:r>
          </w:p>
        </w:tc>
        <w:tc>
          <w:tcPr>
            <w:tcW w:w="1058" w:type="dxa"/>
            <w:vAlign w:val="center"/>
          </w:tcPr>
          <w:p w14:paraId="0C85881F">
            <w:pPr>
              <w:spacing w:after="0"/>
            </w:pPr>
            <w:r>
              <w:rPr>
                <w:rFonts w:ascii="Times New Roman" w:hAnsi="Times New Roman" w:eastAsia="??"/>
                <w:b w:val="0"/>
                <w:sz w:val="18"/>
              </w:rPr>
              <w:t>99.75%</w:t>
            </w:r>
          </w:p>
        </w:tc>
        <w:tc>
          <w:tcPr>
            <w:tcW w:w="1058" w:type="dxa"/>
            <w:vAlign w:val="center"/>
          </w:tcPr>
          <w:p w14:paraId="0CDA09B9">
            <w:pPr>
              <w:spacing w:after="0"/>
            </w:pPr>
            <w:r>
              <w:rPr>
                <w:rFonts w:ascii="Times New Roman" w:hAnsi="Times New Roman" w:eastAsia="??"/>
                <w:b w:val="0"/>
                <w:sz w:val="18"/>
              </w:rPr>
              <w:t>91.06%</w:t>
            </w:r>
          </w:p>
        </w:tc>
        <w:tc>
          <w:tcPr>
            <w:tcW w:w="1058" w:type="dxa"/>
            <w:vAlign w:val="center"/>
          </w:tcPr>
          <w:p w14:paraId="72D28D60">
            <w:pPr>
              <w:spacing w:after="0"/>
            </w:pPr>
            <w:r>
              <w:rPr>
                <w:rFonts w:ascii="Times New Roman" w:hAnsi="Times New Roman" w:eastAsia="??"/>
                <w:b w:val="0"/>
                <w:sz w:val="18"/>
              </w:rPr>
              <w:t>810</w:t>
            </w:r>
          </w:p>
        </w:tc>
        <w:tc>
          <w:tcPr>
            <w:tcW w:w="1058" w:type="dxa"/>
            <w:vAlign w:val="center"/>
          </w:tcPr>
          <w:p w14:paraId="5D57C1D1">
            <w:pPr>
              <w:spacing w:after="0"/>
            </w:pPr>
            <w:r>
              <w:rPr>
                <w:rFonts w:ascii="Times New Roman" w:hAnsi="Times New Roman" w:eastAsia="??"/>
                <w:b w:val="0"/>
                <w:sz w:val="18"/>
              </w:rPr>
              <w:t>31</w:t>
            </w:r>
          </w:p>
        </w:tc>
        <w:tc>
          <w:tcPr>
            <w:tcW w:w="1058" w:type="dxa"/>
            <w:vAlign w:val="center"/>
          </w:tcPr>
          <w:p w14:paraId="47BAED56">
            <w:pPr>
              <w:spacing w:after="0"/>
            </w:pPr>
            <w:r>
              <w:rPr>
                <w:rFonts w:ascii="Times New Roman" w:hAnsi="Times New Roman" w:eastAsia="??"/>
                <w:b w:val="0"/>
                <w:sz w:val="18"/>
              </w:rPr>
              <w:t>157</w:t>
            </w:r>
          </w:p>
        </w:tc>
        <w:tc>
          <w:tcPr>
            <w:tcW w:w="1058" w:type="dxa"/>
            <w:vAlign w:val="center"/>
          </w:tcPr>
          <w:p w14:paraId="444E417D">
            <w:pPr>
              <w:spacing w:after="0"/>
            </w:pPr>
            <w:r>
              <w:rPr>
                <w:rFonts w:ascii="Times New Roman" w:hAnsi="Times New Roman" w:eastAsia="??"/>
                <w:b w:val="0"/>
                <w:sz w:val="18"/>
              </w:rPr>
              <w:t>2</w:t>
            </w:r>
          </w:p>
        </w:tc>
      </w:tr>
      <w:tr w14:paraId="60AF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dxa"/>
            <w:vAlign w:val="center"/>
          </w:tcPr>
          <w:p w14:paraId="23EFF451">
            <w:pPr>
              <w:spacing w:after="0"/>
            </w:pPr>
            <w:r>
              <w:rPr>
                <w:rFonts w:ascii="Times New Roman" w:hAnsi="Times New Roman" w:eastAsia="??"/>
                <w:b w:val="0"/>
                <w:sz w:val="18"/>
              </w:rPr>
              <w:t>稳定多层证据模型 + 选择性 LLM</w:t>
            </w:r>
          </w:p>
        </w:tc>
        <w:tc>
          <w:tcPr>
            <w:tcW w:w="1058" w:type="dxa"/>
            <w:vAlign w:val="center"/>
          </w:tcPr>
          <w:p w14:paraId="32479B36">
            <w:pPr>
              <w:spacing w:after="0"/>
            </w:pPr>
            <w:r>
              <w:rPr>
                <w:rFonts w:ascii="Times New Roman" w:hAnsi="Times New Roman" w:eastAsia="??"/>
                <w:b w:val="0"/>
                <w:sz w:val="18"/>
              </w:rPr>
              <w:t>90.4%</w:t>
            </w:r>
          </w:p>
        </w:tc>
        <w:tc>
          <w:tcPr>
            <w:tcW w:w="1058" w:type="dxa"/>
            <w:vAlign w:val="center"/>
          </w:tcPr>
          <w:p w14:paraId="274EA74A">
            <w:pPr>
              <w:spacing w:after="0"/>
            </w:pPr>
            <w:r>
              <w:rPr>
                <w:rFonts w:ascii="Times New Roman" w:hAnsi="Times New Roman" w:eastAsia="??"/>
                <w:b w:val="0"/>
                <w:sz w:val="18"/>
              </w:rPr>
              <w:t>90.04%</w:t>
            </w:r>
          </w:p>
        </w:tc>
        <w:tc>
          <w:tcPr>
            <w:tcW w:w="1058" w:type="dxa"/>
            <w:vAlign w:val="center"/>
          </w:tcPr>
          <w:p w14:paraId="507367A3">
            <w:pPr>
              <w:spacing w:after="0"/>
            </w:pPr>
            <w:r>
              <w:rPr>
                <w:rFonts w:ascii="Times New Roman" w:hAnsi="Times New Roman" w:eastAsia="??"/>
                <w:b w:val="0"/>
                <w:sz w:val="18"/>
              </w:rPr>
              <w:t>99.14%</w:t>
            </w:r>
          </w:p>
        </w:tc>
        <w:tc>
          <w:tcPr>
            <w:tcW w:w="1058" w:type="dxa"/>
            <w:vAlign w:val="center"/>
          </w:tcPr>
          <w:p w14:paraId="3446FE20">
            <w:pPr>
              <w:spacing w:after="0"/>
            </w:pPr>
            <w:r>
              <w:rPr>
                <w:rFonts w:ascii="Times New Roman" w:hAnsi="Times New Roman" w:eastAsia="??"/>
                <w:b w:val="0"/>
                <w:sz w:val="18"/>
              </w:rPr>
              <w:t>94.37%</w:t>
            </w:r>
          </w:p>
        </w:tc>
        <w:tc>
          <w:tcPr>
            <w:tcW w:w="1058" w:type="dxa"/>
            <w:vAlign w:val="center"/>
          </w:tcPr>
          <w:p w14:paraId="2B845355">
            <w:pPr>
              <w:spacing w:after="0"/>
            </w:pPr>
            <w:r>
              <w:rPr>
                <w:rFonts w:ascii="Times New Roman" w:hAnsi="Times New Roman" w:eastAsia="??"/>
                <w:b w:val="0"/>
                <w:sz w:val="18"/>
              </w:rPr>
              <w:t>805</w:t>
            </w:r>
          </w:p>
        </w:tc>
        <w:tc>
          <w:tcPr>
            <w:tcW w:w="1058" w:type="dxa"/>
            <w:vAlign w:val="center"/>
          </w:tcPr>
          <w:p w14:paraId="788F2987">
            <w:pPr>
              <w:spacing w:after="0"/>
            </w:pPr>
            <w:r>
              <w:rPr>
                <w:rFonts w:ascii="Times New Roman" w:hAnsi="Times New Roman" w:eastAsia="??"/>
                <w:b w:val="0"/>
                <w:sz w:val="18"/>
              </w:rPr>
              <w:t>99</w:t>
            </w:r>
          </w:p>
        </w:tc>
        <w:tc>
          <w:tcPr>
            <w:tcW w:w="1058" w:type="dxa"/>
            <w:vAlign w:val="center"/>
          </w:tcPr>
          <w:p w14:paraId="0113EA88">
            <w:pPr>
              <w:spacing w:after="0"/>
            </w:pPr>
            <w:r>
              <w:rPr>
                <w:rFonts w:ascii="Times New Roman" w:hAnsi="Times New Roman" w:eastAsia="??"/>
                <w:b w:val="0"/>
                <w:sz w:val="18"/>
              </w:rPr>
              <w:t>89</w:t>
            </w:r>
          </w:p>
        </w:tc>
        <w:tc>
          <w:tcPr>
            <w:tcW w:w="1058" w:type="dxa"/>
            <w:vAlign w:val="center"/>
          </w:tcPr>
          <w:p w14:paraId="75E48EF3">
            <w:pPr>
              <w:spacing w:after="0"/>
            </w:pPr>
            <w:r>
              <w:rPr>
                <w:rFonts w:ascii="Times New Roman" w:hAnsi="Times New Roman" w:eastAsia="??"/>
                <w:b w:val="0"/>
                <w:sz w:val="18"/>
              </w:rPr>
              <w:t>7</w:t>
            </w:r>
          </w:p>
        </w:tc>
      </w:tr>
    </w:tbl>
    <w:p w14:paraId="25BB907A"/>
    <w:p w14:paraId="486B3228">
      <w:r>
        <w:t>稳定多层证据模型的 no-LLM Accuracy 超过 80% 目标，且 Recall 达到 99.75%，说明漏召回问题基本被修复。在此基础上使用选择性 LLM 裁决，Accuracy 提升至 90.4%，超过 85% 目标。</w:t>
      </w:r>
    </w:p>
    <w:p w14:paraId="1141CE59">
      <w:pPr>
        <w:pStyle w:val="4"/>
      </w:pPr>
      <w:r>
        <w:t>13.2 无标签大样本结构稳定性结果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1360"/>
        <w:gridCol w:w="1360"/>
        <w:gridCol w:w="1360"/>
        <w:gridCol w:w="1360"/>
        <w:gridCol w:w="1360"/>
        <w:gridCol w:w="1360"/>
      </w:tblGrid>
      <w:tr w14:paraId="3A7D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shd w:val="clear" w:color="auto" w:fill="D9EAF7"/>
            <w:vAlign w:val="center"/>
          </w:tcPr>
          <w:p w14:paraId="44FC045E">
            <w:pPr>
              <w:spacing w:after="0"/>
            </w:pPr>
            <w:r>
              <w:rPr>
                <w:rFonts w:ascii="Times New Roman" w:hAnsi="Times New Roman" w:eastAsia="??"/>
                <w:b/>
                <w:sz w:val="18"/>
              </w:rPr>
              <w:t>方法</w:t>
            </w:r>
          </w:p>
        </w:tc>
        <w:tc>
          <w:tcPr>
            <w:tcW w:w="1360" w:type="dxa"/>
            <w:shd w:val="clear" w:color="auto" w:fill="D9EAF7"/>
            <w:vAlign w:val="center"/>
          </w:tcPr>
          <w:p w14:paraId="34C382FC">
            <w:pPr>
              <w:spacing w:after="0"/>
            </w:pPr>
            <w:r>
              <w:rPr>
                <w:rFonts w:ascii="Times New Roman" w:hAnsi="Times New Roman" w:eastAsia="??"/>
                <w:b/>
                <w:sz w:val="18"/>
              </w:rPr>
              <w:t>样本量</w:t>
            </w:r>
          </w:p>
        </w:tc>
        <w:tc>
          <w:tcPr>
            <w:tcW w:w="1360" w:type="dxa"/>
            <w:shd w:val="clear" w:color="auto" w:fill="D9EAF7"/>
            <w:vAlign w:val="center"/>
          </w:tcPr>
          <w:p w14:paraId="02195FF1">
            <w:pPr>
              <w:spacing w:after="0"/>
            </w:pPr>
            <w:r>
              <w:rPr>
                <w:rFonts w:ascii="Times New Roman" w:hAnsi="Times New Roman" w:eastAsia="??"/>
                <w:b/>
                <w:sz w:val="18"/>
              </w:rPr>
              <w:t>正例数</w:t>
            </w:r>
          </w:p>
        </w:tc>
        <w:tc>
          <w:tcPr>
            <w:tcW w:w="1360" w:type="dxa"/>
            <w:shd w:val="clear" w:color="auto" w:fill="D9EAF7"/>
            <w:vAlign w:val="center"/>
          </w:tcPr>
          <w:p w14:paraId="06C1FD0C">
            <w:pPr>
              <w:spacing w:after="0"/>
            </w:pPr>
            <w:r>
              <w:rPr>
                <w:rFonts w:ascii="Times New Roman" w:hAnsi="Times New Roman" w:eastAsia="??"/>
                <w:b/>
                <w:sz w:val="18"/>
              </w:rPr>
              <w:t>负例数</w:t>
            </w:r>
          </w:p>
        </w:tc>
        <w:tc>
          <w:tcPr>
            <w:tcW w:w="1360" w:type="dxa"/>
            <w:shd w:val="clear" w:color="auto" w:fill="D9EAF7"/>
            <w:vAlign w:val="center"/>
          </w:tcPr>
          <w:p w14:paraId="3B2F8389">
            <w:pPr>
              <w:spacing w:after="0"/>
            </w:pPr>
            <w:r>
              <w:rPr>
                <w:rFonts w:ascii="Times New Roman" w:hAnsi="Times New Roman" w:eastAsia="??"/>
                <w:b/>
                <w:sz w:val="18"/>
              </w:rPr>
              <w:t>正例率</w:t>
            </w:r>
          </w:p>
        </w:tc>
        <w:tc>
          <w:tcPr>
            <w:tcW w:w="1360" w:type="dxa"/>
            <w:shd w:val="clear" w:color="auto" w:fill="D9EAF7"/>
            <w:vAlign w:val="center"/>
          </w:tcPr>
          <w:p w14:paraId="240D51CC">
            <w:pPr>
              <w:spacing w:after="0"/>
            </w:pPr>
            <w:r>
              <w:rPr>
                <w:rFonts w:ascii="Times New Roman" w:hAnsi="Times New Roman" w:eastAsia="??"/>
                <w:b/>
                <w:sz w:val="18"/>
              </w:rPr>
              <w:t>LLM 使用数</w:t>
            </w:r>
          </w:p>
        </w:tc>
        <w:tc>
          <w:tcPr>
            <w:tcW w:w="1360" w:type="dxa"/>
            <w:shd w:val="clear" w:color="auto" w:fill="D9EAF7"/>
            <w:vAlign w:val="center"/>
          </w:tcPr>
          <w:p w14:paraId="769FEEE0">
            <w:pPr>
              <w:spacing w:after="0"/>
            </w:pPr>
            <w:r>
              <w:rPr>
                <w:rFonts w:ascii="Times New Roman" w:hAnsi="Times New Roman" w:eastAsia="??"/>
                <w:b/>
                <w:sz w:val="18"/>
              </w:rPr>
              <w:t>LLM 尝试数</w:t>
            </w:r>
          </w:p>
        </w:tc>
      </w:tr>
      <w:tr w14:paraId="12FA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372B2832">
            <w:pPr>
              <w:spacing w:after="0"/>
            </w:pPr>
            <w:r>
              <w:rPr>
                <w:rFonts w:ascii="Times New Roman" w:hAnsi="Times New Roman" w:eastAsia="??"/>
                <w:b w:val="0"/>
                <w:sz w:val="18"/>
              </w:rPr>
              <w:t>初始证据规则模型</w:t>
            </w:r>
          </w:p>
        </w:tc>
        <w:tc>
          <w:tcPr>
            <w:tcW w:w="1360" w:type="dxa"/>
            <w:vAlign w:val="center"/>
          </w:tcPr>
          <w:p w14:paraId="5A0E671D">
            <w:pPr>
              <w:spacing w:after="0"/>
            </w:pPr>
            <w:r>
              <w:rPr>
                <w:rFonts w:ascii="Times New Roman" w:hAnsi="Times New Roman" w:eastAsia="??"/>
                <w:b w:val="0"/>
                <w:sz w:val="18"/>
              </w:rPr>
              <w:t>10000</w:t>
            </w:r>
          </w:p>
        </w:tc>
        <w:tc>
          <w:tcPr>
            <w:tcW w:w="1360" w:type="dxa"/>
            <w:vAlign w:val="center"/>
          </w:tcPr>
          <w:p w14:paraId="071283BD">
            <w:pPr>
              <w:spacing w:after="0"/>
            </w:pPr>
            <w:r>
              <w:rPr>
                <w:rFonts w:ascii="Times New Roman" w:hAnsi="Times New Roman" w:eastAsia="??"/>
                <w:b w:val="0"/>
                <w:sz w:val="18"/>
              </w:rPr>
              <w:t>3407</w:t>
            </w:r>
          </w:p>
        </w:tc>
        <w:tc>
          <w:tcPr>
            <w:tcW w:w="1360" w:type="dxa"/>
            <w:vAlign w:val="center"/>
          </w:tcPr>
          <w:p w14:paraId="45871541">
            <w:pPr>
              <w:spacing w:after="0"/>
            </w:pPr>
            <w:r>
              <w:rPr>
                <w:rFonts w:ascii="Times New Roman" w:hAnsi="Times New Roman" w:eastAsia="??"/>
                <w:b w:val="0"/>
                <w:sz w:val="18"/>
              </w:rPr>
              <w:t>6593</w:t>
            </w:r>
          </w:p>
        </w:tc>
        <w:tc>
          <w:tcPr>
            <w:tcW w:w="1360" w:type="dxa"/>
            <w:vAlign w:val="center"/>
          </w:tcPr>
          <w:p w14:paraId="691999AE">
            <w:pPr>
              <w:spacing w:after="0"/>
            </w:pPr>
            <w:r>
              <w:rPr>
                <w:rFonts w:ascii="Times New Roman" w:hAnsi="Times New Roman" w:eastAsia="??"/>
                <w:b w:val="0"/>
                <w:sz w:val="18"/>
              </w:rPr>
              <w:t>34.07%</w:t>
            </w:r>
          </w:p>
        </w:tc>
        <w:tc>
          <w:tcPr>
            <w:tcW w:w="1360" w:type="dxa"/>
            <w:vAlign w:val="center"/>
          </w:tcPr>
          <w:p w14:paraId="1EF2CFAE">
            <w:pPr>
              <w:spacing w:after="0"/>
            </w:pPr>
            <w:r>
              <w:rPr>
                <w:rFonts w:ascii="Times New Roman" w:hAnsi="Times New Roman" w:eastAsia="??"/>
                <w:b w:val="0"/>
                <w:sz w:val="18"/>
              </w:rPr>
              <w:t>0</w:t>
            </w:r>
          </w:p>
        </w:tc>
        <w:tc>
          <w:tcPr>
            <w:tcW w:w="1360" w:type="dxa"/>
            <w:vAlign w:val="center"/>
          </w:tcPr>
          <w:p w14:paraId="06C97623">
            <w:pPr>
              <w:spacing w:after="0"/>
            </w:pPr>
            <w:r>
              <w:rPr>
                <w:rFonts w:ascii="Times New Roman" w:hAnsi="Times New Roman" w:eastAsia="??"/>
                <w:b w:val="0"/>
                <w:sz w:val="18"/>
              </w:rPr>
              <w:t>0</w:t>
            </w:r>
          </w:p>
        </w:tc>
      </w:tr>
      <w:tr w14:paraId="63EC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FE326BE">
            <w:pPr>
              <w:spacing w:after="0"/>
            </w:pPr>
            <w:r>
              <w:rPr>
                <w:rFonts w:ascii="Times New Roman" w:hAnsi="Times New Roman" w:eastAsia="??"/>
                <w:b w:val="0"/>
                <w:sz w:val="18"/>
              </w:rPr>
              <w:t>稳定多层证据模型</w:t>
            </w:r>
          </w:p>
        </w:tc>
        <w:tc>
          <w:tcPr>
            <w:tcW w:w="1360" w:type="dxa"/>
            <w:vAlign w:val="center"/>
          </w:tcPr>
          <w:p w14:paraId="7102015B">
            <w:pPr>
              <w:spacing w:after="0"/>
            </w:pPr>
            <w:r>
              <w:rPr>
                <w:rFonts w:ascii="Times New Roman" w:hAnsi="Times New Roman" w:eastAsia="??"/>
                <w:b w:val="0"/>
                <w:sz w:val="18"/>
              </w:rPr>
              <w:t>10000</w:t>
            </w:r>
          </w:p>
        </w:tc>
        <w:tc>
          <w:tcPr>
            <w:tcW w:w="1360" w:type="dxa"/>
            <w:vAlign w:val="center"/>
          </w:tcPr>
          <w:p w14:paraId="661EB52A">
            <w:pPr>
              <w:spacing w:after="0"/>
            </w:pPr>
            <w:r>
              <w:rPr>
                <w:rFonts w:ascii="Times New Roman" w:hAnsi="Times New Roman" w:eastAsia="??"/>
                <w:b w:val="0"/>
                <w:sz w:val="18"/>
              </w:rPr>
              <w:t>7665</w:t>
            </w:r>
          </w:p>
        </w:tc>
        <w:tc>
          <w:tcPr>
            <w:tcW w:w="1360" w:type="dxa"/>
            <w:vAlign w:val="center"/>
          </w:tcPr>
          <w:p w14:paraId="355D55EA">
            <w:pPr>
              <w:spacing w:after="0"/>
            </w:pPr>
            <w:r>
              <w:rPr>
                <w:rFonts w:ascii="Times New Roman" w:hAnsi="Times New Roman" w:eastAsia="??"/>
                <w:b w:val="0"/>
                <w:sz w:val="18"/>
              </w:rPr>
              <w:t>2335</w:t>
            </w:r>
          </w:p>
        </w:tc>
        <w:tc>
          <w:tcPr>
            <w:tcW w:w="1360" w:type="dxa"/>
            <w:vAlign w:val="center"/>
          </w:tcPr>
          <w:p w14:paraId="2BB0781C">
            <w:pPr>
              <w:spacing w:after="0"/>
            </w:pPr>
            <w:r>
              <w:rPr>
                <w:rFonts w:ascii="Times New Roman" w:hAnsi="Times New Roman" w:eastAsia="??"/>
                <w:b w:val="0"/>
                <w:sz w:val="18"/>
              </w:rPr>
              <w:t>76.65%</w:t>
            </w:r>
          </w:p>
        </w:tc>
        <w:tc>
          <w:tcPr>
            <w:tcW w:w="1360" w:type="dxa"/>
            <w:vAlign w:val="center"/>
          </w:tcPr>
          <w:p w14:paraId="1C426BD6">
            <w:pPr>
              <w:spacing w:after="0"/>
            </w:pPr>
            <w:r>
              <w:rPr>
                <w:rFonts w:ascii="Times New Roman" w:hAnsi="Times New Roman" w:eastAsia="??"/>
                <w:b w:val="0"/>
                <w:sz w:val="18"/>
              </w:rPr>
              <w:t>0</w:t>
            </w:r>
          </w:p>
        </w:tc>
        <w:tc>
          <w:tcPr>
            <w:tcW w:w="1360" w:type="dxa"/>
            <w:vAlign w:val="center"/>
          </w:tcPr>
          <w:p w14:paraId="29872808">
            <w:pPr>
              <w:spacing w:after="0"/>
            </w:pPr>
            <w:r>
              <w:rPr>
                <w:rFonts w:ascii="Times New Roman" w:hAnsi="Times New Roman" w:eastAsia="??"/>
                <w:b w:val="0"/>
                <w:sz w:val="18"/>
              </w:rPr>
              <w:t>0</w:t>
            </w:r>
          </w:p>
        </w:tc>
      </w:tr>
      <w:tr w14:paraId="166E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7E027D1">
            <w:pPr>
              <w:spacing w:after="0"/>
            </w:pPr>
            <w:r>
              <w:rPr>
                <w:rFonts w:ascii="Times New Roman" w:hAnsi="Times New Roman" w:eastAsia="??"/>
                <w:b w:val="0"/>
                <w:sz w:val="18"/>
              </w:rPr>
              <w:t>稳定多层证据模型重新抽样</w:t>
            </w:r>
          </w:p>
        </w:tc>
        <w:tc>
          <w:tcPr>
            <w:tcW w:w="1360" w:type="dxa"/>
            <w:vAlign w:val="center"/>
          </w:tcPr>
          <w:p w14:paraId="5CA0A896">
            <w:pPr>
              <w:spacing w:after="0"/>
            </w:pPr>
            <w:r>
              <w:rPr>
                <w:rFonts w:ascii="Times New Roman" w:hAnsi="Times New Roman" w:eastAsia="??"/>
                <w:b w:val="0"/>
                <w:sz w:val="18"/>
              </w:rPr>
              <w:t>10000</w:t>
            </w:r>
          </w:p>
        </w:tc>
        <w:tc>
          <w:tcPr>
            <w:tcW w:w="1360" w:type="dxa"/>
            <w:vAlign w:val="center"/>
          </w:tcPr>
          <w:p w14:paraId="392D77A7">
            <w:pPr>
              <w:spacing w:after="0"/>
            </w:pPr>
            <w:r>
              <w:rPr>
                <w:rFonts w:ascii="Times New Roman" w:hAnsi="Times New Roman" w:eastAsia="??"/>
                <w:b w:val="0"/>
                <w:sz w:val="18"/>
              </w:rPr>
              <w:t>7586</w:t>
            </w:r>
          </w:p>
        </w:tc>
        <w:tc>
          <w:tcPr>
            <w:tcW w:w="1360" w:type="dxa"/>
            <w:vAlign w:val="center"/>
          </w:tcPr>
          <w:p w14:paraId="6B604A22">
            <w:pPr>
              <w:spacing w:after="0"/>
            </w:pPr>
            <w:r>
              <w:rPr>
                <w:rFonts w:ascii="Times New Roman" w:hAnsi="Times New Roman" w:eastAsia="??"/>
                <w:b w:val="0"/>
                <w:sz w:val="18"/>
              </w:rPr>
              <w:t>2414</w:t>
            </w:r>
          </w:p>
        </w:tc>
        <w:tc>
          <w:tcPr>
            <w:tcW w:w="1360" w:type="dxa"/>
            <w:vAlign w:val="center"/>
          </w:tcPr>
          <w:p w14:paraId="6B53C201">
            <w:pPr>
              <w:spacing w:after="0"/>
            </w:pPr>
            <w:r>
              <w:rPr>
                <w:rFonts w:ascii="Times New Roman" w:hAnsi="Times New Roman" w:eastAsia="??"/>
                <w:b w:val="0"/>
                <w:sz w:val="18"/>
              </w:rPr>
              <w:t>75.86%</w:t>
            </w:r>
          </w:p>
        </w:tc>
        <w:tc>
          <w:tcPr>
            <w:tcW w:w="1360" w:type="dxa"/>
            <w:vAlign w:val="center"/>
          </w:tcPr>
          <w:p w14:paraId="0DAEC3FF">
            <w:pPr>
              <w:spacing w:after="0"/>
            </w:pPr>
            <w:r>
              <w:rPr>
                <w:rFonts w:ascii="Times New Roman" w:hAnsi="Times New Roman" w:eastAsia="??"/>
                <w:b w:val="0"/>
                <w:sz w:val="18"/>
              </w:rPr>
              <w:t>0</w:t>
            </w:r>
          </w:p>
        </w:tc>
        <w:tc>
          <w:tcPr>
            <w:tcW w:w="1360" w:type="dxa"/>
            <w:vAlign w:val="center"/>
          </w:tcPr>
          <w:p w14:paraId="3DDC2B11">
            <w:pPr>
              <w:spacing w:after="0"/>
            </w:pPr>
            <w:r>
              <w:rPr>
                <w:rFonts w:ascii="Times New Roman" w:hAnsi="Times New Roman" w:eastAsia="??"/>
                <w:b w:val="0"/>
                <w:sz w:val="18"/>
              </w:rPr>
              <w:t>0</w:t>
            </w:r>
          </w:p>
        </w:tc>
      </w:tr>
    </w:tbl>
    <w:p w14:paraId="7CF7CB23"/>
    <w:p w14:paraId="38040B2D">
      <w:r>
        <w:t>两轮 10000 篇测试均落入 75%-85% 的目标区间，说明稳定多层证据模型在真实语料分布中没有出现明显过度保守或过度泛化。</w:t>
      </w:r>
    </w:p>
    <w:p w14:paraId="73D72D95">
      <w:pPr>
        <w:pStyle w:val="4"/>
      </w:pPr>
      <w:r>
        <w:t>13.3 全量语料结果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7C87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234B9209">
            <w:pPr>
              <w:spacing w:after="0"/>
            </w:pPr>
            <w:r>
              <w:rPr>
                <w:rFonts w:ascii="Times New Roman" w:hAnsi="Times New Roman" w:eastAsia="??"/>
                <w:b/>
                <w:sz w:val="18"/>
              </w:rPr>
              <w:t>指标</w:t>
            </w:r>
          </w:p>
        </w:tc>
        <w:tc>
          <w:tcPr>
            <w:tcW w:w="4759" w:type="dxa"/>
            <w:shd w:val="clear" w:color="auto" w:fill="D9EAF7"/>
            <w:vAlign w:val="center"/>
          </w:tcPr>
          <w:p w14:paraId="07B35ED2">
            <w:pPr>
              <w:spacing w:after="0"/>
            </w:pPr>
            <w:r>
              <w:rPr>
                <w:rFonts w:ascii="Times New Roman" w:hAnsi="Times New Roman" w:eastAsia="??"/>
                <w:b/>
                <w:sz w:val="18"/>
              </w:rPr>
              <w:t>数值</w:t>
            </w:r>
          </w:p>
        </w:tc>
      </w:tr>
      <w:tr w14:paraId="0B74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6EB52C6">
            <w:pPr>
              <w:spacing w:after="0"/>
            </w:pPr>
            <w:r>
              <w:rPr>
                <w:rFonts w:ascii="Times New Roman" w:hAnsi="Times New Roman" w:eastAsia="??"/>
                <w:b w:val="0"/>
                <w:sz w:val="18"/>
              </w:rPr>
              <w:t>全量样本数</w:t>
            </w:r>
          </w:p>
        </w:tc>
        <w:tc>
          <w:tcPr>
            <w:tcW w:w="4759" w:type="dxa"/>
            <w:vAlign w:val="center"/>
          </w:tcPr>
          <w:p w14:paraId="52D16794">
            <w:pPr>
              <w:spacing w:after="0"/>
            </w:pPr>
            <w:r>
              <w:rPr>
                <w:rFonts w:ascii="Times New Roman" w:hAnsi="Times New Roman" w:eastAsia="??"/>
                <w:b w:val="0"/>
                <w:sz w:val="18"/>
              </w:rPr>
              <w:t>40276</w:t>
            </w:r>
          </w:p>
        </w:tc>
      </w:tr>
      <w:tr w14:paraId="14CD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321DBD2F">
            <w:pPr>
              <w:spacing w:after="0"/>
            </w:pPr>
            <w:r>
              <w:rPr>
                <w:rFonts w:ascii="Times New Roman" w:hAnsi="Times New Roman" w:eastAsia="??"/>
                <w:b w:val="0"/>
                <w:sz w:val="18"/>
              </w:rPr>
              <w:t>正例数</w:t>
            </w:r>
          </w:p>
        </w:tc>
        <w:tc>
          <w:tcPr>
            <w:tcW w:w="4759" w:type="dxa"/>
            <w:vAlign w:val="center"/>
          </w:tcPr>
          <w:p w14:paraId="28E42D57">
            <w:pPr>
              <w:spacing w:after="0"/>
            </w:pPr>
            <w:r>
              <w:rPr>
                <w:rFonts w:ascii="Times New Roman" w:hAnsi="Times New Roman" w:eastAsia="??"/>
                <w:b w:val="0"/>
                <w:sz w:val="18"/>
              </w:rPr>
              <w:t>30770</w:t>
            </w:r>
          </w:p>
        </w:tc>
      </w:tr>
      <w:tr w14:paraId="5745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3653914F">
            <w:pPr>
              <w:spacing w:after="0"/>
            </w:pPr>
            <w:r>
              <w:rPr>
                <w:rFonts w:ascii="Times New Roman" w:hAnsi="Times New Roman" w:eastAsia="??"/>
                <w:b w:val="0"/>
                <w:sz w:val="18"/>
              </w:rPr>
              <w:t>负例数</w:t>
            </w:r>
          </w:p>
        </w:tc>
        <w:tc>
          <w:tcPr>
            <w:tcW w:w="4759" w:type="dxa"/>
            <w:vAlign w:val="center"/>
          </w:tcPr>
          <w:p w14:paraId="0DF7C5FA">
            <w:pPr>
              <w:spacing w:after="0"/>
            </w:pPr>
            <w:r>
              <w:rPr>
                <w:rFonts w:ascii="Times New Roman" w:hAnsi="Times New Roman" w:eastAsia="??"/>
                <w:b w:val="0"/>
                <w:sz w:val="18"/>
              </w:rPr>
              <w:t>9506</w:t>
            </w:r>
          </w:p>
        </w:tc>
      </w:tr>
      <w:tr w14:paraId="40FA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2B24F4D">
            <w:pPr>
              <w:spacing w:after="0"/>
            </w:pPr>
            <w:r>
              <w:rPr>
                <w:rFonts w:ascii="Times New Roman" w:hAnsi="Times New Roman" w:eastAsia="??"/>
                <w:b w:val="0"/>
                <w:sz w:val="18"/>
              </w:rPr>
              <w:t>正例率</w:t>
            </w:r>
          </w:p>
        </w:tc>
        <w:tc>
          <w:tcPr>
            <w:tcW w:w="4759" w:type="dxa"/>
            <w:vAlign w:val="center"/>
          </w:tcPr>
          <w:p w14:paraId="345E177F">
            <w:pPr>
              <w:spacing w:after="0"/>
            </w:pPr>
            <w:r>
              <w:rPr>
                <w:rFonts w:ascii="Times New Roman" w:hAnsi="Times New Roman" w:eastAsia="??"/>
                <w:b w:val="0"/>
                <w:sz w:val="18"/>
              </w:rPr>
              <w:t>76.40%</w:t>
            </w:r>
          </w:p>
        </w:tc>
      </w:tr>
      <w:tr w14:paraId="0316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A97EC79">
            <w:pPr>
              <w:spacing w:after="0"/>
            </w:pPr>
            <w:r>
              <w:rPr>
                <w:rFonts w:ascii="Times New Roman" w:hAnsi="Times New Roman" w:eastAsia="??"/>
                <w:b w:val="0"/>
                <w:sz w:val="18"/>
              </w:rPr>
              <w:t>负例率</w:t>
            </w:r>
          </w:p>
        </w:tc>
        <w:tc>
          <w:tcPr>
            <w:tcW w:w="4759" w:type="dxa"/>
            <w:vAlign w:val="center"/>
          </w:tcPr>
          <w:p w14:paraId="06B1EA90">
            <w:pPr>
              <w:spacing w:after="0"/>
            </w:pPr>
            <w:r>
              <w:rPr>
                <w:rFonts w:ascii="Times New Roman" w:hAnsi="Times New Roman" w:eastAsia="??"/>
                <w:b w:val="0"/>
                <w:sz w:val="18"/>
              </w:rPr>
              <w:t>23.60%</w:t>
            </w:r>
          </w:p>
        </w:tc>
      </w:tr>
      <w:tr w14:paraId="535F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EDF121D">
            <w:pPr>
              <w:spacing w:after="0"/>
            </w:pPr>
            <w:r>
              <w:rPr>
                <w:rFonts w:ascii="Times New Roman" w:hAnsi="Times New Roman" w:eastAsia="??"/>
                <w:b w:val="0"/>
                <w:sz w:val="18"/>
              </w:rPr>
              <w:t>LLM 使用数</w:t>
            </w:r>
          </w:p>
        </w:tc>
        <w:tc>
          <w:tcPr>
            <w:tcW w:w="4759" w:type="dxa"/>
            <w:vAlign w:val="center"/>
          </w:tcPr>
          <w:p w14:paraId="6069210A">
            <w:pPr>
              <w:spacing w:after="0"/>
            </w:pPr>
            <w:r>
              <w:rPr>
                <w:rFonts w:ascii="Times New Roman" w:hAnsi="Times New Roman" w:eastAsia="??"/>
                <w:b w:val="0"/>
                <w:sz w:val="18"/>
              </w:rPr>
              <w:t>0</w:t>
            </w:r>
          </w:p>
        </w:tc>
      </w:tr>
      <w:tr w14:paraId="597D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6E5266BF">
            <w:pPr>
              <w:spacing w:after="0"/>
            </w:pPr>
            <w:r>
              <w:rPr>
                <w:rFonts w:ascii="Times New Roman" w:hAnsi="Times New Roman" w:eastAsia="??"/>
                <w:b w:val="0"/>
                <w:sz w:val="18"/>
              </w:rPr>
              <w:t>LLM 尝试数</w:t>
            </w:r>
          </w:p>
        </w:tc>
        <w:tc>
          <w:tcPr>
            <w:tcW w:w="4759" w:type="dxa"/>
            <w:vAlign w:val="center"/>
          </w:tcPr>
          <w:p w14:paraId="335B63D2">
            <w:pPr>
              <w:spacing w:after="0"/>
            </w:pPr>
            <w:r>
              <w:rPr>
                <w:rFonts w:ascii="Times New Roman" w:hAnsi="Times New Roman" w:eastAsia="??"/>
                <w:b w:val="0"/>
                <w:sz w:val="18"/>
              </w:rPr>
              <w:t>0</w:t>
            </w:r>
          </w:p>
        </w:tc>
      </w:tr>
      <w:tr w14:paraId="04C3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4F1A341">
            <w:pPr>
              <w:spacing w:after="0"/>
            </w:pPr>
            <w:r>
              <w:rPr>
                <w:rFonts w:ascii="Times New Roman" w:hAnsi="Times New Roman" w:eastAsia="??"/>
                <w:b w:val="0"/>
                <w:sz w:val="18"/>
              </w:rPr>
              <w:t>标签一致性错误</w:t>
            </w:r>
          </w:p>
        </w:tc>
        <w:tc>
          <w:tcPr>
            <w:tcW w:w="4759" w:type="dxa"/>
            <w:vAlign w:val="center"/>
          </w:tcPr>
          <w:p w14:paraId="35603765">
            <w:pPr>
              <w:spacing w:after="0"/>
            </w:pPr>
            <w:r>
              <w:rPr>
                <w:rFonts w:ascii="Times New Roman" w:hAnsi="Times New Roman" w:eastAsia="??"/>
                <w:b w:val="0"/>
                <w:sz w:val="18"/>
              </w:rPr>
              <w:t>0</w:t>
            </w:r>
          </w:p>
        </w:tc>
      </w:tr>
    </w:tbl>
    <w:p w14:paraId="081ED67B"/>
    <w:p w14:paraId="5EA28ED2">
      <w:r>
        <w:t>全量 no-LLM 结果与两轮 10000 篇抽样结果高度一致，说明该方案在完整语料上具有稳定外推能力。</w:t>
      </w:r>
    </w:p>
    <w:p w14:paraId="7AEE7EBD">
      <w:pPr>
        <w:pStyle w:val="3"/>
      </w:pPr>
      <w:r>
        <w:t>14. 可行性与优越性论证</w:t>
      </w:r>
    </w:p>
    <w:p w14:paraId="555B20FA">
      <w:pPr>
        <w:pStyle w:val="4"/>
      </w:pPr>
      <w:r>
        <w:t>14.1 概念可行性</w:t>
      </w:r>
    </w:p>
    <w:p w14:paraId="78B50B23">
      <w:r>
        <w:t>框架从城市更新的学理边界出发，而不是从样本编号、标题特例或结果目标反推规则。更新动作、既有城市对象和负类风险共同构成可解释判定条件，使二分类具有明确理论依据。</w:t>
      </w:r>
    </w:p>
    <w:p w14:paraId="26F4A685">
      <w:pPr>
        <w:pStyle w:val="4"/>
      </w:pPr>
      <w:r>
        <w:t>14.2 方法可行性</w:t>
      </w:r>
    </w:p>
    <w:p w14:paraId="6306FE99">
      <w:r>
        <w:t>固定主题体系保证解释稳定性，动态主题发现补足开放集覆盖，层级证据仲裁保证最终标签一致，选择性 LLM 裁决提升困难样本精度。各方法之间职责清晰，不互相替代，形成可维护的证据链。</w:t>
      </w:r>
    </w:p>
    <w:p w14:paraId="23FE8D54">
      <w:pPr>
        <w:pStyle w:val="4"/>
      </w:pPr>
      <w:r>
        <w:t>14.3 实验可行性</w:t>
      </w:r>
    </w:p>
    <w:p w14:paraId="25BF05FB">
      <w:r>
        <w:t>有标签结果证明方法满足 Accuracy 目标，无标签大样本结果证明方法输出结构合理，全量结果证明方法可以部署到完整语料。三类实验共同支撑方案有效性，避免只凭单一指标得出结论。</w:t>
      </w:r>
    </w:p>
    <w:p w14:paraId="239B7E1B">
      <w:pPr>
        <w:pStyle w:val="4"/>
      </w:pPr>
      <w:r>
        <w:t>14.4 相对于关键词检索的优越性</w:t>
      </w:r>
    </w:p>
    <w:p w14:paraId="2092B650">
      <w:r>
        <w:t>关键词检索无法区分“城市背景”与“城市更新过程”。本文通过动作锚点、对象锚点和风险锚点组合判断，显著降低泛城市语境误判，并能覆盖不同学科中的城市更新同义表达。</w:t>
      </w:r>
    </w:p>
    <w:p w14:paraId="50AFB37D">
      <w:pPr>
        <w:pStyle w:val="4"/>
      </w:pPr>
      <w:r>
        <w:t>14.5 相对于固定主题分类的优越性</w:t>
      </w:r>
    </w:p>
    <w:p w14:paraId="43EFB4DF">
      <w:r>
        <w:t>固定主题分类在解释性上有优势，但面对开放主题和新兴表达时容易产生 unknown。本文通过动态语义主题发现和开放集覆盖诊断，使未知样本进入复核和修正链，而不是被直接判负。</w:t>
      </w:r>
    </w:p>
    <w:p w14:paraId="57510A63">
      <w:pPr>
        <w:pStyle w:val="4"/>
      </w:pPr>
      <w:r>
        <w:t>14.6 相对于全量 LLM 分类的优越性</w:t>
      </w:r>
    </w:p>
    <w:p w14:paraId="6DC56660">
      <w:r>
        <w:t>全量 LLM 分类成本高、可复现性弱且存在输出漂移。本文将 LLM 限定为困难样本裁决器，使其只在最能产生增益的样本上工作。实验表明，选择性 LLM 已足以将 Accuracy 提升到 90.4%，不需要全量调用。</w:t>
      </w:r>
    </w:p>
    <w:p w14:paraId="364A53FC">
      <w:pPr>
        <w:pStyle w:val="4"/>
      </w:pPr>
      <w:r>
        <w:t>14.7 相对于只优化 Accuracy 的优越性</w:t>
      </w:r>
    </w:p>
    <w:p w14:paraId="76684DB9">
      <w:r>
        <w:t>初始方案在 1000 篇带标签样本上 Accuracy 较高，但 10000 篇正例率严重偏低。本文采用双层验证协议，将小样本精度和大样本结构稳定性同时作为验收条件，能更准确反映方法是否适合真实部署。</w:t>
      </w:r>
    </w:p>
    <w:p w14:paraId="15F10A39">
      <w:pPr>
        <w:pStyle w:val="3"/>
      </w:pPr>
      <w:r>
        <w:t>15. 结论</w:t>
      </w:r>
    </w:p>
    <w:p w14:paraId="6799328D">
      <w:r>
        <w:t>本文构建了一个多层证据约束的城市更新文献二分类框架。该框架将城市更新学理边界转化为可计算证据，通过固定主题体系和动态主题发现增强解释能力，通过层级证据仲裁形成稳定最终标签，并通过选择性大语言模型裁决提升困难样本准确率。</w:t>
      </w:r>
    </w:p>
    <w:p w14:paraId="2DAC227B">
      <w:r>
        <w:t>实验结果表明，稳定 no-LLM 路径已达到 84.1% Accuracy，并在两轮 10000 篇和全量 40276 篇语料上保持约 76% 的正例率；选择性 LLM 裁决将 Accuracy 进一步提升到 90.4%。因此，该方案已经达到城市更新二分类指标提取任务的当前验收目标，并具备较好的理论合理性、实验可靠性、可解释性和工程部署价值。</w:t>
      </w:r>
    </w:p>
    <w:p w14:paraId="0C21AADF">
      <w:pPr>
        <w:pStyle w:val="3"/>
      </w:pPr>
      <w:r>
        <w:t>附录 A：学术方法名与实现名称映射</w:t>
      </w:r>
    </w:p>
    <w:p w14:paraId="21E26E89">
      <w:r>
        <w:t>正文中避免直接使用代码函数名。为保证复现性，附录给出学术方法与工程实现之间的对应关系。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470A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20A1A2BF">
            <w:pPr>
              <w:spacing w:after="0"/>
            </w:pPr>
            <w:r>
              <w:rPr>
                <w:rFonts w:ascii="Times New Roman" w:hAnsi="Times New Roman" w:eastAsia="??"/>
                <w:b/>
                <w:sz w:val="18"/>
              </w:rPr>
              <w:t>学术方法</w:t>
            </w:r>
          </w:p>
        </w:tc>
        <w:tc>
          <w:tcPr>
            <w:tcW w:w="4759" w:type="dxa"/>
            <w:shd w:val="clear" w:color="auto" w:fill="D9EAF7"/>
            <w:vAlign w:val="center"/>
          </w:tcPr>
          <w:p w14:paraId="060A4868">
            <w:pPr>
              <w:spacing w:after="0"/>
            </w:pPr>
            <w:r>
              <w:rPr>
                <w:rFonts w:ascii="Times New Roman" w:hAnsi="Times New Roman" w:eastAsia="??"/>
                <w:b/>
                <w:sz w:val="18"/>
              </w:rPr>
              <w:t>工程实现或字段</w:t>
            </w:r>
          </w:p>
        </w:tc>
      </w:tr>
      <w:tr w14:paraId="4BE5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5812ECA">
            <w:pPr>
              <w:spacing w:after="0"/>
            </w:pPr>
            <w:r>
              <w:rPr>
                <w:rFonts w:ascii="Times New Roman" w:hAnsi="Times New Roman" w:eastAsia="??"/>
                <w:b w:val="0"/>
                <w:sz w:val="18"/>
              </w:rPr>
              <w:t>多层证据约束二分类框架</w:t>
            </w:r>
          </w:p>
        </w:tc>
        <w:tc>
          <w:tcPr>
            <w:tcW w:w="4759" w:type="dxa"/>
            <w:vAlign w:val="center"/>
          </w:tcPr>
          <w:p w14:paraId="08218211">
            <w:pPr>
              <w:spacing w:after="0"/>
            </w:pPr>
            <w:r>
              <w:rPr>
                <w:rFonts w:ascii="Times New Roman" w:hAnsi="Times New Roman" w:eastAsia="??"/>
                <w:b w:val="0"/>
                <w:sz w:val="18"/>
              </w:rPr>
              <w:t>`three_stage_hybrid` 主流程</w:t>
            </w:r>
          </w:p>
        </w:tc>
      </w:tr>
      <w:tr w14:paraId="71B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66130FD">
            <w:pPr>
              <w:spacing w:after="0"/>
            </w:pPr>
            <w:r>
              <w:rPr>
                <w:rFonts w:ascii="Times New Roman" w:hAnsi="Times New Roman" w:eastAsia="??"/>
                <w:b w:val="0"/>
                <w:sz w:val="18"/>
              </w:rPr>
              <w:t>领域概念边界形式化</w:t>
            </w:r>
          </w:p>
        </w:tc>
        <w:tc>
          <w:tcPr>
            <w:tcW w:w="4759" w:type="dxa"/>
            <w:vAlign w:val="center"/>
          </w:tcPr>
          <w:p w14:paraId="67A23475">
            <w:pPr>
              <w:spacing w:after="0"/>
            </w:pPr>
            <w:r>
              <w:rPr>
                <w:rFonts w:ascii="Times New Roman" w:hAnsi="Times New Roman" w:eastAsia="??"/>
                <w:b w:val="0"/>
                <w:sz w:val="18"/>
              </w:rPr>
              <w:t>城市更新正负类定义、anchor 词表和风险词表</w:t>
            </w:r>
          </w:p>
        </w:tc>
      </w:tr>
      <w:tr w14:paraId="626E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07A6B94">
            <w:pPr>
              <w:spacing w:after="0"/>
            </w:pPr>
            <w:r>
              <w:rPr>
                <w:rFonts w:ascii="Times New Roman" w:hAnsi="Times New Roman" w:eastAsia="??"/>
                <w:b w:val="0"/>
                <w:sz w:val="18"/>
              </w:rPr>
              <w:t>语义证据锚点抽取</w:t>
            </w:r>
          </w:p>
        </w:tc>
        <w:tc>
          <w:tcPr>
            <w:tcW w:w="4759" w:type="dxa"/>
            <w:vAlign w:val="center"/>
          </w:tcPr>
          <w:p w14:paraId="432F5858">
            <w:pPr>
              <w:spacing w:after="0"/>
            </w:pPr>
            <w:r>
              <w:rPr>
                <w:rFonts w:ascii="Times New Roman" w:hAnsi="Times New Roman" w:eastAsia="??"/>
                <w:b w:val="0"/>
                <w:sz w:val="18"/>
              </w:rPr>
              <w:t>`decision_explanation`、`primary_positive_evidence`、`primary_negative_evidence`、`evidence_balance`</w:t>
            </w:r>
          </w:p>
        </w:tc>
      </w:tr>
      <w:tr w14:paraId="0A32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F7D7956">
            <w:pPr>
              <w:spacing w:after="0"/>
            </w:pPr>
            <w:r>
              <w:rPr>
                <w:rFonts w:ascii="Times New Roman" w:hAnsi="Times New Roman" w:eastAsia="??"/>
                <w:b w:val="0"/>
                <w:sz w:val="18"/>
              </w:rPr>
              <w:t>主题本体约束映射</w:t>
            </w:r>
          </w:p>
        </w:tc>
        <w:tc>
          <w:tcPr>
            <w:tcW w:w="4759" w:type="dxa"/>
            <w:vAlign w:val="center"/>
          </w:tcPr>
          <w:p w14:paraId="602A05A1">
            <w:pPr>
              <w:spacing w:after="0"/>
            </w:pPr>
            <w:r>
              <w:rPr>
                <w:rFonts w:ascii="Times New Roman" w:hAnsi="Times New Roman" w:eastAsia="??"/>
                <w:b w:val="0"/>
                <w:sz w:val="18"/>
              </w:rPr>
              <w:t>`topic_final`、`topic_final_group`、`topic_final_name`</w:t>
            </w:r>
          </w:p>
        </w:tc>
      </w:tr>
      <w:tr w14:paraId="30E0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93C55EF">
            <w:pPr>
              <w:spacing w:after="0"/>
            </w:pPr>
            <w:r>
              <w:rPr>
                <w:rFonts w:ascii="Times New Roman" w:hAnsi="Times New Roman" w:eastAsia="??"/>
                <w:b w:val="0"/>
                <w:sz w:val="18"/>
              </w:rPr>
              <w:t>开放集覆盖诊断</w:t>
            </w:r>
          </w:p>
        </w:tc>
        <w:tc>
          <w:tcPr>
            <w:tcW w:w="4759" w:type="dxa"/>
            <w:vAlign w:val="center"/>
          </w:tcPr>
          <w:p w14:paraId="080077AD">
            <w:pPr>
              <w:spacing w:after="0"/>
            </w:pPr>
            <w:r>
              <w:rPr>
                <w:rFonts w:ascii="Times New Roman" w:hAnsi="Times New Roman" w:eastAsia="??"/>
                <w:b w:val="0"/>
                <w:sz w:val="18"/>
              </w:rPr>
              <w:t>`taxonomy_coverage_status`</w:t>
            </w:r>
          </w:p>
        </w:tc>
      </w:tr>
      <w:tr w14:paraId="0875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B902DF7">
            <w:pPr>
              <w:spacing w:after="0"/>
            </w:pPr>
            <w:r>
              <w:rPr>
                <w:rFonts w:ascii="Times New Roman" w:hAnsi="Times New Roman" w:eastAsia="??"/>
                <w:b w:val="0"/>
                <w:sz w:val="18"/>
              </w:rPr>
              <w:t>动态语义主题发现</w:t>
            </w:r>
          </w:p>
        </w:tc>
        <w:tc>
          <w:tcPr>
            <w:tcW w:w="4759" w:type="dxa"/>
            <w:vAlign w:val="center"/>
          </w:tcPr>
          <w:p w14:paraId="5BC505B3">
            <w:pPr>
              <w:spacing w:after="0"/>
            </w:pPr>
            <w:r>
              <w:rPr>
                <w:rFonts w:ascii="Times New Roman" w:hAnsi="Times New Roman" w:eastAsia="??"/>
                <w:b w:val="0"/>
                <w:sz w:val="18"/>
              </w:rPr>
              <w:t>`dynamic_topic_*` 字段</w:t>
            </w:r>
          </w:p>
        </w:tc>
      </w:tr>
      <w:tr w14:paraId="4FE2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F03AA53">
            <w:pPr>
              <w:spacing w:after="0"/>
            </w:pPr>
            <w:r>
              <w:rPr>
                <w:rFonts w:ascii="Times New Roman" w:hAnsi="Times New Roman" w:eastAsia="??"/>
                <w:b w:val="0"/>
                <w:sz w:val="18"/>
              </w:rPr>
              <w:t>主题簇驱动的二分类修正</w:t>
            </w:r>
          </w:p>
        </w:tc>
        <w:tc>
          <w:tcPr>
            <w:tcW w:w="4759" w:type="dxa"/>
            <w:vAlign w:val="center"/>
          </w:tcPr>
          <w:p w14:paraId="091EE622">
            <w:pPr>
              <w:spacing w:after="0"/>
            </w:pPr>
            <w:r>
              <w:rPr>
                <w:rFonts w:ascii="Times New Roman" w:hAnsi="Times New Roman" w:eastAsia="??"/>
                <w:b w:val="0"/>
                <w:sz w:val="18"/>
              </w:rPr>
              <w:t>`dynamic_binary_*` 与 `dynamic_binary_override_*` 字段</w:t>
            </w:r>
          </w:p>
        </w:tc>
      </w:tr>
      <w:tr w14:paraId="0DAE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B1552EF">
            <w:pPr>
              <w:spacing w:after="0"/>
            </w:pPr>
            <w:r>
              <w:rPr>
                <w:rFonts w:ascii="Times New Roman" w:hAnsi="Times New Roman" w:eastAsia="??"/>
                <w:b w:val="0"/>
                <w:sz w:val="18"/>
              </w:rPr>
              <w:t>层级证据仲裁决策</w:t>
            </w:r>
          </w:p>
        </w:tc>
        <w:tc>
          <w:tcPr>
            <w:tcW w:w="4759" w:type="dxa"/>
            <w:vAlign w:val="center"/>
          </w:tcPr>
          <w:p w14:paraId="3BA3CE7B">
            <w:pPr>
              <w:spacing w:after="0"/>
            </w:pPr>
            <w:r>
              <w:rPr>
                <w:rFonts w:ascii="Times New Roman" w:hAnsi="Times New Roman" w:eastAsia="??"/>
                <w:b w:val="0"/>
                <w:sz w:val="18"/>
              </w:rPr>
              <w:t>`binary_policy_action`、`binary_policy_reason`、`binary_policy_conflict_type`</w:t>
            </w:r>
          </w:p>
        </w:tc>
      </w:tr>
      <w:tr w14:paraId="2AE9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6E141C68">
            <w:pPr>
              <w:spacing w:after="0"/>
            </w:pPr>
            <w:r>
              <w:rPr>
                <w:rFonts w:ascii="Times New Roman" w:hAnsi="Times New Roman" w:eastAsia="??"/>
                <w:b w:val="0"/>
                <w:sz w:val="18"/>
              </w:rPr>
              <w:t>选择性大语言模型裁决</w:t>
            </w:r>
          </w:p>
        </w:tc>
        <w:tc>
          <w:tcPr>
            <w:tcW w:w="4759" w:type="dxa"/>
            <w:vAlign w:val="center"/>
          </w:tcPr>
          <w:p w14:paraId="1FBFE43B">
            <w:pPr>
              <w:spacing w:after="0"/>
            </w:pPr>
            <w:r>
              <w:rPr>
                <w:rFonts w:ascii="Times New Roman" w:hAnsi="Times New Roman" w:eastAsia="??"/>
                <w:b w:val="0"/>
                <w:sz w:val="18"/>
              </w:rPr>
              <w:t>`llm_adjudication_*`、`llm_used`、`llm_attempted`</w:t>
            </w:r>
          </w:p>
        </w:tc>
      </w:tr>
      <w:tr w14:paraId="1438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D8DE868">
            <w:pPr>
              <w:spacing w:after="0"/>
            </w:pPr>
            <w:r>
              <w:rPr>
                <w:rFonts w:ascii="Times New Roman" w:hAnsi="Times New Roman" w:eastAsia="??"/>
                <w:b w:val="0"/>
                <w:sz w:val="18"/>
              </w:rPr>
              <w:t>双层实验验证协议</w:t>
            </w:r>
          </w:p>
        </w:tc>
        <w:tc>
          <w:tcPr>
            <w:tcW w:w="4759" w:type="dxa"/>
            <w:vAlign w:val="center"/>
          </w:tcPr>
          <w:p w14:paraId="191FA10E">
            <w:pPr>
              <w:spacing w:after="0"/>
            </w:pPr>
            <w:r>
              <w:rPr>
                <w:rFonts w:ascii="Times New Roman" w:hAnsi="Times New Roman" w:eastAsia="??"/>
                <w:b w:val="0"/>
                <w:sz w:val="18"/>
              </w:rPr>
              <w:t>1000 有标签评估、10000 抽样结构诊断、40276 全量 no-LLM 外推验证</w:t>
            </w:r>
          </w:p>
        </w:tc>
      </w:tr>
    </w:tbl>
    <w:p w14:paraId="7179B305"/>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A66F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1170</Words>
  <Characters>1469</Characters>
  <Lines>0</Lines>
  <Paragraphs>0</Paragraphs>
  <TotalTime>29</TotalTime>
  <ScaleCrop>false</ScaleCrop>
  <LinksUpToDate>false</LinksUpToDate>
  <CharactersWithSpaces>1526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Urban Renovation Project</dc:creator>
  <dc:description>generated by python-docx</dc:description>
  <cp:lastModifiedBy>王宇文</cp:lastModifiedBy>
  <dcterms:modified xsi:type="dcterms:W3CDTF">2026-04-29T09:30:53Z</dcterms:modified>
  <dc:subject>??????????????</dc:subject>
  <dc:tit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eyJoZGlkIjoiMjNlYzFiMDUxNDU1ZmQ3ZGZmYTg2ODg4OTA3ZTkwNjkiLCJ1c2VySWQiOiIxNzE3ODkwNTY4In0=</vt:lpwstr>
  </property>
  <property fmtid="{D5CDD505-2E9C-101B-9397-08002B2CF9AE}" pid="3" name="KSOProductBuildVer">
    <vt:lpwstr>2052-12.1.0.24034</vt:lpwstr>
  </property>
  <property fmtid="{D5CDD505-2E9C-101B-9397-08002B2CF9AE}" pid="4" name="ICV">
    <vt:lpwstr>F62A7D0DBECB49DD9CF2D94486EC4FCF_13</vt:lpwstr>
  </property>
</Properties>
</file>