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城市更新二分类指标提取任务进度汇报</w:t>
      </w:r>
    </w:p>
    <w:p>
      <w:pPr>
        <w:jc w:val="center"/>
      </w:pPr>
      <w:r>
        <w:t>汇报日期：2026-05-06</w:t>
      </w:r>
    </w:p>
    <w:p>
      <w:pPr>
        <w:pStyle w:val="Heading1"/>
      </w:pPr>
      <w:r>
        <w:t>一、当前进度结论</w:t>
      </w:r>
    </w:p>
    <w:p>
      <w:r>
        <w:t>城市更新二分类指标提取任务已经达到当前阶段验收目标。稳定 no-LLM 路径在 1000 篇带标签样本上 Accuracy 为 84.1%，超过 80% 目标；选择性 LLM 困难样本裁决路径 Accuracy 为 90.4%，超过 85% 目标；两轮 10000 篇无标签样本和全量 40276 篇 no-LLM 运行的正例率均稳定在约 76%，落入 75%-85% 的目标区间。</w:t>
      </w:r>
    </w:p>
    <w:p>
      <w:r>
        <w:t>当前结论不是只依赖 1000 篇带标签样本的局部指标，而是同时由有标签精度、大样本比例诊断和全量结构验证共同支撑。</w:t>
      </w:r>
    </w:p>
    <w:p>
      <w:pPr>
        <w:pStyle w:val="Heading1"/>
      </w:pPr>
      <w:r>
        <w:t>二、方法体系</w:t>
      </w:r>
    </w:p>
    <w:p>
      <w:r>
        <w:t>本阶段将方法体系规范为“多层证据约束的城市更新文献二分类框架”（MEC-BS）。该框架以城市更新学理定义为边界，以语义证据锚点为基础，以固定主题本体提供解释，以动态主题发现处理开放集，以层级证据仲裁落定最终二分类，并仅在困难样本上启用 LLM 裁决。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编号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方法名称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作用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M1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领域概念边界形式化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明确城市更新正负类学理边界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M2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语义证据锚点抽取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抽取更新动作、城市对象、负类风险证据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M3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主题本体约束映射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提供固定主题解释体系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M4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开放集覆盖诊断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识别 covered、unknown、open_set 等覆盖状态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M5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动态语义主题发现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本地聚类识别新兴主题簇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M6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主题簇驱动的二分类修正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用高置信动态主题修复漏召回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M7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层级证据仲裁决策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统一落定最终二分类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M8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选择性大语言模型裁决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只裁决困难样本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M9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双层实验验证协议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同时检验有标签精度和无标签结构稳定性</w:t>
            </w:r>
          </w:p>
        </w:tc>
      </w:tr>
    </w:tbl>
    <w:p/>
    <w:p>
      <w:pPr>
        <w:pStyle w:val="Heading1"/>
      </w:pPr>
      <w:r>
        <w:t>三、实验数据与结果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实验</w:t>
            </w:r>
          </w:p>
        </w:tc>
        <w:tc>
          <w:tcPr>
            <w:tcW w:type="dxa" w:w="2379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样本量</w:t>
            </w:r>
          </w:p>
        </w:tc>
        <w:tc>
          <w:tcPr>
            <w:tcW w:type="dxa" w:w="2379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关键结果</w:t>
            </w:r>
          </w:p>
        </w:tc>
        <w:tc>
          <w:tcPr>
            <w:tcW w:type="dxa" w:w="2379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是否达标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1000 篇带标签 no-LLM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Accuracy 84.1%，Recall 99.75%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达标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1000 篇带标签 LLM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Accuracy 90.4%，F1 94.37%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达标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10000 篇 no-LLM 第一轮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10000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正例率 76.65%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达标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10000 篇 no-LLM 重新抽样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10000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正例率 75.86%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达标</w:t>
            </w:r>
          </w:p>
        </w:tc>
      </w:tr>
      <w:tr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40276 篇全量 no-LLM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40276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正例率 76.40%，LLM 使用数 0</w:t>
            </w:r>
          </w:p>
        </w:tc>
        <w:tc>
          <w:tcPr>
            <w:tcW w:type="dxa" w:w="23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达标</w:t>
            </w:r>
          </w:p>
        </w:tc>
      </w:tr>
    </w:tbl>
    <w:p/>
    <w:p>
      <w:pPr>
        <w:pStyle w:val="Heading1"/>
      </w:pPr>
      <w:r>
        <w:t>四、可行性与优越性</w:t>
      </w:r>
    </w:p>
    <w:p>
      <w:r>
        <w:t>第一，方法具有理论可解释性。系统从城市更新对象、更新动作和负类风险三个方面建立证据链，避免仅凭泛城市词汇判正。</w:t>
      </w:r>
    </w:p>
    <w:p>
      <w:r>
        <w:t>第二，方法具有结构稳定性。初始策略虽然在 1000 篇样本上 Accuracy 较高，但 10000 篇正例率仅 34.07%；稳定策略通过动态主题和层级证据仲裁修复漏召回后，大样本正例率稳定恢复到约 76%。</w:t>
      </w:r>
    </w:p>
    <w:p>
      <w:r>
        <w:t>第三，方法具有可部署性。全量 no-LLM 运行未调用大模型或 API，llm_used_sum 和 llm_attempted_sum 均为 0，说明离线环境下也能完成完整分类。</w:t>
      </w:r>
    </w:p>
    <w:p>
      <w:r>
        <w:t>第四，LLM 使用具有可控性。LLM 不作为全量主分类器，只裁决冲突、近阈值和主题-二分类不一致样本，从而在控制成本和漂移风险的同时提升准确率。</w:t>
      </w:r>
    </w:p>
    <w:p>
      <w:pPr>
        <w:pStyle w:val="Heading1"/>
      </w:pPr>
      <w:r>
        <w:t>五、汇报材料清单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材料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位置</w:t>
            </w:r>
          </w:p>
        </w:tc>
        <w:tc>
          <w:tcPr>
            <w:tcW w:type="dxa" w:w="3173"/>
            <w:shd w:fill="D9EAF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用途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实验数据汇总 Excel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城市更新二分类实验数据汇总_20260506.xlsx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展示指标、分布、方法体系和工件索引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学术方法体系文档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method_docs/urban_renewal_binary_experiment_design_academic_methods_20260429.docx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说明论文式方法设计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实验设计完整文档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method_docs/urban_renewal_binary_experiment_design_paper_ready_20260429.docx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补充实验设计和结果论证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流程说明文档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method_docs/systematic_workflow_documentation.md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说明输入输出和执行流程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复现命令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method_docs/run_commands.md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记录主要实验命令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原始工件索引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Excel 原始工件索引 sheet</w:t>
            </w:r>
          </w:p>
        </w:tc>
        <w:tc>
          <w:tcPr>
            <w:tcW w:type="dxa" w:w="317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18"/>
              </w:rPr>
              <w:t>定位 Data/runs 下的大型预测工作簿和报告</w:t>
            </w:r>
          </w:p>
        </w:tc>
      </w:tr>
    </w:tbl>
    <w:p/>
    <w:p>
      <w:pPr>
        <w:pStyle w:val="Heading1"/>
      </w:pPr>
      <w:r>
        <w:t>六、后续工作建议</w:t>
      </w:r>
    </w:p>
    <w:p>
      <w:r>
        <w:t>下一阶段建议围绕三项工作推进：第一，对 conflict_review 样本进行分层抽检，量化假阳性风险；第二，对 candidate_new_urban_topic 和 needs_review 动态主题进行人工复核，决定是否扩展固定 taxonomy；第三，将当前进度汇报材料进一步整理为论文方法章节、实验章节和答辩 PPT。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