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8FCD" w14:textId="33D8B441" w:rsidR="00834EDA" w:rsidRPr="009520C3" w:rsidRDefault="00864C89">
      <w:pPr>
        <w:rPr>
          <w:rFonts w:ascii="Times New Roman" w:hAnsi="Times New Roman" w:cs="Times New Roman"/>
          <w:sz w:val="24"/>
          <w:szCs w:val="24"/>
        </w:rPr>
      </w:pPr>
      <w:r w:rsidRPr="009520C3">
        <w:rPr>
          <w:rFonts w:ascii="Times New Roman" w:hAnsi="Times New Roman" w:cs="Times New Roman"/>
          <w:sz w:val="24"/>
          <w:szCs w:val="24"/>
        </w:rPr>
        <w:t>Cheatgrass-wildfire relationship summary</w:t>
      </w:r>
    </w:p>
    <w:p w14:paraId="1B87FA1B" w14:textId="4A92A524" w:rsidR="00864C89" w:rsidRPr="009520C3" w:rsidRDefault="00864C89">
      <w:pPr>
        <w:rPr>
          <w:rFonts w:ascii="Times New Roman" w:hAnsi="Times New Roman" w:cs="Times New Roman"/>
          <w:sz w:val="24"/>
          <w:szCs w:val="24"/>
        </w:rPr>
      </w:pPr>
    </w:p>
    <w:p w14:paraId="1DF11336" w14:textId="7610FAF5" w:rsidR="009520C3" w:rsidRPr="009520C3" w:rsidRDefault="009520C3">
      <w:pPr>
        <w:rPr>
          <w:rFonts w:ascii="Times New Roman" w:hAnsi="Times New Roman" w:cs="Times New Roman"/>
          <w:sz w:val="24"/>
          <w:szCs w:val="24"/>
        </w:rPr>
      </w:pPr>
      <w:r w:rsidRPr="009520C3">
        <w:rPr>
          <w:rFonts w:ascii="Times New Roman" w:hAnsi="Times New Roman" w:cs="Times New Roman"/>
          <w:sz w:val="24"/>
          <w:szCs w:val="24"/>
        </w:rPr>
        <w:t>Currently the code in STEPWAT2 uses a threshold of 12.5% cover for which cheatgrass will begin to affect fire probability, derived from W</w:t>
      </w:r>
      <w:r w:rsidR="00EC7076">
        <w:rPr>
          <w:rFonts w:ascii="Times New Roman" w:hAnsi="Times New Roman" w:cs="Times New Roman"/>
          <w:sz w:val="24"/>
          <w:szCs w:val="24"/>
        </w:rPr>
        <w:t>h</w:t>
      </w:r>
      <w:r w:rsidRPr="009520C3">
        <w:rPr>
          <w:rFonts w:ascii="Times New Roman" w:hAnsi="Times New Roman" w:cs="Times New Roman"/>
          <w:sz w:val="24"/>
          <w:szCs w:val="24"/>
        </w:rPr>
        <w:t xml:space="preserve">isenant 1990. However, current studies (e.g. Bradley 2018) suggest that cheatgrass may begin to increase fire frequency at as low as 1-5% cover. Additionally, there is concern that the use of MODIS fire data underestimates fire </w:t>
      </w:r>
      <w:r w:rsidR="00A70554">
        <w:rPr>
          <w:rFonts w:ascii="Times New Roman" w:hAnsi="Times New Roman" w:cs="Times New Roman"/>
          <w:sz w:val="24"/>
          <w:szCs w:val="24"/>
        </w:rPr>
        <w:t>return intervals (FRI)</w:t>
      </w:r>
      <w:r w:rsidRPr="009520C3">
        <w:rPr>
          <w:rFonts w:ascii="Times New Roman" w:hAnsi="Times New Roman" w:cs="Times New Roman"/>
          <w:sz w:val="24"/>
          <w:szCs w:val="24"/>
        </w:rPr>
        <w:t>, further altering these relationships. Therefore, we have used fire data collected via MODIS and the USGS in B</w:t>
      </w:r>
      <w:r w:rsidR="00EC7076">
        <w:rPr>
          <w:rFonts w:ascii="Times New Roman" w:hAnsi="Times New Roman" w:cs="Times New Roman"/>
          <w:sz w:val="24"/>
          <w:szCs w:val="24"/>
        </w:rPr>
        <w:t>al</w:t>
      </w:r>
      <w:r w:rsidRPr="009520C3">
        <w:rPr>
          <w:rFonts w:ascii="Times New Roman" w:hAnsi="Times New Roman" w:cs="Times New Roman"/>
          <w:sz w:val="24"/>
          <w:szCs w:val="24"/>
        </w:rPr>
        <w:t xml:space="preserve">ch et al. 2013 to scale our current estimates </w:t>
      </w:r>
      <w:r w:rsidR="00547124">
        <w:rPr>
          <w:rFonts w:ascii="Times New Roman" w:hAnsi="Times New Roman" w:cs="Times New Roman"/>
          <w:sz w:val="24"/>
          <w:szCs w:val="24"/>
        </w:rPr>
        <w:t xml:space="preserve">of fire probability </w:t>
      </w:r>
      <w:r w:rsidRPr="009520C3">
        <w:rPr>
          <w:rFonts w:ascii="Times New Roman" w:hAnsi="Times New Roman" w:cs="Times New Roman"/>
          <w:sz w:val="24"/>
          <w:szCs w:val="24"/>
        </w:rPr>
        <w:t xml:space="preserve">for the underestimation of MODIS. The following relationship was derived: </w:t>
      </w:r>
    </w:p>
    <w:p w14:paraId="28095059" w14:textId="5E5EEA5D" w:rsidR="009520C3" w:rsidRPr="009520C3" w:rsidRDefault="009520C3" w:rsidP="009520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5C3F6D" w14:textId="77777777" w:rsidR="009520C3" w:rsidRPr="009520C3" w:rsidRDefault="009520C3" w:rsidP="009520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20C3">
        <w:rPr>
          <w:rFonts w:ascii="Times New Roman" w:eastAsia="Times New Roman" w:hAnsi="Times New Roman" w:cs="Times New Roman"/>
          <w:sz w:val="24"/>
          <w:szCs w:val="24"/>
        </w:rPr>
        <w:t>Table 3. Re-scaled FRIs and annual fire probabilities based on the relationship between FRI between MODIS and USGS fire data.  </w:t>
      </w:r>
    </w:p>
    <w:p w14:paraId="55F9EAF3" w14:textId="77777777" w:rsidR="009520C3" w:rsidRPr="009520C3" w:rsidRDefault="009520C3" w:rsidP="009520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20C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1335"/>
        <w:gridCol w:w="1305"/>
        <w:gridCol w:w="2430"/>
        <w:gridCol w:w="870"/>
        <w:gridCol w:w="1200"/>
      </w:tblGrid>
      <w:tr w:rsidR="009520C3" w:rsidRPr="009520C3" w14:paraId="4320F4DB" w14:textId="77777777" w:rsidTr="009520C3">
        <w:trPr>
          <w:trHeight w:val="675"/>
        </w:trPr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6FB74883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Cheatgrass % cover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6565BA6E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burned 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0AADFD15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 fire probability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FD2D06A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 fire probability USGS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65925EC7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B4AE431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 USGS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0C3" w:rsidRPr="009520C3" w14:paraId="74ABF115" w14:textId="77777777" w:rsidTr="009520C3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5E5338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5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AB6721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A04A62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0.003</w:t>
            </w:r>
            <w:r w:rsidRPr="0040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5272EF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1012CA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ADB2A9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Pr="00401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0C3" w:rsidRPr="009520C3" w14:paraId="127ED4F5" w14:textId="77777777" w:rsidTr="009520C3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4C9DDB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  <w:r w:rsidRPr="0095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508B57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E459A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0.005</w:t>
            </w:r>
            <w:r w:rsidRPr="0040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C0E9E2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D93AC6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B09631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 w:rsidRPr="00401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0C3" w:rsidRPr="009520C3" w14:paraId="68A8297F" w14:textId="77777777" w:rsidTr="009520C3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BC77EC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  <w:r w:rsidRPr="0095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516610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C538AB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0.009</w:t>
            </w:r>
            <w:r w:rsidRPr="0040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1BF58D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A7FEC2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E53ED5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401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0C3" w:rsidRPr="009520C3" w14:paraId="0166A9AF" w14:textId="77777777" w:rsidTr="009520C3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4CEF37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  <w:r w:rsidRPr="0095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81D10C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3D7873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0.008</w:t>
            </w:r>
            <w:r w:rsidRPr="0040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42AB5E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B51BF3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FE1B35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401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0C3" w:rsidRPr="009520C3" w14:paraId="72DA30FD" w14:textId="77777777" w:rsidTr="00401F06">
        <w:trPr>
          <w:trHeight w:val="31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884190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12.5</w:t>
            </w:r>
            <w:r w:rsidRPr="0095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482AD9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A09D99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0.011</w:t>
            </w:r>
            <w:r w:rsidRPr="0040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CADD76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9EBA68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61E6A6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401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0C3" w:rsidRPr="009520C3" w14:paraId="50160D1C" w14:textId="77777777" w:rsidTr="009520C3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37964D13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95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1C17B2CA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54329D8A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0.010</w:t>
            </w:r>
            <w:r w:rsidRPr="0040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34D28CC7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0C6F7960" w14:textId="77777777" w:rsidR="009520C3" w:rsidRPr="009520C3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9520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2B900B81" w14:textId="77777777" w:rsidR="009520C3" w:rsidRPr="00401F06" w:rsidRDefault="009520C3" w:rsidP="009520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401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6B3D808" w14:textId="0C735C10" w:rsidR="009520C3" w:rsidRPr="009520C3" w:rsidRDefault="009520C3">
      <w:pPr>
        <w:rPr>
          <w:rFonts w:ascii="Times New Roman" w:hAnsi="Times New Roman" w:cs="Times New Roman"/>
          <w:sz w:val="24"/>
          <w:szCs w:val="24"/>
        </w:rPr>
      </w:pPr>
    </w:p>
    <w:p w14:paraId="409F8B48" w14:textId="5A94FABE" w:rsidR="009520C3" w:rsidRDefault="0095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values (bolded) were graphed and fit to an equation:</w:t>
      </w:r>
    </w:p>
    <w:p w14:paraId="20642949" w14:textId="78FAB06C" w:rsidR="009520C3" w:rsidRDefault="00297E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5BBD9C" wp14:editId="3396013E">
            <wp:extent cx="5943600" cy="3072765"/>
            <wp:effectExtent l="0" t="0" r="0" b="133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DEE383-C98D-4FA8-A26E-E05A106748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4F201C" w14:textId="77777777" w:rsidR="00297EF5" w:rsidRPr="009520C3" w:rsidRDefault="00297EF5">
      <w:pPr>
        <w:rPr>
          <w:rFonts w:ascii="Times New Roman" w:hAnsi="Times New Roman" w:cs="Times New Roman"/>
          <w:sz w:val="24"/>
          <w:szCs w:val="24"/>
        </w:rPr>
      </w:pPr>
    </w:p>
    <w:p w14:paraId="61B433A1" w14:textId="247EC68F" w:rsidR="009520C3" w:rsidRDefault="00EC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gives us the final equation of </w:t>
      </w:r>
      <w:r w:rsidR="00907460" w:rsidRPr="00907460">
        <w:rPr>
          <w:rFonts w:ascii="Times New Roman" w:hAnsi="Times New Roman" w:cs="Times New Roman"/>
          <w:sz w:val="24"/>
          <w:szCs w:val="24"/>
        </w:rPr>
        <w:t>y = 0.0074x</w:t>
      </w:r>
      <w:r w:rsidR="00907460" w:rsidRPr="00907460">
        <w:rPr>
          <w:rFonts w:ascii="Times New Roman" w:hAnsi="Times New Roman" w:cs="Times New Roman"/>
          <w:sz w:val="24"/>
          <w:szCs w:val="24"/>
          <w:vertAlign w:val="superscript"/>
        </w:rPr>
        <w:t>0.0649</w:t>
      </w:r>
      <w:r w:rsidR="009074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cheatgrass</w:t>
      </w:r>
      <w:r w:rsidR="00A70554">
        <w:rPr>
          <w:rFonts w:ascii="Times New Roman" w:hAnsi="Times New Roman" w:cs="Times New Roman"/>
          <w:sz w:val="24"/>
          <w:szCs w:val="24"/>
        </w:rPr>
        <w:t xml:space="preserve"> vs fire </w:t>
      </w:r>
      <w:r w:rsidR="00547124">
        <w:rPr>
          <w:rFonts w:ascii="Times New Roman" w:hAnsi="Times New Roman" w:cs="Times New Roman"/>
          <w:sz w:val="24"/>
          <w:szCs w:val="24"/>
        </w:rPr>
        <w:t>probability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E2300" w14:textId="77777777" w:rsidR="00A70554" w:rsidRDefault="00A705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423CFF" w14:textId="75B2D0CF" w:rsidR="00EC7076" w:rsidRPr="009520C3" w:rsidRDefault="00EC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Cited:</w:t>
      </w:r>
    </w:p>
    <w:p w14:paraId="0A036609" w14:textId="164DC0A0" w:rsidR="009520C3" w:rsidRPr="009520C3" w:rsidRDefault="009520C3" w:rsidP="009520C3">
      <w:pPr>
        <w:pStyle w:val="paragraph"/>
        <w:ind w:left="720" w:hanging="720"/>
        <w:textAlignment w:val="baseline"/>
      </w:pPr>
      <w:r w:rsidRPr="009520C3">
        <w:rPr>
          <w:rStyle w:val="normaltextrun"/>
        </w:rPr>
        <w:t>B</w:t>
      </w:r>
      <w:r w:rsidR="00EC7076">
        <w:rPr>
          <w:rStyle w:val="normaltextrun"/>
        </w:rPr>
        <w:t>al</w:t>
      </w:r>
      <w:r w:rsidRPr="009520C3">
        <w:rPr>
          <w:rStyle w:val="normaltextrun"/>
        </w:rPr>
        <w:t>ch, J. K., B. A. Bradley, C. M. D’Antonio, and J. Gómez-Dans. 2013. Introduced annual grass increases regional fire activity across the arid western USA (1980–2009). Global Change Biology 19:173–183.</w:t>
      </w:r>
      <w:r w:rsidRPr="009520C3">
        <w:rPr>
          <w:rStyle w:val="eop"/>
        </w:rPr>
        <w:t> </w:t>
      </w:r>
    </w:p>
    <w:p w14:paraId="3F6E1EA4" w14:textId="77777777" w:rsidR="009520C3" w:rsidRPr="009520C3" w:rsidRDefault="009520C3" w:rsidP="009520C3">
      <w:pPr>
        <w:pStyle w:val="paragraph"/>
        <w:ind w:left="720" w:hanging="720"/>
        <w:textAlignment w:val="baseline"/>
      </w:pPr>
      <w:r w:rsidRPr="009520C3">
        <w:rPr>
          <w:rStyle w:val="normaltextrun"/>
        </w:rPr>
        <w:t xml:space="preserve">Bradley, B. A. </w:t>
      </w:r>
      <w:r w:rsidRPr="009520C3">
        <w:rPr>
          <w:rStyle w:val="normaltextrun"/>
          <w:i/>
          <w:iCs/>
        </w:rPr>
        <w:t>et al.</w:t>
      </w:r>
      <w:r w:rsidRPr="009520C3">
        <w:rPr>
          <w:rStyle w:val="normaltextrun"/>
        </w:rPr>
        <w:t xml:space="preserve"> (2018). Cheatgrass (Bromus tectorum) distribution in the intermountain Western United States and its relationship to fire frequency, seasonality, and ignitions. </w:t>
      </w:r>
      <w:r w:rsidRPr="009520C3">
        <w:rPr>
          <w:rStyle w:val="normaltextrun"/>
          <w:i/>
          <w:iCs/>
        </w:rPr>
        <w:t>Biol Invasions</w:t>
      </w:r>
      <w:r w:rsidRPr="009520C3">
        <w:rPr>
          <w:rStyle w:val="normaltextrun"/>
        </w:rPr>
        <w:t xml:space="preserve"> 20, 1493–1506.</w:t>
      </w:r>
      <w:r w:rsidRPr="009520C3">
        <w:rPr>
          <w:rStyle w:val="eop"/>
        </w:rPr>
        <w:t> </w:t>
      </w:r>
    </w:p>
    <w:p w14:paraId="7E9A5C55" w14:textId="77777777" w:rsidR="009520C3" w:rsidRPr="009520C3" w:rsidRDefault="009520C3" w:rsidP="009520C3">
      <w:pPr>
        <w:pStyle w:val="paragraph"/>
        <w:ind w:left="720" w:hanging="720"/>
        <w:textAlignment w:val="baseline"/>
      </w:pPr>
      <w:r w:rsidRPr="009520C3">
        <w:rPr>
          <w:rStyle w:val="normaltextrun"/>
        </w:rPr>
        <w:t>Whisenant, Steve G. (1990). Changing fire frequencies on Idaho's Snake River Plains: ecological and management implications. Pages 4-10 In: McArthur, E. Durant; Romney, Evan M.; Smith, Stanley D.; Tueller, Paul T. (eds.). Proceedings - Symposium on cheatgrass invasion, shrub die-off, and other aspects of shrub biology and management. General Technical Report INT-GTR-276. Ogden, UT: USDA Forest Service.</w:t>
      </w:r>
      <w:r w:rsidRPr="009520C3">
        <w:rPr>
          <w:rStyle w:val="eop"/>
        </w:rPr>
        <w:t> </w:t>
      </w:r>
    </w:p>
    <w:p w14:paraId="45A138D4" w14:textId="77777777" w:rsidR="009520C3" w:rsidRPr="009520C3" w:rsidRDefault="009520C3">
      <w:pPr>
        <w:rPr>
          <w:rFonts w:ascii="Times New Roman" w:hAnsi="Times New Roman" w:cs="Times New Roman"/>
          <w:sz w:val="24"/>
          <w:szCs w:val="24"/>
        </w:rPr>
      </w:pPr>
    </w:p>
    <w:sectPr w:rsidR="009520C3" w:rsidRPr="0095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89"/>
    <w:rsid w:val="00066508"/>
    <w:rsid w:val="00297EF5"/>
    <w:rsid w:val="003F13DD"/>
    <w:rsid w:val="00401F06"/>
    <w:rsid w:val="00547124"/>
    <w:rsid w:val="00864C89"/>
    <w:rsid w:val="00907460"/>
    <w:rsid w:val="009520C3"/>
    <w:rsid w:val="00A70554"/>
    <w:rsid w:val="00E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6413"/>
  <w15:chartTrackingRefBased/>
  <w15:docId w15:val="{32D2F760-DE67-403F-8A10-9C13181B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20C3"/>
  </w:style>
  <w:style w:type="character" w:customStyle="1" w:styleId="eop">
    <w:name w:val="eop"/>
    <w:basedOn w:val="DefaultParagraphFont"/>
    <w:rsid w:val="0095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/>
              <a:t>          Figure</a:t>
            </a:r>
            <a:r>
              <a:rPr lang="en-US" sz="1200" baseline="0"/>
              <a:t> 1. Relationship of cheatgrass and fire return intervals </a:t>
            </a:r>
            <a:r>
              <a:rPr lang="en-US" sz="1200"/>
              <a:t>rescaled using</a:t>
            </a:r>
            <a:r>
              <a:rPr lang="en-US" sz="1200" baseline="0"/>
              <a:t> relationships provided in Blach et al. 2013. </a:t>
            </a:r>
            <a:endParaRPr lang="en-US" sz="1200"/>
          </a:p>
        </c:rich>
      </c:tx>
      <c:layout>
        <c:manualLayout>
          <c:xMode val="edge"/>
          <c:yMode val="edge"/>
          <c:x val="0.13227135617545771"/>
          <c:y val="0.847824691204937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408864767073723"/>
          <c:y val="4.9441654438864432E-2"/>
          <c:w val="0.82920892442208027"/>
          <c:h val="0.66792499203495515"/>
        </c:manualLayout>
      </c:layout>
      <c:scatterChart>
        <c:scatterStyle val="lineMarker"/>
        <c:varyColors val="0"/>
        <c:ser>
          <c:idx val="0"/>
          <c:order val="0"/>
          <c:tx>
            <c:v>Rescaled Fire Probability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trendline>
            <c:spPr>
              <a:ln w="15875" cap="rnd">
                <a:solidFill>
                  <a:schemeClr val="dk1">
                    <a:tint val="88500"/>
                  </a:schemeClr>
                </a:solidFill>
                <a:prstDash val="dash"/>
              </a:ln>
              <a:effectLst/>
            </c:spPr>
            <c:trendlineType val="power"/>
            <c:dispRSqr val="1"/>
            <c:dispEq val="1"/>
            <c:trendlineLbl>
              <c:layout>
                <c:manualLayout>
                  <c:x val="4.034423581667676E-2"/>
                  <c:y val="0.1155779892051621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Sheet1!$A$11:$A$16</c:f>
              <c:numCache>
                <c:formatCode>General</c:formatCode>
                <c:ptCount val="6"/>
                <c:pt idx="0">
                  <c:v>9.9999999999999995E-7</c:v>
                </c:pt>
                <c:pt idx="1">
                  <c:v>0.5</c:v>
                </c:pt>
                <c:pt idx="2">
                  <c:v>2.5</c:v>
                </c:pt>
                <c:pt idx="3">
                  <c:v>7.5</c:v>
                </c:pt>
                <c:pt idx="4">
                  <c:v>12.5</c:v>
                </c:pt>
                <c:pt idx="5">
                  <c:v>15</c:v>
                </c:pt>
              </c:numCache>
            </c:numRef>
          </c:xVal>
          <c:yVal>
            <c:numRef>
              <c:f>Sheet1!$C$11:$C$16</c:f>
              <c:numCache>
                <c:formatCode>General</c:formatCode>
                <c:ptCount val="6"/>
                <c:pt idx="0">
                  <c:v>3.2666666666666669E-3</c:v>
                </c:pt>
                <c:pt idx="1">
                  <c:v>4.6666666666666671E-3</c:v>
                </c:pt>
                <c:pt idx="2">
                  <c:v>8.6666666666666663E-3</c:v>
                </c:pt>
                <c:pt idx="3">
                  <c:v>8.3333333333333332E-3</c:v>
                </c:pt>
                <c:pt idx="4">
                  <c:v>1.06E-2</c:v>
                </c:pt>
                <c:pt idx="5">
                  <c:v>9.5333333333333329E-3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B0F-4297-8859-B6FE6AB51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214064"/>
        <c:axId val="483215376"/>
      </c:scatterChart>
      <c:valAx>
        <c:axId val="483214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Cheatgrass cover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3215376"/>
        <c:crosses val="autoZero"/>
        <c:crossBetween val="midCat"/>
        <c:majorUnit val="1"/>
        <c:minorUnit val="0.5"/>
      </c:valAx>
      <c:valAx>
        <c:axId val="4832153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Annual Fire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32140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5597816215985"/>
          <c:y val="0.45150612079001928"/>
          <c:w val="0.40308536059858191"/>
          <c:h val="0.2261709412307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13DDCE883354E945FD8DEFB21DB88" ma:contentTypeVersion="10" ma:contentTypeDescription="Create a new document." ma:contentTypeScope="" ma:versionID="d581763a1a755a2cb6aeb75316d03564">
  <xsd:schema xmlns:xsd="http://www.w3.org/2001/XMLSchema" xmlns:xs="http://www.w3.org/2001/XMLSchema" xmlns:p="http://schemas.microsoft.com/office/2006/metadata/properties" xmlns:ns3="0be7d858-eb85-4b08-83a6-ef0ae8822c0b" targetNamespace="http://schemas.microsoft.com/office/2006/metadata/properties" ma:root="true" ma:fieldsID="9e2574221d40ded69ddefd4f6ac72292" ns3:_="">
    <xsd:import namespace="0be7d858-eb85-4b08-83a6-ef0ae8822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d858-eb85-4b08-83a6-ef0ae8822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1B840-95D3-4FE2-BB6F-42D9AA2DF8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e7d858-eb85-4b08-83a6-ef0ae8822c0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FB1BDA-4017-4159-81D6-7BB34AD7B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B40C3-4144-4832-96DB-93B3B2D1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7d858-eb85-4b08-83a6-ef0ae8822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England-Johns, Maggie</dc:creator>
  <cp:keywords/>
  <dc:description/>
  <cp:lastModifiedBy>England-Johns, Maggie</cp:lastModifiedBy>
  <cp:revision>6</cp:revision>
  <dcterms:created xsi:type="dcterms:W3CDTF">2020-02-04T18:44:00Z</dcterms:created>
  <dcterms:modified xsi:type="dcterms:W3CDTF">2020-02-04T19:54:00Z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0x010100BD613DDCE883354E945FD8DEFB21DB88</vt:lpwstr>
  </property>
</Properties>
</file>