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9e33807a828e8dba4e8eef40afb236509eb04b"/>
    <w:p>
      <w:pPr>
        <w:pStyle w:val="Heading1"/>
      </w:pPr>
      <w:r>
        <w:t xml:space="preserve">False Precision in Panel-Based Sharpe Backtests: A Practical Date-Aggregation Diagnostic</w:t>
      </w:r>
    </w:p>
    <w:bookmarkEnd w:id="20"/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Panel-based backtests often report Sharpe ratios after evaluating many</w:t>
      </w:r>
      <w:r>
        <w:t xml:space="preserve"> </w:t>
      </w:r>
      <w:r>
        <w:t xml:space="preserve">selected asset-date rows. In practice, however, a portfolio earns one</w:t>
      </w:r>
      <w:r>
        <w:t xml:space="preserve"> </w:t>
      </w:r>
      <w:r>
        <w:t xml:space="preserve">aggregate return per period. Treating same-date rows as independent</w:t>
      </w:r>
      <w:r>
        <w:t xml:space="preserve"> </w:t>
      </w:r>
      <w:r>
        <w:t xml:space="preserve">performance observations can therefore create false precision. This</w:t>
      </w:r>
      <w:r>
        <w:t xml:space="preserve"> </w:t>
      </w:r>
      <w:r>
        <w:t xml:space="preserve">article provides a practical date-aggregation diagnostic for portfolio</w:t>
      </w:r>
      <w:r>
        <w:t xml:space="preserve"> </w:t>
      </w:r>
      <w:r>
        <w:t xml:space="preserve">researchers, asset managers, and backtest reviewers. The workflow first</w:t>
      </w:r>
      <w:r>
        <w:t xml:space="preserve"> </w:t>
      </w:r>
      <w:r>
        <w:t xml:space="preserve">aggregates selected rows into date-level portfolio returns, then tests</w:t>
      </w:r>
      <w:r>
        <w:t xml:space="preserve"> </w:t>
      </w:r>
      <w:r>
        <w:t xml:space="preserve">Sharpe evidence on that investor-level series using robust inference,</w:t>
      </w:r>
      <w:r>
        <w:t xml:space="preserve"> </w:t>
      </w:r>
      <w:r>
        <w:t xml:space="preserve">and finally reports the gap between row-pooled and date-level</w:t>
      </w:r>
      <w:r>
        <w:t xml:space="preserve"> </w:t>
      </w:r>
      <w:r>
        <w:t xml:space="preserve">uncertainty. Public Kenneth French and AQR examples show how the audit</w:t>
      </w:r>
      <w:r>
        <w:t xml:space="preserve"> </w:t>
      </w:r>
      <w:r>
        <w:t xml:space="preserve">preserves strong benchmark momentum evidence while flagging weaker panel</w:t>
      </w:r>
      <w:r>
        <w:t xml:space="preserve"> </w:t>
      </w:r>
      <w:r>
        <w:t xml:space="preserve">claims and pre-aggregated cases where row-level diagnostics are not</w:t>
      </w:r>
      <w:r>
        <w:t xml:space="preserve"> </w:t>
      </w:r>
      <w:r>
        <w:t xml:space="preserve">available. Simulation stress tests show that row-naive Sharpe tests can</w:t>
      </w:r>
      <w:r>
        <w:t xml:space="preserve"> </w:t>
      </w:r>
      <w:r>
        <w:t xml:space="preserve">reject about 35 percent of the time at a nominal 5 percent level under</w:t>
      </w:r>
      <w:r>
        <w:t xml:space="preserve"> </w:t>
      </w:r>
      <w:r>
        <w:t xml:space="preserve">dependent null designs with no true edge. The paper is a due-diligence</w:t>
      </w:r>
      <w:r>
        <w:t xml:space="preserve"> </w:t>
      </w:r>
      <w:r>
        <w:t xml:space="preserve">workflow, not a new trading rule or asset-pricing anomaly.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Sharpe ratio; backtesting; performance measurement;</w:t>
      </w:r>
      <w:r>
        <w:t xml:space="preserve"> </w:t>
      </w:r>
      <w:r>
        <w:t xml:space="preserve">portfolio evaluation; panel data; false precision</w:t>
      </w:r>
    </w:p>
    <w:bookmarkEnd w:id="21"/>
    <w:bookmarkStart w:id="22" w:name="X1acd4870a6f96a9ddcfce39b967e01d11868b77"/>
    <w:p>
      <w:pPr>
        <w:pStyle w:val="Heading1"/>
      </w:pPr>
      <w:r>
        <w:t xml:space="preserve">Introduction: a practical check for false precision</w:t>
      </w:r>
    </w:p>
    <w:p>
      <w:pPr>
        <w:pStyle w:val="FirstParagraph"/>
      </w:pPr>
      <w:r>
        <w:t xml:space="preserve">Systematic-investment research often starts with a panel. A researcher</w:t>
      </w:r>
      <w:r>
        <w:t xml:space="preserve"> </w:t>
      </w:r>
      <w:r>
        <w:t xml:space="preserve">scores many assets or portfolios on each date, selects the rows that pass</w:t>
      </w:r>
      <w:r>
        <w:t xml:space="preserve"> </w:t>
      </w:r>
      <w:r>
        <w:t xml:space="preserve">a signal screen, and reports a Sharpe ratio for the resulting rule. This</w:t>
      </w:r>
      <w:r>
        <w:t xml:space="preserve"> </w:t>
      </w:r>
      <w:r>
        <w:t xml:space="preserve">workflow is natural in stock selection, factor screening, anomaly</w:t>
      </w:r>
      <w:r>
        <w:t xml:space="preserve"> </w:t>
      </w:r>
      <w:r>
        <w:t xml:space="preserve">testing, and automated strategy development. The practical reporting</w:t>
      </w:r>
      <w:r>
        <w:t xml:space="preserve"> </w:t>
      </w:r>
      <w:r>
        <w:t xml:space="preserve">problem is that the selected rows are not the payoff boundary. A</w:t>
      </w:r>
      <w:r>
        <w:t xml:space="preserve"> </w:t>
      </w:r>
      <w:r>
        <w:t xml:space="preserve">portfolio return is realized once per date.</w:t>
      </w:r>
    </w:p>
    <w:p>
      <w:pPr>
        <w:pStyle w:val="BodyText"/>
      </w:pPr>
      <w:r>
        <w:t xml:space="preserve">If selected asset-date rows are treated as independent observations, a</w:t>
      </w:r>
      <w:r>
        <w:t xml:space="preserve"> </w:t>
      </w:r>
      <w:r>
        <w:t xml:space="preserve">backtest can look much more precise than the realized date-level</w:t>
      </w:r>
      <w:r>
        <w:t xml:space="preserve"> </w:t>
      </w:r>
      <w:r>
        <w:t xml:space="preserve">portfolio evidence supports. Fifty selected rows on the same date are</w:t>
      </w:r>
      <w:r>
        <w:t xml:space="preserve"> </w:t>
      </w:r>
      <w:r>
        <w:t xml:space="preserve">not fifty independent performance observations when those rows share</w:t>
      </w:r>
      <w:r>
        <w:t xml:space="preserve"> </w:t>
      </w:r>
      <w:r>
        <w:t xml:space="preserve">market shocks, factor shocks, or common implementation conditions. The</w:t>
      </w:r>
      <w:r>
        <w:t xml:space="preserve"> </w:t>
      </w:r>
      <w:r>
        <w:t xml:space="preserve">number that matters for Sharpe-ratio inference is the date-return series</w:t>
      </w:r>
      <w:r>
        <w:t xml:space="preserve"> </w:t>
      </w:r>
      <w:r>
        <w:t xml:space="preserve">generated by the declared portfolio rule.</w:t>
      </w:r>
    </w:p>
    <w:p>
      <w:pPr>
        <w:pStyle w:val="BodyText"/>
      </w:pPr>
      <w:r>
        <w:t xml:space="preserve">This article provides a practical audit workflow for portfolio</w:t>
      </w:r>
      <w:r>
        <w:t xml:space="preserve"> </w:t>
      </w:r>
      <w:r>
        <w:t xml:space="preserve">researchers and asset managers reviewing panel-based Sharpe backtests.</w:t>
      </w:r>
      <w:r>
        <w:t xml:space="preserve"> </w:t>
      </w:r>
      <w:r>
        <w:t xml:space="preserve">It is not a new trading rule, not a new anomaly, and not a claim that one</w:t>
      </w:r>
      <w:r>
        <w:t xml:space="preserve"> </w:t>
      </w:r>
      <w:r>
        <w:t xml:space="preserve">new statistic should replace standard robust inference. The contribution</w:t>
      </w:r>
      <w:r>
        <w:t xml:space="preserve"> </w:t>
      </w:r>
      <w:r>
        <w:t xml:space="preserve">is operational: it tells a reviewer how to check whether Sharpe-ratio</w:t>
      </w:r>
      <w:r>
        <w:t xml:space="preserve"> </w:t>
      </w:r>
      <w:r>
        <w:t xml:space="preserve">evidence is reported on the return series an investor could actually</w:t>
      </w:r>
      <w:r>
        <w:t xml:space="preserve"> </w:t>
      </w:r>
      <w:r>
        <w:t xml:space="preserve">receive.</w:t>
      </w:r>
    </w:p>
    <w:p>
      <w:pPr>
        <w:pStyle w:val="BodyText"/>
      </w:pPr>
      <w:r>
        <w:t xml:space="preserve">The workflow asks three questions. First, does the signal survive after</w:t>
      </w:r>
      <w:r>
        <w:t xml:space="preserve"> </w:t>
      </w:r>
      <w:r>
        <w:t xml:space="preserve">selected asset-date rows are aggregated into one active portfolio return</w:t>
      </w:r>
      <w:r>
        <w:t xml:space="preserve"> </w:t>
      </w:r>
      <w:r>
        <w:t xml:space="preserve">per date? Second, does the date-level Sharpe remain significant under</w:t>
      </w:r>
      <w:r>
        <w:t xml:space="preserve"> </w:t>
      </w:r>
      <w:r>
        <w:t xml:space="preserve">robust inference? Third, how much precision was created by the</w:t>
      </w:r>
      <w:r>
        <w:t xml:space="preserve"> </w:t>
      </w:r>
      <w:r>
        <w:t xml:space="preserve">row-pooled analysis relative to the date-level portfolio evidence? The</w:t>
      </w:r>
      <w:r>
        <w:t xml:space="preserve"> </w:t>
      </w:r>
      <w:r>
        <w:t xml:space="preserve">answer to the third question is reported as a Sharpe uncertainty-</w:t>
      </w:r>
      <w:r>
        <w:t xml:space="preserve"> </w:t>
      </w:r>
      <w:r>
        <w:t xml:space="preserve">inflation check. It is a descriptive warning label, not the rejection</w:t>
      </w:r>
      <w:r>
        <w:t xml:space="preserve"> </w:t>
      </w:r>
      <w:r>
        <w:t xml:space="preserve">rule.</w:t>
      </w:r>
    </w:p>
    <w:p>
      <w:pPr>
        <w:pStyle w:val="BodyText"/>
      </w:pPr>
      <w:r>
        <w:t xml:space="preserve">The public examples use Kenneth French and AQR data because they are</w:t>
      </w:r>
      <w:r>
        <w:t xml:space="preserve"> </w:t>
      </w:r>
      <w:r>
        <w:t xml:space="preserve">transparent and reproducible. The examples are deliberately modest:</w:t>
      </w:r>
      <w:r>
        <w:t xml:space="preserve"> </w:t>
      </w:r>
      <w:r>
        <w:t xml:space="preserve">canonical French winner-minus-loser (WML) momentum survives the</w:t>
      </w:r>
      <w:r>
        <w:t xml:space="preserve"> </w:t>
      </w:r>
      <w:r>
        <w:t xml:space="preserve">diagnostic, a weaker French Size/BM skipped-momentum stress case fails,</w:t>
      </w:r>
      <w:r>
        <w:t xml:space="preserve"> </w:t>
      </w:r>
      <w:r>
        <w:t xml:space="preserve">and AQR factor series are treated as time-series benchmarks because</w:t>
      </w:r>
      <w:r>
        <w:t xml:space="preserve"> </w:t>
      </w:r>
      <w:r>
        <w:t xml:space="preserve">public constituent-level rows are not available. The simulation evidence</w:t>
      </w:r>
      <w:r>
        <w:t xml:space="preserve"> </w:t>
      </w:r>
      <w:r>
        <w:t xml:space="preserve">then asks how large the false-precision problem can be in a controlled</w:t>
      </w:r>
      <w:r>
        <w:t xml:space="preserve"> </w:t>
      </w:r>
      <w:r>
        <w:t xml:space="preserve">setting. Under dependent null designs with no true date-level edge,</w:t>
      </w:r>
      <w:r>
        <w:t xml:space="preserve"> </w:t>
      </w:r>
      <w:r>
        <w:t xml:space="preserve">row-naive tests reject about 35 percent of the time at nominal 5 percent</w:t>
      </w:r>
      <w:r>
        <w:t xml:space="preserve"> </w:t>
      </w:r>
      <w:r>
        <w:t xml:space="preserve">size, while date-level HAC and dependent-bootstrap procedures remain much</w:t>
      </w:r>
      <w:r>
        <w:t xml:space="preserve"> </w:t>
      </w:r>
      <w:r>
        <w:t xml:space="preserve">closer to nominal size.</w:t>
      </w:r>
    </w:p>
    <w:p>
      <w:pPr>
        <w:pStyle w:val="BodyText"/>
      </w:pPr>
      <w:r>
        <w:t xml:space="preserve">The intended reader is a portfolio evaluator who must decide whether a</w:t>
      </w:r>
      <w:r>
        <w:t xml:space="preserve"> </w:t>
      </w:r>
      <w:r>
        <w:t xml:space="preserve">reported backtest is strong enough to justify further research, paper</w:t>
      </w:r>
      <w:r>
        <w:t xml:space="preserve"> </w:t>
      </w:r>
      <w:r>
        <w:t xml:space="preserve">trading, or production due diligence. For that reader, the central</w:t>
      </w:r>
      <w:r>
        <w:t xml:space="preserve"> </w:t>
      </w:r>
      <w:r>
        <w:t xml:space="preserve">question is not whether every possible dependence model has been solved.</w:t>
      </w:r>
      <w:r>
        <w:t xml:space="preserve"> </w:t>
      </w:r>
      <w:r>
        <w:t xml:space="preserve">It is whether the reported Sharpe evidence was attached to the payoff</w:t>
      </w:r>
      <w:r>
        <w:t xml:space="preserve"> </w:t>
      </w:r>
      <w:r>
        <w:t xml:space="preserve">series that an investor could actually receive. A diagnostic that</w:t>
      </w:r>
      <w:r>
        <w:t xml:space="preserve"> </w:t>
      </w:r>
      <w:r>
        <w:t xml:space="preserve">prevents row counts from being mistaken for independent performance dates</w:t>
      </w:r>
      <w:r>
        <w:t xml:space="preserve"> </w:t>
      </w:r>
      <w:r>
        <w:t xml:space="preserve">can improve the review process even when the final investment decision</w:t>
      </w:r>
      <w:r>
        <w:t xml:space="preserve"> </w:t>
      </w:r>
      <w:r>
        <w:t xml:space="preserve">still depends on costs, liquidity, capacity, and business constraints.</w:t>
      </w:r>
    </w:p>
    <w:p>
      <w:pPr>
        <w:pStyle w:val="BodyText"/>
      </w:pPr>
      <w:r>
        <w:t xml:space="preserve">The paper is organized around use rather than theory. Section 2 explains</w:t>
      </w:r>
      <w:r>
        <w:t xml:space="preserve"> </w:t>
      </w:r>
      <w:r>
        <w:t xml:space="preserve">the date-level payoff boundary. Section 3 gives the diagnostic checklist</w:t>
      </w:r>
      <w:r>
        <w:t xml:space="preserve"> </w:t>
      </w:r>
      <w:r>
        <w:t xml:space="preserve">for portfolio evaluators. Section 4 reports worked public examples.</w:t>
      </w:r>
      <w:r>
        <w:t xml:space="preserve"> </w:t>
      </w:r>
      <w:r>
        <w:t xml:space="preserve">Section 5 gives the simulation stress test. Section 6 summarizes</w:t>
      </w:r>
      <w:r>
        <w:t xml:space="preserve"> </w:t>
      </w:r>
      <w:r>
        <w:t xml:space="preserve">practical reporting guidance and limitations. Algebra and extended</w:t>
      </w:r>
      <w:r>
        <w:t xml:space="preserve"> </w:t>
      </w:r>
      <w:r>
        <w:t xml:space="preserve">tables are left to the technical appendix.</w:t>
      </w:r>
    </w:p>
    <w:bookmarkEnd w:id="22"/>
    <w:bookmarkStart w:id="23" w:name="X76e1c815b12644ff3a742b3626010363c375561"/>
    <w:p>
      <w:pPr>
        <w:pStyle w:val="Heading1"/>
      </w:pPr>
      <w:r>
        <w:t xml:space="preserve">The practical problem: rows are not the payoff boundary</w:t>
      </w:r>
    </w:p>
    <w:p>
      <w:pPr>
        <w:pStyle w:val="FirstParagraph"/>
      </w:pPr>
      <w:r>
        <w:t xml:space="preserve">A panel backtest usually begins with observations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indexes dates,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</w:t>
      </w:r>
      <w:r>
        <w:t xml:space="preserve"> </w:t>
      </w:r>
      <w:r>
        <w:t xml:space="preserve">assets or portfolios,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is a signal, and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next-period return. A rule selects a set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of rows on each date and</w:t>
      </w:r>
      <w:r>
        <w:t xml:space="preserve"> </w:t>
      </w:r>
      <w:r>
        <w:t xml:space="preserve">assigns portfolio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. The economic performance object is</w:t>
      </w:r>
      <w:r>
        <w:t xml:space="preserve"> </w:t>
      </w:r>
      <w:r>
        <w:t xml:space="preserve">the date-level portfolio return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selected rows are inputs to one portfolio return for that</w:t>
      </w:r>
      <w:r>
        <w:t xml:space="preserve"> </w:t>
      </w:r>
      <w:r>
        <w:t xml:space="preserve">date. The date-return series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, not the multiplied set of</w:t>
      </w:r>
      <w:r>
        <w:t xml:space="preserve"> </w:t>
      </w:r>
      <w:r>
        <w:t xml:space="preserve">selected rows, is the object on which Sharpe-ratio evidence should be</w:t>
      </w:r>
      <w:r>
        <w:t xml:space="preserve"> </w:t>
      </w:r>
      <w:r>
        <w:t xml:space="preserve">tested.</w:t>
      </w:r>
    </w:p>
    <w:p>
      <w:pPr>
        <w:pStyle w:val="BodyText"/>
      </w:pPr>
      <w:r>
        <w:t xml:space="preserve">The row-naive alternative instead treats selected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as if</w:t>
      </w:r>
      <w:r>
        <w:t xml:space="preserve"> </w:t>
      </w:r>
      <w:r>
        <w:t xml:space="preserve">they were independent performance observations. That can be a useful</w:t>
      </w:r>
      <w:r>
        <w:t xml:space="preserve"> </w:t>
      </w:r>
      <w:r>
        <w:t xml:space="preserve">diagnostic comparator because it shows what a common but unsafe workflow</w:t>
      </w:r>
      <w:r>
        <w:t xml:space="preserve"> </w:t>
      </w:r>
      <w:r>
        <w:t xml:space="preserve">would conclude. It should not be the confirmatory test when the</w:t>
      </w:r>
      <w:r>
        <w:t xml:space="preserve"> </w:t>
      </w:r>
      <w:r>
        <w:t xml:space="preserve">investment claim is about a portfolio return.</w:t>
      </w:r>
    </w:p>
    <w:p>
      <w:pPr>
        <w:pStyle w:val="BodyText"/>
      </w:pPr>
      <w:r>
        <w:t xml:space="preserve">The issue is a portfolio-performance version of a familiar design-effect</w:t>
      </w:r>
      <w:r>
        <w:t xml:space="preserve"> </w:t>
      </w:r>
      <w:r>
        <w:t xml:space="preserve">problem. When observations within a cluster share common shocks, the</w:t>
      </w:r>
      <w:r>
        <w:t xml:space="preserve"> </w:t>
      </w:r>
      <w:r>
        <w:t xml:space="preserve">effective amount of information is smaller than the raw row count. In</w:t>
      </w:r>
      <w:r>
        <w:t xml:space="preserve"> </w:t>
      </w:r>
      <w:r>
        <w:t xml:space="preserve">portfolio panels, the natural cluster is often the decision date. The</w:t>
      </w:r>
      <w:r>
        <w:t xml:space="preserve"> </w:t>
      </w:r>
      <w:r>
        <w:t xml:space="preserve">same-date selected rows may diversify idiosyncratic noise, but they do</w:t>
      </w:r>
      <w:r>
        <w:t xml:space="preserve"> </w:t>
      </w:r>
      <w:r>
        <w:t xml:space="preserve">not create additional time-series observations for Sharpe inference.</w:t>
      </w:r>
      <w:r>
        <w:t xml:space="preserve"> </w:t>
      </w:r>
      <w:r>
        <w:t xml:space="preserve">This is why a rule can have thousands of selected rows and still only a</w:t>
      </w:r>
      <w:r>
        <w:t xml:space="preserve"> </w:t>
      </w:r>
      <w:r>
        <w:t xml:space="preserve">few thousand, or a few hundred, economically relevant return dates.</w:t>
      </w:r>
    </w:p>
    <w:p>
      <w:pPr>
        <w:pStyle w:val="BodyText"/>
      </w:pPr>
      <w:r>
        <w:t xml:space="preserve">The Sharpe uncertainty-inflation check summarizes the reporting gap: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Sharpe uncertainty inflation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date-level long-run variance of the Sharpe estimate</m:t>
              </m:r>
            </m:num>
            <m:den>
              <m:r>
                <m:rPr>
                  <m:nor/>
                  <m:sty m:val="p"/>
                </m:rPr>
                <m:t>row-pooled IID variance of the Sharpe estimate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check compares the uncertainty attached to the realized</w:t>
      </w:r>
      <w:r>
        <w:t xml:space="preserve"> </w:t>
      </w:r>
      <w:r>
        <w:t xml:space="preserve">date-level portfolio return series with the uncertainty a row-pooled</w:t>
      </w:r>
      <w:r>
        <w:t xml:space="preserve"> </w:t>
      </w:r>
      <w:r>
        <w:t xml:space="preserve">independent-observation report would attach to the selected rows. A value</w:t>
      </w:r>
      <w:r>
        <w:t xml:space="preserve"> </w:t>
      </w:r>
      <w:r>
        <w:t xml:space="preserve">above one indicates that the row-pooled report is too precise relative to</w:t>
      </w:r>
      <w:r>
        <w:t xml:space="preserve"> </w:t>
      </w:r>
      <w:r>
        <w:t xml:space="preserve">the date-level portfolio evidence. The diagnostic is descriptive; the</w:t>
      </w:r>
      <w:r>
        <w:t xml:space="preserve"> </w:t>
      </w:r>
      <w:r>
        <w:t xml:space="preserve">reported decision still comes from robust date-level inference, menu</w:t>
      </w:r>
      <w:r>
        <w:t xml:space="preserve"> </w:t>
      </w:r>
      <w:r>
        <w:t xml:space="preserve">adjustment, placebo checks, and turnover-cost sensitivity. The technical</w:t>
      </w:r>
      <w:r>
        <w:t xml:space="preserve"> </w:t>
      </w:r>
      <w:r>
        <w:t xml:space="preserve">appendix gives the formal version for readers who want the algebra.</w:t>
      </w:r>
    </w:p>
    <w:bookmarkEnd w:id="23"/>
    <w:bookmarkStart w:id="24" w:name="a-portfolio-backtest-audit-workflow"/>
    <w:p>
      <w:pPr>
        <w:pStyle w:val="Heading1"/>
      </w:pPr>
      <w:r>
        <w:t xml:space="preserve">A portfolio backtest audit workflow</w:t>
      </w:r>
    </w:p>
    <w:p>
      <w:pPr>
        <w:pStyle w:val="FirstParagraph"/>
      </w:pPr>
      <w:r>
        <w:t xml:space="preserve">For a portfolio researcher reviewing a panel backtest, the diagnostic can</w:t>
      </w:r>
      <w:r>
        <w:t xml:space="preserve"> </w:t>
      </w:r>
      <w:r>
        <w:t xml:space="preserve">be implemented as the following checklist.</w:t>
      </w:r>
    </w:p>
    <w:p>
      <w:pPr>
        <w:pStyle w:val="BodyText"/>
      </w:pPr>
      <w:r>
        <w:rPr>
          <w:b/>
          <w:bCs/>
        </w:rPr>
        <w:t xml:space="preserve">First, define the economic portfolio return for each date.</w:t>
      </w:r>
      <w:r>
        <w:t xml:space="preserve"> </w:t>
      </w:r>
      <w:r>
        <w:t xml:space="preserve">Selected asset-date rows should be converted into one active portfolio</w:t>
      </w:r>
      <w:r>
        <w:t xml:space="preserve"> </w:t>
      </w:r>
      <w:r>
        <w:t xml:space="preserve">return per date using the declared weighting rule. If the rule is long-</w:t>
      </w:r>
      <w:r>
        <w:t xml:space="preserve"> </w:t>
      </w:r>
      <w:r>
        <w:t xml:space="preserve">short, the gross-exposure convention should be stated before results are</w:t>
      </w:r>
      <w:r>
        <w:t xml:space="preserve"> </w:t>
      </w:r>
      <w:r>
        <w:t xml:space="preserve">examined.</w:t>
      </w:r>
    </w:p>
    <w:p>
      <w:pPr>
        <w:pStyle w:val="BodyText"/>
      </w:pPr>
      <w:r>
        <w:rPr>
          <w:b/>
          <w:bCs/>
        </w:rPr>
        <w:t xml:space="preserve">Second, compute Sharpe evidence on that date-return series.</w:t>
      </w:r>
      <w:r>
        <w:t xml:space="preserve"> </w:t>
      </w:r>
      <w:r>
        <w:t xml:space="preserve">The date-level return is the payoff boundary. The Sharpe ratio should be</w:t>
      </w:r>
      <w:r>
        <w:t xml:space="preserve"> </w:t>
      </w:r>
      <w:r>
        <w:t xml:space="preserve">the annualized mean of that return series divided by its period</w:t>
      </w:r>
      <w:r>
        <w:t xml:space="preserve"> </w:t>
      </w:r>
      <w:r>
        <w:t xml:space="preserve">volatility, using a source-appropriate annualization factor.</w:t>
      </w:r>
    </w:p>
    <w:p>
      <w:pPr>
        <w:pStyle w:val="BodyText"/>
      </w:pPr>
      <w:r>
        <w:rPr>
          <w:b/>
          <w:bCs/>
        </w:rPr>
        <w:t xml:space="preserve">Third, report row-naive results only as a comparator.</w:t>
      </w:r>
      <w:r>
        <w:t xml:space="preserve"> </w:t>
      </w:r>
      <w:r>
        <w:t xml:space="preserve">The</w:t>
      </w:r>
      <w:r>
        <w:t xml:space="preserve"> </w:t>
      </w:r>
      <w:r>
        <w:t xml:space="preserve">row-naive p-value answers what would be concluded if selected rows were</w:t>
      </w:r>
      <w:r>
        <w:t xml:space="preserve"> </w:t>
      </w:r>
      <w:r>
        <w:t xml:space="preserve">treated as independent. It is not the confirmatory test.</w:t>
      </w:r>
    </w:p>
    <w:p>
      <w:pPr>
        <w:pStyle w:val="BodyText"/>
      </w:pPr>
      <w:r>
        <w:rPr>
          <w:b/>
          <w:bCs/>
        </w:rPr>
        <w:t xml:space="preserve">Fourth, use robust inference on the date series.</w:t>
      </w:r>
      <w:r>
        <w:t xml:space="preserve"> </w:t>
      </w:r>
      <w:r>
        <w:t xml:space="preserve">The public</w:t>
      </w:r>
      <w:r>
        <w:t xml:space="preserve"> </w:t>
      </w:r>
      <w:r>
        <w:t xml:space="preserve">implementation reports HAC standard errors, moving-block bootstrap, and</w:t>
      </w:r>
      <w:r>
        <w:t xml:space="preserve"> </w:t>
      </w:r>
      <w:r>
        <w:t xml:space="preserve">stationary bootstrap evidence. The date-IID bootstrap is retained as a</w:t>
      </w:r>
      <w:r>
        <w:t xml:space="preserve"> </w:t>
      </w:r>
      <w:r>
        <w:t xml:space="preserve">comparator.</w:t>
      </w:r>
    </w:p>
    <w:p>
      <w:pPr>
        <w:pStyle w:val="BodyText"/>
      </w:pPr>
      <w:r>
        <w:rPr>
          <w:b/>
          <w:bCs/>
        </w:rPr>
        <w:t xml:space="preserve">Fifth, apply a fixed researcher-menu correction when several</w:t>
      </w:r>
      <w:r>
        <w:rPr>
          <w:b/>
          <w:bCs/>
        </w:rPr>
        <w:t xml:space="preserve"> </w:t>
      </w:r>
      <w:r>
        <w:rPr>
          <w:b/>
          <w:bCs/>
        </w:rPr>
        <w:t xml:space="preserve">lookbacks, thresholds, or model variants were evaluated.</w:t>
      </w:r>
      <w:r>
        <w:t xml:space="preserve"> </w:t>
      </w:r>
      <w:r>
        <w:t xml:space="preserve">A finite menu</w:t>
      </w:r>
      <w:r>
        <w:t xml:space="preserve"> </w:t>
      </w:r>
      <w:r>
        <w:t xml:space="preserve">should be declared before the confirmatory run. In the replication code,</w:t>
      </w:r>
      <w:r>
        <w:t xml:space="preserve"> </w:t>
      </w:r>
      <w:r>
        <w:t xml:space="preserve">Romano-Wolf stepdown is the primary fixed-menu adjustment.</w:t>
      </w:r>
    </w:p>
    <w:p>
      <w:pPr>
        <w:pStyle w:val="BodyText"/>
      </w:pPr>
      <w:r>
        <w:rPr>
          <w:b/>
          <w:bCs/>
        </w:rPr>
        <w:t xml:space="preserve">Sixth, where row-level signals exist, run same-date placebo</w:t>
      </w:r>
      <w:r>
        <w:rPr>
          <w:b/>
          <w:bCs/>
        </w:rPr>
        <w:t xml:space="preserve"> </w:t>
      </w:r>
      <w:r>
        <w:rPr>
          <w:b/>
          <w:bCs/>
        </w:rPr>
        <w:t xml:space="preserve">checks.</w:t>
      </w:r>
      <w:r>
        <w:t xml:space="preserve"> </w:t>
      </w:r>
      <w:r>
        <w:t xml:space="preserve">Signal assignments can be permuted within date to test whether</w:t>
      </w:r>
      <w:r>
        <w:t xml:space="preserve"> </w:t>
      </w:r>
      <w:r>
        <w:t xml:space="preserve">the selected rows carry information beyond the date-level common</w:t>
      </w:r>
      <w:r>
        <w:t xml:space="preserve"> </w:t>
      </w:r>
      <w:r>
        <w:t xml:space="preserve">environment. If the permutation null is degenerate, it is reported as</w:t>
      </w:r>
      <w:r>
        <w:t xml:space="preserve"> </w:t>
      </w:r>
      <w:r>
        <w:t xml:space="preserve">uninformative rather than as a pass or fail.</w:t>
      </w:r>
    </w:p>
    <w:p>
      <w:pPr>
        <w:pStyle w:val="BodyText"/>
      </w:pPr>
      <w:r>
        <w:rPr>
          <w:b/>
          <w:bCs/>
        </w:rPr>
        <w:t xml:space="preserve">Seventh, apply a simple turnover-cost stress.</w:t>
      </w:r>
      <w:r>
        <w:t xml:space="preserve"> </w:t>
      </w:r>
      <w:r>
        <w:t xml:space="preserve">The purpose is not</w:t>
      </w:r>
      <w:r>
        <w:t xml:space="preserve"> </w:t>
      </w:r>
      <w:r>
        <w:t xml:space="preserve">to model execution at scale. The purpose is to check whether a fragile</w:t>
      </w:r>
      <w:r>
        <w:t xml:space="preserve"> </w:t>
      </w:r>
      <w:r>
        <w:t xml:space="preserve">gross Sharpe claim survives a transparent cost drag.</w:t>
      </w:r>
    </w:p>
    <w:p>
      <w:pPr>
        <w:pStyle w:val="BodyText"/>
      </w:pPr>
      <w:r>
        <w:rPr>
          <w:b/>
          <w:bCs/>
        </w:rPr>
        <w:t xml:space="preserve">Eighth, classify the result as robust, fragile, or failed rather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relying on a single favorable Sharpe statistic.</w:t>
      </w:r>
      <w:r>
        <w:t xml:space="preserve"> </w:t>
      </w:r>
      <w:r>
        <w:t xml:space="preserve">A claim that passes</w:t>
      </w:r>
      <w:r>
        <w:t xml:space="preserve"> </w:t>
      </w:r>
      <w:r>
        <w:t xml:space="preserve">only the row-naive test should be treated as false-precision evidence,</w:t>
      </w:r>
      <w:r>
        <w:t xml:space="preserve"> </w:t>
      </w:r>
      <w:r>
        <w:t xml:space="preserve">not as a confirmatory portfolio result.</w:t>
      </w:r>
    </w:p>
    <w:p>
      <w:pPr>
        <w:pStyle w:val="BodyText"/>
      </w:pPr>
      <w:r>
        <w:t xml:space="preserve">The same workflow can be summarized as portfolio-review pseudocode:</w:t>
      </w:r>
    </w:p>
    <w:p>
      <w:pPr>
        <w:pStyle w:val="SourceCode"/>
      </w:pPr>
      <w:r>
        <w:rPr>
          <w:rStyle w:val="VerbatimChar"/>
        </w:rPr>
        <w:t xml:space="preserve">input: selected rows with date, asset, weight, and next-period return</w:t>
      </w:r>
      <w:r>
        <w:br/>
      </w:r>
      <w:r>
        <w:rPr>
          <w:rStyle w:val="VerbatimChar"/>
        </w:rPr>
        <w:t xml:space="preserve">for each date:</w:t>
      </w:r>
      <w:r>
        <w:br/>
      </w:r>
      <w:r>
        <w:rPr>
          <w:rStyle w:val="VerbatimChar"/>
        </w:rPr>
        <w:t xml:space="preserve">    aggregate selected rows into one portfolio return</w:t>
      </w:r>
      <w:r>
        <w:br/>
      </w:r>
      <w:r>
        <w:rPr>
          <w:rStyle w:val="VerbatimChar"/>
        </w:rPr>
        <w:t xml:space="preserve">compute the date-level Sharpe ratio</w:t>
      </w:r>
      <w:r>
        <w:br/>
      </w:r>
      <w:r>
        <w:rPr>
          <w:rStyle w:val="VerbatimChar"/>
        </w:rPr>
        <w:t xml:space="preserve">test the date-level Sharpe using HAC or a dependent bootstrap</w:t>
      </w:r>
      <w:r>
        <w:br/>
      </w:r>
      <w:r>
        <w:rPr>
          <w:rStyle w:val="VerbatimChar"/>
        </w:rPr>
        <w:t xml:space="preserve">compute the row-naive Sharpe test only as a comparator</w:t>
      </w:r>
      <w:r>
        <w:br/>
      </w:r>
      <w:r>
        <w:rPr>
          <w:rStyle w:val="VerbatimChar"/>
        </w:rPr>
        <w:t xml:space="preserve">report the row/date uncertainty gap, placebo result, and cost stress</w:t>
      </w:r>
      <w:r>
        <w:br/>
      </w:r>
      <w:r>
        <w:rPr>
          <w:rStyle w:val="VerbatimChar"/>
        </w:rPr>
        <w:t xml:space="preserve">classify the backtest as robust, fragile, or failed</w:t>
      </w:r>
    </w:p>
    <w:bookmarkEnd w:id="24"/>
    <w:bookmarkStart w:id="28" w:name="worked-examples-with-public-data"/>
    <w:p>
      <w:pPr>
        <w:pStyle w:val="Heading1"/>
      </w:pPr>
      <w:r>
        <w:t xml:space="preserve">Worked examples with public data</w:t>
      </w:r>
    </w:p>
    <w:p>
      <w:pPr>
        <w:pStyle w:val="FirstParagraph"/>
      </w:pPr>
      <w:r>
        <w:t xml:space="preserve">The empirical section is a worked example, not a broad anomaly census.</w:t>
      </w:r>
      <w:r>
        <w:t xml:space="preserve"> </w:t>
      </w:r>
      <w:r>
        <w:t xml:space="preserve">The goal is to show how a backtest reviewer would apply the checklist to</w:t>
      </w:r>
      <w:r>
        <w:t xml:space="preserve"> </w:t>
      </w:r>
      <w:r>
        <w:t xml:space="preserve">public data. The row-level examples use Kenneth French portfolios because</w:t>
      </w:r>
      <w:r>
        <w:t xml:space="preserve"> </w:t>
      </w:r>
      <w:r>
        <w:t xml:space="preserve">they permit date aggregation and same-date diagnostics. AQR factor series</w:t>
      </w:r>
      <w:r>
        <w:t xml:space="preserve"> </w:t>
      </w:r>
      <w:r>
        <w:t xml:space="preserve">are included as useful time-series benchmarks, but they do not provide</w:t>
      </w:r>
      <w:r>
        <w:t xml:space="preserve"> </w:t>
      </w:r>
      <w:r>
        <w:t xml:space="preserve">public constituent-level signal rows for same-date permutation or</w:t>
      </w:r>
      <w:r>
        <w:t xml:space="preserve"> </w:t>
      </w:r>
      <w:r>
        <w:t xml:space="preserve">row-boundary diagnostics.</w:t>
      </w:r>
    </w:p>
    <w:bookmarkStart w:id="25" w:name="case-1-canonical-wml-momentum-survives"/>
    <w:p>
      <w:pPr>
        <w:pStyle w:val="Heading2"/>
      </w:pPr>
      <w:r>
        <w:t xml:space="preserve">Case 1: canonical WML momentum survives</w:t>
      </w:r>
    </w:p>
    <w:p>
      <w:pPr>
        <w:pStyle w:val="FirstParagraph"/>
      </w:pPr>
      <w:r>
        <w:t xml:space="preserve">The first case is the canonical French WML momentum benchmark. This case</w:t>
      </w:r>
      <w:r>
        <w:t xml:space="preserve"> </w:t>
      </w:r>
      <w:r>
        <w:t xml:space="preserve">is important because the diagnostic should not mechanically reject every</w:t>
      </w:r>
      <w:r>
        <w:t xml:space="preserve"> </w:t>
      </w:r>
      <w:r>
        <w:t xml:space="preserve">positive result. The WML benchmark remains significant after date-level</w:t>
      </w:r>
      <w:r>
        <w:t xml:space="preserve"> </w:t>
      </w:r>
      <w:r>
        <w:t xml:space="preserve">inference and the fixed-menu checks used here. It is therefore best read</w:t>
      </w:r>
      <w:r>
        <w:t xml:space="preserve"> </w:t>
      </w:r>
      <w:r>
        <w:t xml:space="preserve">as a calibration check: the workflow can preserve a strong benchmark</w:t>
      </w:r>
      <w:r>
        <w:t xml:space="preserve"> </w:t>
      </w:r>
      <w:r>
        <w:t xml:space="preserve">while still forcing the evidence to be reported at the portfolio-return</w:t>
      </w:r>
      <w:r>
        <w:t xml:space="preserve"> </w:t>
      </w:r>
      <w:r>
        <w:t xml:space="preserve">boundary.</w:t>
      </w:r>
    </w:p>
    <w:bookmarkEnd w:id="25"/>
    <w:bookmarkStart w:id="26" w:name="case-2-a-weaker-panel-claim-fails"/>
    <w:p>
      <w:pPr>
        <w:pStyle w:val="Heading2"/>
      </w:pPr>
      <w:r>
        <w:t xml:space="preserve">Case 2: a weaker panel claim fails</w:t>
      </w:r>
    </w:p>
    <w:p>
      <w:pPr>
        <w:pStyle w:val="FirstParagraph"/>
      </w:pPr>
      <w:r>
        <w:t xml:space="preserve">The second case is a French Size/BM skipped-momentum panel. This example</w:t>
      </w:r>
      <w:r>
        <w:t xml:space="preserve"> </w:t>
      </w:r>
      <w:r>
        <w:t xml:space="preserve">is weaker. The date-HAC evidence is not significant, the same-date</w:t>
      </w:r>
      <w:r>
        <w:t xml:space="preserve"> </w:t>
      </w:r>
      <w:r>
        <w:t xml:space="preserve">permutation does not support the claim, and the 5 bps turnover-cost</w:t>
      </w:r>
      <w:r>
        <w:t xml:space="preserve"> </w:t>
      </w:r>
      <w:r>
        <w:t xml:space="preserve">stress produces a negative net Sharpe. A row-level or favorable gross</w:t>
      </w:r>
      <w:r>
        <w:t xml:space="preserve"> </w:t>
      </w:r>
      <w:r>
        <w:t xml:space="preserve">Sharpe summary would be a poor basis for a portfolio claim here.</w:t>
      </w:r>
    </w:p>
    <w:bookmarkEnd w:id="26"/>
    <w:bookmarkStart w:id="27" w:name="Xc289dfede2ac5c8349a821812fc0b78f9f47efb"/>
    <w:p>
      <w:pPr>
        <w:pStyle w:val="Heading2"/>
      </w:pPr>
      <w:r>
        <w:t xml:space="preserve">Case 3: AQR factor series are time-series benchmarks only</w:t>
      </w:r>
    </w:p>
    <w:p>
      <w:pPr>
        <w:pStyle w:val="FirstParagraph"/>
      </w:pPr>
      <w:r>
        <w:t xml:space="preserve">The AQR factor series are economically meaningful, but the public files</w:t>
      </w:r>
      <w:r>
        <w:t xml:space="preserve"> </w:t>
      </w:r>
      <w:r>
        <w:t xml:space="preserve">used here are pre-aggregated factor returns. They are therefore evaluated</w:t>
      </w:r>
      <w:r>
        <w:t xml:space="preserve"> </w:t>
      </w:r>
      <w:r>
        <w:t xml:space="preserve">as time-series benchmarks. They can be tested with HAC and bootstrap</w:t>
      </w:r>
      <w:r>
        <w:t xml:space="preserve"> </w:t>
      </w:r>
      <w:r>
        <w:t xml:space="preserve">methods on the date-return series, but they cannot be used for the</w:t>
      </w:r>
      <w:r>
        <w:t xml:space="preserve"> </w:t>
      </w:r>
      <w:r>
        <w:t xml:space="preserve">row-level same-date signal permutation or turnover diagnostics unless</w:t>
      </w:r>
      <w:r>
        <w:t xml:space="preserve"> </w:t>
      </w:r>
      <w:r>
        <w:t xml:space="preserve">constituent-level signal and trading information are available.</w:t>
      </w:r>
    </w:p>
    <w:p>
      <w:pPr>
        <w:pStyle w:val="BodyText"/>
      </w:pPr>
      <w:r>
        <w:t xml:space="preserve">The main empirical tables report the row-level panel candidates only.</w:t>
      </w:r>
      <w:r>
        <w:t xml:space="preserve"> </w:t>
      </w:r>
      <w:r>
        <w:t xml:space="preserve">Pre-aggregated AQR factor series, benchmark-validation details, horizon</w:t>
      </w:r>
      <w:r>
        <w:t xml:space="preserve"> </w:t>
      </w:r>
      <w:r>
        <w:t xml:space="preserve">sensitivity, and full robustness diagnostics are reported in the</w:t>
      </w:r>
      <w:r>
        <w:t xml:space="preserve"> </w:t>
      </w:r>
      <w:r>
        <w:t xml:space="preserve">technical appendix.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Annualized SR is the gross date-level Sharpe ratio. Date-HAC p+ is the one-sided HAC-delta positive-edge p-value computed on the date-level portfolio return series. Permutation p is the same-date signal-placebo p-value; N/A means the placebo was degenerate or otherwise uninformative for that threshold and is not counted as a full pass. Net SR (5 bps) is the Sharpe ratio after the reported 5 bps turnover-cost stress.</w:t>
      </w:r>
    </w:p>
    <w:p>
      <w:pPr>
        <w:pStyle w:val="BodyText"/>
      </w:pPr>
      <w:r>
        <w:t xml:space="preserve">The comparator table makes the standard-practice contrast explicit:</w:t>
      </w:r>
      <w:r>
        <w:t xml:space="preserve"> </w:t>
      </w:r>
      <w:r>
        <w:t xml:space="preserve">row-naive evidence is shown next to date-level HAC and bootstrap</w:t>
      </w:r>
      <w:r>
        <w:t xml:space="preserve"> </w:t>
      </w:r>
      <w:r>
        <w:t xml:space="preserve">inference on the portfolio return series.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p+ denotes a one-sided positive-Sharpe p-value. Row-naive p+ treats selected asset-date rows as independent. Date-IID, Date-HAC, and Moving-block p+ operate on the date-level portfolio return series. Uncertainty infl. is the diagnostic variance ratio between date-level long-run Sharpe uncertainty and row-pooled IID Sharpe uncertainty.</w:t>
      </w:r>
    </w:p>
    <w:bookmarkEnd w:id="27"/>
    <w:bookmarkEnd w:id="28"/>
    <w:bookmarkStart w:id="33" w:name="Xdcafb7673e19988d2085d5aacbe853ad45fd4cc"/>
    <w:p>
      <w:pPr>
        <w:pStyle w:val="Heading1"/>
      </w:pPr>
      <w:r>
        <w:t xml:space="preserve">How large can the false-precision problem be?</w:t>
      </w:r>
    </w:p>
    <w:p>
      <w:pPr>
        <w:pStyle w:val="FirstParagraph"/>
      </w:pPr>
      <w:r>
        <w:t xml:space="preserve">The simulation is not intended to be a general theorem about all return</w:t>
      </w:r>
      <w:r>
        <w:t xml:space="preserve"> </w:t>
      </w:r>
      <w:r>
        <w:t xml:space="preserve">processes. It is a stress test for a common backtesting workflow:</w:t>
      </w:r>
      <w:r>
        <w:t xml:space="preserve"> </w:t>
      </w:r>
      <w:r>
        <w:t xml:space="preserve">treating selected asset-date rows as independent when portfolio</w:t>
      </w:r>
      <w:r>
        <w:t xml:space="preserve"> </w:t>
      </w:r>
      <w:r>
        <w:t xml:space="preserve">performance is realized by date. The practical question is how often a</w:t>
      </w:r>
      <w:r>
        <w:t xml:space="preserve"> </w:t>
      </w:r>
      <w:r>
        <w:t xml:space="preserve">row-naive reviewer would approve a strategy under a null design with no</w:t>
      </w:r>
      <w:r>
        <w:t xml:space="preserve"> </w:t>
      </w:r>
      <w:r>
        <w:t xml:space="preserve">date-level edge.</w:t>
      </w:r>
    </w:p>
    <w:p>
      <w:pPr>
        <w:pStyle w:val="BodyText"/>
      </w:pPr>
      <w:r>
        <w:t xml:space="preserve">The simulation varies same-date dependence and serial dependence while</w:t>
      </w:r>
      <w:r>
        <w:t xml:space="preserve"> </w:t>
      </w:r>
      <w:r>
        <w:t xml:space="preserve">setting the population date-level Sharpe to zero in the null designs.</w:t>
      </w:r>
      <w:r>
        <w:t xml:space="preserve"> </w:t>
      </w:r>
      <w:r>
        <w:t xml:space="preserve">The row-naive test treats selected entity-date rows as independent. The</w:t>
      </w:r>
      <w:r>
        <w:t xml:space="preserve"> </w:t>
      </w:r>
      <w:r>
        <w:t xml:space="preserve">date-level procedures first aggregate rows into portfolio returns and</w:t>
      </w:r>
      <w:r>
        <w:t xml:space="preserve"> </w:t>
      </w:r>
      <w:r>
        <w:t xml:space="preserve">then apply HAC, moving-block bootstrap, stationary bootstrap, and</w:t>
      </w:r>
      <w:r>
        <w:t xml:space="preserve"> </w:t>
      </w:r>
      <w:r>
        <w:t xml:space="preserve">Romano-Wolf adjustments. All procedures are evaluated at nominal 5</w:t>
      </w:r>
      <w:r>
        <w:t xml:space="preserve"> </w:t>
      </w:r>
      <w:r>
        <w:t xml:space="preserve">percent size.</w:t>
      </w:r>
    </w:p>
    <w:p>
      <w:pPr>
        <w:pStyle w:val="BodyText"/>
      </w:pPr>
      <w:r>
        <w:t xml:space="preserve">The null-size figure and table are the core simulation results: under</w:t>
      </w:r>
      <w:r>
        <w:t xml:space="preserve"> </w:t>
      </w:r>
      <w:r>
        <w:t xml:space="preserve">dependent nulls, row-naive testing rejects about one third of the time</w:t>
      </w:r>
      <w:r>
        <w:t xml:space="preserve"> </w:t>
      </w:r>
      <w:r>
        <w:t xml:space="preserve">at a nominal 5 percent level, while date-level HAC, block-bootstrap,</w:t>
      </w:r>
      <w:r>
        <w:t xml:space="preserve"> </w:t>
      </w:r>
      <w:r>
        <w:t xml:space="preserve">stationary, and Romano-Wolf procedures stay much closer to size.</w:t>
      </w:r>
    </w:p>
    <w:bookmarkStart w:id="32" w:name="fig:null-size"/>
    <w:p>
      <w:pPr>
        <w:pStyle w:val="CaptionedFigure"/>
      </w:pPr>
      <w:r>
        <w:drawing>
          <wp:inline>
            <wp:extent cx="5227320" cy="261366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enerated_figures/null_size_rejections.pdf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Rejection rates under null designs. The dashed line is the nominal 5 percent rejection rate. Row-naive rejection is near nominal under IID sampling but rises sharply under dependent nulls, while date-level dependence-aware procedures remain much closer to nominal size.</w:t>
      </w:r>
    </w:p>
    <w:bookmarkEnd w:id="32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Each entry is the fraction of 1000 Monte Carlo replications rejected at nominal 5 percent size. The main null designs use T=1000 dates and N=50 entities. Dependent null combines same-date and serial dependence; GARCH null adds conditional heteroskedasticity; IID null removes both. Row-naive treats selected asset-date rows as independent; the other procedures operate on the date-level portfolio return series.</w:t>
      </w:r>
    </w:p>
    <w:p>
      <w:pPr>
        <w:pStyle w:val="BodyText"/>
      </w:pPr>
      <w:r>
        <w:t xml:space="preserve">The result is economically large. In the dependent-null designs,</w:t>
      </w:r>
      <w:r>
        <w:t xml:space="preserve"> </w:t>
      </w:r>
      <w:r>
        <w:t xml:space="preserve">row-naive testing rejects about 35 percent of the time at a nominal 5</w:t>
      </w:r>
      <w:r>
        <w:t xml:space="preserve"> </w:t>
      </w:r>
      <w:r>
        <w:t xml:space="preserve">percent level. Date-level dependence-aware procedures remain much closer</w:t>
      </w:r>
      <w:r>
        <w:t xml:space="preserve"> </w:t>
      </w:r>
      <w:r>
        <w:t xml:space="preserve">to nominal size. The practical interpretation is direct: a backtest</w:t>
      </w:r>
      <w:r>
        <w:t xml:space="preserve"> </w:t>
      </w:r>
      <w:r>
        <w:t xml:space="preserve">workflow that multiplies selected rows can approve strategies that do not</w:t>
      </w:r>
      <w:r>
        <w:t xml:space="preserve"> </w:t>
      </w:r>
      <w:r>
        <w:t xml:space="preserve">have a true date-level edge in the data-generating process.</w:t>
      </w:r>
    </w:p>
    <w:bookmarkEnd w:id="33"/>
    <w:bookmarkStart w:id="34" w:name="practical-guidance-and-limitations"/>
    <w:p>
      <w:pPr>
        <w:pStyle w:val="Heading1"/>
      </w:pPr>
      <w:r>
        <w:t xml:space="preserve">Practical guidance and limitations</w:t>
      </w:r>
    </w:p>
    <w:p>
      <w:pPr>
        <w:pStyle w:val="FirstParagraph"/>
      </w:pPr>
      <w:r>
        <w:t xml:space="preserve">The diagnostic is a reporting check, not a guarantee that a strategy is</w:t>
      </w:r>
      <w:r>
        <w:t xml:space="preserve"> </w:t>
      </w:r>
      <w:r>
        <w:t xml:space="preserve">tradable. A positive result should still be evaluated for economic</w:t>
      </w:r>
      <w:r>
        <w:t xml:space="preserve"> </w:t>
      </w:r>
      <w:r>
        <w:t xml:space="preserve">interpretation, implementation constraints, liquidity, turnover, capacity,</w:t>
      </w:r>
      <w:r>
        <w:t xml:space="preserve"> </w:t>
      </w:r>
      <w:r>
        <w:t xml:space="preserve">model decay, and out-of-sample performance. The diagnostic only asks</w:t>
      </w:r>
      <w:r>
        <w:t xml:space="preserve"> </w:t>
      </w:r>
      <w:r>
        <w:t xml:space="preserve">whether Sharpe evidence was tested at the right sampling boundary.</w:t>
      </w:r>
    </w:p>
    <w:p>
      <w:pPr>
        <w:pStyle w:val="BodyText"/>
      </w:pPr>
      <w:r>
        <w:t xml:space="preserve">For asset managers and backtest reviewers, the minimum reporting package</w:t>
      </w:r>
      <w:r>
        <w:t xml:space="preserve"> </w:t>
      </w:r>
      <w:r>
        <w:t xml:space="preserve">for a panel-based Sharpe claim should include: the date-level portfolio</w:t>
      </w:r>
      <w:r>
        <w:t xml:space="preserve"> </w:t>
      </w:r>
      <w:r>
        <w:t xml:space="preserve">return construction, date-level Sharpe inference, row-naive results as a</w:t>
      </w:r>
      <w:r>
        <w:t xml:space="preserve"> </w:t>
      </w:r>
      <w:r>
        <w:t xml:space="preserve">comparator, a researcher-menu correction, same-date placebo checks where</w:t>
      </w:r>
      <w:r>
        <w:t xml:space="preserve"> </w:t>
      </w:r>
      <w:r>
        <w:t xml:space="preserve">row-level signals are available, a turnover-cost stress, and a clear</w:t>
      </w:r>
      <w:r>
        <w:t xml:space="preserve"> </w:t>
      </w:r>
      <w:r>
        <w:t xml:space="preserve">classification of the result as robust, fragile, or failed.</w:t>
      </w:r>
    </w:p>
    <w:p>
      <w:pPr>
        <w:pStyle w:val="BodyText"/>
      </w:pPr>
      <w:r>
        <w:t xml:space="preserve">The public evidence is illustrative. It uses public French and AQR</w:t>
      </w:r>
      <w:r>
        <w:t xml:space="preserve"> </w:t>
      </w:r>
      <w:r>
        <w:t xml:space="preserve">datasets rather than a proprietary production signal library or a broad</w:t>
      </w:r>
      <w:r>
        <w:t xml:space="preserve"> </w:t>
      </w:r>
      <w:r>
        <w:t xml:space="preserve">published-anomaly census. The simulation designs are stress tests for a</w:t>
      </w:r>
      <w:r>
        <w:t xml:space="preserve"> </w:t>
      </w:r>
      <w:r>
        <w:t xml:space="preserve">specific reporting failure, not a complete model of financial returns.</w:t>
      </w:r>
      <w:r>
        <w:t xml:space="preserve"> </w:t>
      </w:r>
      <w:r>
        <w:t xml:space="preserve">The HAC and bootstrap procedures also rely on standard stationarity,</w:t>
      </w:r>
      <w:r>
        <w:t xml:space="preserve"> </w:t>
      </w:r>
      <w:r>
        <w:t xml:space="preserve">moment, and dependence conditions. Long memory, structural breaks,</w:t>
      </w:r>
      <w:r>
        <w:t xml:space="preserve"> </w:t>
      </w:r>
      <w:r>
        <w:t xml:space="preserve">infinite-variance returns, and growing researcher menus require stronger</w:t>
      </w:r>
      <w:r>
        <w:t xml:space="preserve"> </w:t>
      </w:r>
      <w:r>
        <w:t xml:space="preserve">assumptions or different methods.</w:t>
      </w:r>
    </w:p>
    <w:bookmarkEnd w:id="34"/>
    <w:bookmarkStart w:id="3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Panel backtests can create false precision when selected rows are treated</w:t>
      </w:r>
      <w:r>
        <w:t xml:space="preserve"> </w:t>
      </w:r>
      <w:r>
        <w:t xml:space="preserve">as independent performance observations even though the realized payoff</w:t>
      </w:r>
      <w:r>
        <w:t xml:space="preserve"> </w:t>
      </w:r>
      <w:r>
        <w:t xml:space="preserve">is one portfolio return per date. The practical fix is straightforward:</w:t>
      </w:r>
      <w:r>
        <w:t xml:space="preserve"> </w:t>
      </w:r>
      <w:r>
        <w:t xml:space="preserve">aggregate selected rows into date-level portfolio returns, test Sharpe</w:t>
      </w:r>
      <w:r>
        <w:t xml:space="preserve"> </w:t>
      </w:r>
      <w:r>
        <w:t xml:space="preserve">evidence on that date series, and report how much precision the</w:t>
      </w:r>
      <w:r>
        <w:t xml:space="preserve"> </w:t>
      </w:r>
      <w:r>
        <w:t xml:space="preserve">row-pooled analysis created. Public examples show that strong benchmark</w:t>
      </w:r>
      <w:r>
        <w:t xml:space="preserve"> </w:t>
      </w:r>
      <w:r>
        <w:t xml:space="preserve">momentum can survive this workflow while weaker panel claims fail.</w:t>
      </w:r>
      <w:r>
        <w:t xml:space="preserve"> </w:t>
      </w:r>
      <w:r>
        <w:t xml:space="preserve">Simulation stress tests show that the false-precision problem can be</w:t>
      </w:r>
      <w:r>
        <w:t xml:space="preserve"> </w:t>
      </w:r>
      <w:r>
        <w:t xml:space="preserve">large enough to turn a nominal 5 percent test into a roughly 35 percent</w:t>
      </w:r>
      <w:r>
        <w:t xml:space="preserve"> </w:t>
      </w:r>
      <w:r>
        <w:t xml:space="preserve">row-naive rejection rate under dependent nulls. The diagnostic is not a</w:t>
      </w:r>
      <w:r>
        <w:t xml:space="preserve"> </w:t>
      </w:r>
      <w:r>
        <w:t xml:space="preserve">new trading rule. It is a backtest-review workflow for reporting</w:t>
      </w:r>
      <w:r>
        <w:t xml:space="preserve"> </w:t>
      </w:r>
      <w:r>
        <w:t xml:space="preserve">portfolio-performance evidence at the correct payoff boundary.</w:t>
      </w:r>
    </w:p>
    <w:bookmarkEnd w:id="35"/>
    <w:bookmarkStart w:id="36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For double-blind review, the public repository URL is omitted from the manuscript. An anonymized reproducibility package is supplied separately for refereeing; the public repository URL is provided on the title page and can be inserted into the manuscript after review if required.</w:t>
      </w:r>
      <w:r>
        <w:t xml:space="preserve"> </w:t>
      </w:r>
      <w:r>
        <w:t xml:space="preserve">The reported examples use public Kenneth French and AQR data plus</w:t>
      </w:r>
      <w:r>
        <w:t xml:space="preserve"> </w:t>
      </w:r>
      <w:r>
        <w:t xml:space="preserve">simulation code. Raw third-party data are not redistributed where source</w:t>
      </w:r>
      <w:r>
        <w:t xml:space="preserve"> </w:t>
      </w:r>
      <w:r>
        <w:t xml:space="preserve">terms do not permit redistribution.</w:t>
      </w:r>
    </w:p>
    <w:bookmarkEnd w:id="36"/>
    <w:bookmarkStart w:id="40" w:name="acknowledgments-funding-and-declarations"/>
    <w:p>
      <w:pPr>
        <w:pStyle w:val="Heading1"/>
      </w:pPr>
      <w:r>
        <w:t xml:space="preserve">Acknowledgments, funding, and declarations</w:t>
      </w:r>
    </w:p>
    <w:p>
      <w:pPr>
        <w:pStyle w:val="FirstParagraph"/>
      </w:pPr>
      <w:r>
        <w:t xml:space="preserve">Acknowledgments are omitted from the review manuscript to preserve double-blind anonymity.</w:t>
      </w:r>
      <w:r>
        <w:t xml:space="preserve"> </w:t>
      </w:r>
      <w:r>
        <w:t xml:space="preserve">This research did not receive any specific grant from funding agencies in</w:t>
      </w:r>
      <w:r>
        <w:t xml:space="preserve"> </w:t>
      </w:r>
      <w:r>
        <w:t xml:space="preserve">the public, commercial, or not-for-profit sectors. The author declares no</w:t>
      </w:r>
      <w:r>
        <w:t xml:space="preserve"> </w:t>
      </w:r>
      <w:r>
        <w:t xml:space="preserve">competing interests. The study uses public aggregate financial data and</w:t>
      </w:r>
      <w:r>
        <w:t xml:space="preserve"> </w:t>
      </w:r>
      <w:r>
        <w:t xml:space="preserve">simulations only; it does not involve human participants, animals,</w:t>
      </w:r>
      <w:r>
        <w:t xml:space="preserve"> </w:t>
      </w:r>
      <w:r>
        <w:t xml:space="preserve">clinical data, or private personal data.</w:t>
      </w:r>
    </w:p>
    <w:p>
      <w:pPr>
        <w:pStyle w:val="BodyText"/>
      </w:pPr>
      <w:r>
        <w:t xml:space="preserve">Andrews, Donald W. K. 1991.</w:t>
      </w:r>
      <w:r>
        <w:t xml:space="preserve"> </w:t>
      </w:r>
      <w:r>
        <w:t xml:space="preserve">Heteroskedasticity and autocorrelation consistent covariance matrix estimation.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59(3): 817–858.</w:t>
      </w:r>
    </w:p>
    <w:p>
      <w:pPr>
        <w:pStyle w:val="BodyText"/>
      </w:pPr>
      <w:r>
        <w:t xml:space="preserve">Carhart, Mark M. 1997.</w:t>
      </w:r>
      <w:r>
        <w:t xml:space="preserve"> </w:t>
      </w:r>
      <w:r>
        <w:t xml:space="preserve">On persistence in mutual fund performance.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 </w:t>
      </w:r>
      <w:r>
        <w:t xml:space="preserve">52(1): 57–82.</w:t>
      </w:r>
    </w:p>
    <w:p>
      <w:pPr>
        <w:pStyle w:val="BodyText"/>
      </w:pPr>
      <w:r>
        <w:t xml:space="preserve">Fama, Eugene F., and Kenneth R. French. 1993.</w:t>
      </w:r>
      <w:r>
        <w:t xml:space="preserve"> </w:t>
      </w:r>
      <w:r>
        <w:t xml:space="preserve">Common risk factors in the returns on stocks and bonds.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 </w:t>
      </w:r>
      <w:r>
        <w:t xml:space="preserve">33(1): 3–56.</w:t>
      </w:r>
    </w:p>
    <w:p>
      <w:pPr>
        <w:pStyle w:val="BodyText"/>
      </w:pPr>
      <w:r>
        <w:t xml:space="preserve">Harvey, Campbell R., Yan Liu, and Heqing Zhu. 2016.</w:t>
      </w:r>
      <w:r>
        <w:t xml:space="preserve"> </w:t>
      </w:r>
      <w:r>
        <w:t xml:space="preserve">…and the cross-section of expected returns.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 </w:t>
      </w:r>
      <w:r>
        <w:t xml:space="preserve">29(1): 5–68.</w:t>
      </w:r>
    </w:p>
    <w:p>
      <w:pPr>
        <w:pStyle w:val="BodyText"/>
      </w:pPr>
      <w:r>
        <w:t xml:space="preserve">Harvey, Campbell R., and Yan Liu. 2020a.</w:t>
      </w:r>
      <w:r>
        <w:t xml:space="preserve"> </w:t>
      </w:r>
      <w:r>
        <w:t xml:space="preserve">False (and missed) discoveries in financial economics.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 </w:t>
      </w:r>
      <w:r>
        <w:t xml:space="preserve">75(5): 2503–2553.</w:t>
      </w:r>
      <w:r>
        <w:t xml:space="preserve"> </w:t>
      </w:r>
      <w:hyperlink r:id="rId37">
        <w:r>
          <w:rPr>
            <w:rStyle w:val="Hyperlink"/>
          </w:rPr>
          <w:t xml:space="preserve">https://doi.org/10.1111/jofi.12951</w:t>
        </w:r>
      </w:hyperlink>
      <w:r>
        <w:t xml:space="preserve">.</w:t>
      </w:r>
    </w:p>
    <w:p>
      <w:pPr>
        <w:pStyle w:val="BodyText"/>
      </w:pPr>
      <w:r>
        <w:t xml:space="preserve">Harvey, Campbell R., and Yan Liu. 2020b.</w:t>
      </w:r>
      <w:r>
        <w:t xml:space="preserve"> </w:t>
      </w:r>
      <w:r>
        <w:t xml:space="preserve">A census of the factor zoo.</w:t>
      </w:r>
      <w:r>
        <w:t xml:space="preserve"> </w:t>
      </w:r>
      <w:r>
        <w:t xml:space="preserve">SSRN working paper.</w:t>
      </w:r>
      <w:r>
        <w:t xml:space="preserve"> </w:t>
      </w:r>
      <w:hyperlink r:id="rId38">
        <w:r>
          <w:rPr>
            <w:rStyle w:val="Hyperlink"/>
          </w:rPr>
          <w:t xml:space="preserve">https://doi.org/10.2139/ssrn.3341728</w:t>
        </w:r>
      </w:hyperlink>
      <w:r>
        <w:t xml:space="preserve">.</w:t>
      </w:r>
    </w:p>
    <w:p>
      <w:pPr>
        <w:pStyle w:val="BodyText"/>
      </w:pPr>
      <w:r>
        <w:t xml:space="preserve">Ledoit, Olivier, and Michael Wolf. 2008.</w:t>
      </w:r>
      <w:r>
        <w:t xml:space="preserve"> </w:t>
      </w:r>
      <w:r>
        <w:t xml:space="preserve">Robust performance hypothesis testing with the Sharpe ratio.</w:t>
      </w:r>
      <w:r>
        <w:t xml:space="preserve"> </w:t>
      </w:r>
      <w:r>
        <w:rPr>
          <w:i/>
          <w:iCs/>
        </w:rPr>
        <w:t xml:space="preserve">Journal of Empirical Finance</w:t>
      </w:r>
      <w:r>
        <w:t xml:space="preserve"> </w:t>
      </w:r>
      <w:r>
        <w:t xml:space="preserve">15(5): 850–859.</w:t>
      </w:r>
    </w:p>
    <w:p>
      <w:pPr>
        <w:pStyle w:val="BodyText"/>
      </w:pPr>
      <w:r>
        <w:t xml:space="preserve">Lo, Andrew W. 2002.</w:t>
      </w:r>
      <w:r>
        <w:t xml:space="preserve"> </w:t>
      </w:r>
      <w:r>
        <w:t xml:space="preserve">The statistics of Sharpe ratios.</w:t>
      </w:r>
      <w:r>
        <w:t xml:space="preserve"> </w:t>
      </w:r>
      <w:r>
        <w:rPr>
          <w:i/>
          <w:iCs/>
        </w:rPr>
        <w:t xml:space="preserve">Financial Analysts Journal</w:t>
      </w:r>
      <w:r>
        <w:t xml:space="preserve"> </w:t>
      </w:r>
      <w:r>
        <w:t xml:space="preserve">58(4): 36–52.</w:t>
      </w:r>
    </w:p>
    <w:p>
      <w:pPr>
        <w:pStyle w:val="BodyText"/>
      </w:pPr>
      <w:r>
        <w:t xml:space="preserve">Moulton, Brent R. 1986.</w:t>
      </w:r>
      <w:r>
        <w:t xml:space="preserve"> </w:t>
      </w:r>
      <w:r>
        <w:t xml:space="preserve">Random group effects and the precision of regression estimates.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32(3): 385–397.</w:t>
      </w:r>
    </w:p>
    <w:p>
      <w:pPr>
        <w:pStyle w:val="BodyText"/>
      </w:pPr>
      <w:r>
        <w:t xml:space="preserve">Newey, Whitney K., and Kenneth D. West. 1987.</w:t>
      </w:r>
      <w:r>
        <w:t xml:space="preserve"> </w:t>
      </w:r>
      <w:r>
        <w:t xml:space="preserve">A simple, positive semi-definite, heteroskedasticity and autocorrelation</w:t>
      </w:r>
      <w:r>
        <w:t xml:space="preserve"> </w:t>
      </w:r>
      <w:r>
        <w:t xml:space="preserve">consistent covariance matrix.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55(3): 703–708.</w:t>
      </w:r>
    </w:p>
    <w:p>
      <w:pPr>
        <w:pStyle w:val="BodyText"/>
      </w:pPr>
      <w:r>
        <w:t xml:space="preserve">Petersen, Mitchell A. 2009.</w:t>
      </w:r>
      <w:r>
        <w:t xml:space="preserve"> </w:t>
      </w:r>
      <w:r>
        <w:t xml:space="preserve">Estimating standard errors in finance panel data sets: Comparing approaches.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 </w:t>
      </w:r>
      <w:r>
        <w:t xml:space="preserve">22(1): 435–480.</w:t>
      </w:r>
      <w:r>
        <w:t xml:space="preserve"> </w:t>
      </w:r>
      <w:hyperlink r:id="rId39">
        <w:r>
          <w:rPr>
            <w:rStyle w:val="Hyperlink"/>
          </w:rPr>
          <w:t xml:space="preserve">https://doi.org/10.1093/rfs/hhn053</w:t>
        </w:r>
      </w:hyperlink>
      <w:r>
        <w:t xml:space="preserve">.</w:t>
      </w:r>
    </w:p>
    <w:p>
      <w:pPr>
        <w:pStyle w:val="BodyText"/>
      </w:pPr>
      <w:r>
        <w:t xml:space="preserve">Politis, Dimitris N., and Joseph P. Romano. 1994.</w:t>
      </w:r>
      <w:r>
        <w:t xml:space="preserve"> </w:t>
      </w:r>
      <w:r>
        <w:t xml:space="preserve">The stationary bootstrap.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89(428): 1303–1313.</w:t>
      </w:r>
    </w:p>
    <w:p>
      <w:pPr>
        <w:pStyle w:val="BodyText"/>
      </w:pPr>
      <w:r>
        <w:t xml:space="preserve">Romano, Joseph P., and Michael Wolf. 2005.</w:t>
      </w:r>
      <w:r>
        <w:t xml:space="preserve"> </w:t>
      </w:r>
      <w:r>
        <w:t xml:space="preserve">Stepwise multiple testing as formalized data snooping.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73(4): 1237–1282.</w:t>
      </w:r>
    </w:p>
    <w:p>
      <w:pPr>
        <w:pStyle w:val="BodyText"/>
      </w:pPr>
      <w:r>
        <w:t xml:space="preserve">White, Halbert. 2000.</w:t>
      </w:r>
      <w:r>
        <w:t xml:space="preserve"> </w:t>
      </w:r>
      <w:r>
        <w:t xml:space="preserve">A reality check for data snooping.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68(5): 1097–1126.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df" /><Relationship Type="http://schemas.openxmlformats.org/officeDocument/2006/relationships/hyperlink" Id="rId39" Target="https://doi.org/10.1093/rfs/hhn053" TargetMode="External" /><Relationship Type="http://schemas.openxmlformats.org/officeDocument/2006/relationships/hyperlink" Id="rId37" Target="https://doi.org/10.1111/jofi.12951" TargetMode="External" /><Relationship Type="http://schemas.openxmlformats.org/officeDocument/2006/relationships/hyperlink" Id="rId38" Target="https://doi.org/10.2139/ssrn.33417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i.org/10.1093/rfs/hhn053" TargetMode="External" /><Relationship Type="http://schemas.openxmlformats.org/officeDocument/2006/relationships/hyperlink" Id="rId37" Target="https://doi.org/10.1111/jofi.12951" TargetMode="External" /><Relationship Type="http://schemas.openxmlformats.org/officeDocument/2006/relationships/hyperlink" Id="rId38" Target="https://doi.org/10.2139/ssrn.33417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2026-07-02T17:07:35Z</dcterms:created>
  <dcterms:modified xsi:type="dcterms:W3CDTF">2026-07-02T17:07:35Z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