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df" ContentType="application/pdf"/>
  <Override PartName="/word/media/rId39.pdf" ContentType="application/pdf"/>
  <Override PartName="/word/media/rId30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Technical Appendix: Sampling-Boundary Distortion in Sharpe Ratio: Evidence from Financial Panels</w:t>
      </w:r>
    </w:p>
    <w:p>
      <w:pPr>
        <w:pStyle w:val="Author"/>
      </w:pPr>
    </w:p>
    <w:bookmarkStart w:id="20" w:name="Xf6253edc055f7180f49c84c554d139456927d90"/>
    <w:p>
      <w:pPr>
        <w:pStyle w:val="Heading1"/>
      </w:pPr>
      <w:r>
        <w:t xml:space="preserve">Technical Appendix: Sampling-Boundary Distortion in Sharpe Ratio: Evidence from Financial Panels</w:t>
      </w:r>
    </w:p>
    <w:bookmarkEnd w:id="20"/>
    <w:bookmarkStart w:id="21" w:name="purpos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Purpose</w:t>
      </w:r>
    </w:p>
    <w:p>
      <w:pPr>
        <w:pStyle w:val="FirstParagraph"/>
      </w:pPr>
      <w:r>
        <w:t xml:space="preserve">This appendix provides derivations, calibration checks, robustness</w:t>
      </w:r>
      <w:r>
        <w:t xml:space="preserve"> </w:t>
      </w:r>
      <w:r>
        <w:t xml:space="preserve">tables, and reproducibility details omitted from the main manuscript for</w:t>
      </w:r>
      <w:r>
        <w:t xml:space="preserve"> </w:t>
      </w:r>
      <w:r>
        <w:t xml:space="preserve">brevity. It supports the proof, calibration, and robustness record; it</w:t>
      </w:r>
      <w:r>
        <w:t xml:space="preserve"> </w:t>
      </w:r>
      <w:r>
        <w:t xml:space="preserve">is not an independent empirical claim.</w:t>
      </w:r>
    </w:p>
    <w:bookmarkEnd w:id="21"/>
    <w:bookmarkStart w:id="22" w:name="public-panel-momentum-implementa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Public-Panel Momentum Implementation</w:t>
      </w:r>
    </w:p>
    <w:p>
      <w:pPr>
        <w:pStyle w:val="FirstParagraph"/>
      </w:pPr>
      <w:r>
        <w:t xml:space="preserve">The public French panel implementation uses a skipped-momentum signal as</w:t>
      </w:r>
      <w:r>
        <w:t xml:space="preserve"> </w:t>
      </w:r>
      <w:r>
        <w:t xml:space="preserve">the running row-level illustration. The sampling-boundary diagnostic</w:t>
      </w:r>
      <w:r>
        <w:t xml:space="preserve"> </w:t>
      </w:r>
      <w:r>
        <w:t xml:space="preserve">does not depend on this particular signal, but the formulas below define</w:t>
      </w:r>
      <w:r>
        <w:t xml:space="preserve"> </w:t>
      </w:r>
      <w:r>
        <w:t xml:space="preserve">the exact public-panel construction used in the reported tables.</w:t>
      </w:r>
      <w:r>
        <w:t xml:space="preserve"> </w:t>
      </w:r>
      <w:r>
        <w:t xml:space="preserve">For lookback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skip</w:t>
      </w:r>
      <w:r>
        <w:t xml:space="preserve"> </w:t>
      </w:r>
      <m:oMath>
        <m:r>
          <m:t>q</m:t>
        </m:r>
      </m:oMath>
      <w:r>
        <w:t xml:space="preserve">, the skipped compounded signal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  <m:r>
                <m:rPr>
                  <m:sty m:val="p"/>
                </m:rPr>
                <m:t>−</m:t>
              </m:r>
              <m:r>
                <m:t>q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the signal excludes the outcome return and is executable</w:t>
      </w:r>
      <w:r>
        <w:t xml:space="preserve"> </w:t>
      </w:r>
      <w:r>
        <w:t xml:space="preserve">at date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when all signals in the available universe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known before the trading decision. The signed one-period row return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sign</m:t>
          </m:r>
          <m:r>
            <m:rPr>
              <m:sty m:val="p"/>
            </m:rPr>
            <m:t>(</m:t>
          </m:r>
          <m:sSubSup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sign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 zero-signal and missing-signal rows receive zero</w:t>
      </w:r>
      <w:r>
        <w:t xml:space="preserve"> </w:t>
      </w:r>
      <w:r>
        <w:t xml:space="preserve">economic weight. The confidence score</w:t>
      </w:r>
      <w:r>
        <w:t xml:space="preserve"> </w:t>
      </w:r>
      <m:oMath>
        <m:sSubSup>
          <m:e>
            <m:r>
              <m:t>c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w:r>
        <w:t xml:space="preserve">within-date percentile rank of</w:t>
      </w:r>
      <w:r>
        <w:t xml:space="preserve"> </w:t>
      </w:r>
      <m:oMath>
        <m:r>
          <m:rPr>
            <m:sty m:val="p"/>
          </m:rPr>
          <m:t>|</m:t>
        </m:r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|</m:t>
        </m:r>
      </m:oMath>
      <w:r>
        <w:t xml:space="preserve">, and the selected</w:t>
      </w:r>
      <w:r>
        <w:t xml:space="preserve"> </w:t>
      </w:r>
      <w:r>
        <w:t xml:space="preserve">set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:</m:t>
          </m:r>
          <m:sSubSup>
            <m:e>
              <m:r>
                <m:t>c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≥</m:t>
          </m:r>
          <m:r>
            <m:t>τ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percentile score is a baseline screening rule, not an optimal</w:t>
      </w:r>
      <w:r>
        <w:t xml:space="preserve"> </w:t>
      </w:r>
      <w:r>
        <w:t xml:space="preserve">weighting theorem. The replication files record tie handling, one-name</w:t>
      </w:r>
      <w:r>
        <w:t xml:space="preserve"> </w:t>
      </w:r>
      <w:r>
        <w:t xml:space="preserve">dates, selected-count granularity, and source-specific frequency and</w:t>
      </w:r>
      <w:r>
        <w:t xml:space="preserve"> </w:t>
      </w:r>
      <w:r>
        <w:t xml:space="preserve">annualization metadata.</w:t>
      </w:r>
    </w:p>
    <w:bookmarkEnd w:id="22"/>
    <w:bookmarkStart w:id="23" w:name="mean-return-design-effect-proof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Mean-Return Design-Effect Proof</w:t>
      </w:r>
    </w:p>
    <w:p>
      <w:pPr>
        <w:pStyle w:val="FirstParagraph"/>
      </w:pPr>
      <w:r>
        <w:t xml:space="preserve">For a selected row model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ϵ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constant selected count</w:t>
      </w:r>
      <w:r>
        <w:t xml:space="preserve"> </w:t>
      </w:r>
      <m:oMath>
        <m:acc>
          <m:accPr>
            <m:chr m:val="‾"/>
          </m:accPr>
          <m:e>
            <m:r>
              <m:t>n</m:t>
            </m:r>
          </m:e>
        </m:acc>
      </m:oMath>
      <w:r>
        <w:t xml:space="preserve">, same-date intraclass correlation</w:t>
      </w:r>
      <w:r>
        <w:t xml:space="preserve"> </w:t>
      </w:r>
      <m:oMath>
        <m:r>
          <m:t>ρ</m:t>
        </m:r>
      </m:oMath>
      <w:r>
        <w:t xml:space="preserve">, and independent dates, the row-pooled mean equals the average</w:t>
      </w:r>
      <w:r>
        <w:t xml:space="preserve"> </w:t>
      </w:r>
      <w:r>
        <w:t xml:space="preserve">of date means: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n</m:t>
                      </m:r>
                    </m:e>
                  </m:acc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row-naive variance report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acc>
          <m:accPr>
            <m:chr m:val="‾"/>
          </m:accPr>
          <m:e>
            <m:r>
              <m:t>n</m:t>
            </m:r>
          </m:e>
        </m:acc>
        <m:r>
          <m:rPr>
            <m:sty m:val="p"/>
          </m:rPr>
          <m:t>)</m:t>
        </m:r>
      </m:oMath>
      <w:r>
        <w:t xml:space="preserve">. The true</w:t>
      </w:r>
      <w:r>
        <w:t xml:space="preserve"> </w:t>
      </w:r>
      <w:r>
        <w:t xml:space="preserve">one-date variance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acc>
                    <m:accPr>
                      <m:chr m:val="‾"/>
                    </m:accPr>
                    <m:e>
                      <m:r>
                        <m:t>n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{</m:t>
          </m:r>
          <m:acc>
            <m:accPr>
              <m:chr m:val="‾"/>
            </m:accPr>
            <m:e>
              <m:r>
                <m:t>n</m:t>
              </m:r>
            </m:e>
          </m:acc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n</m:t>
              </m:r>
            </m:e>
          </m:acc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n</m:t>
              </m:r>
            </m:e>
          </m:acc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ρ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den>
          </m:f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n</m:t>
              </m:r>
            </m:e>
          </m:acc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ρ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r</m:t>
                  </m:r>
                  <m:r>
                    <m:t>u</m:t>
                  </m:r>
                  <m:r>
                    <m:t>e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r</m:t>
                  </m:r>
                  <m:r>
                    <m:t>o</m:t>
                  </m:r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t>a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n</m:t>
                  </m:r>
                </m:e>
              </m:acc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ρ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Moulton-like design effect used as the mean-return special</w:t>
      </w:r>
      <w:r>
        <w:t xml:space="preserve"> </w:t>
      </w:r>
      <w:r>
        <w:t xml:space="preserve">case in the main text. It is a closed-form special case, not the full</w:t>
      </w:r>
      <w:r>
        <w:t xml:space="preserve"> </w:t>
      </w:r>
      <w:r>
        <w:t xml:space="preserve">Sharpe-ratio distortion result.</w:t>
      </w:r>
    </w:p>
    <w:bookmarkEnd w:id="23"/>
    <w:bookmarkStart w:id="24" w:name="sharpe-uvif-derivat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Sharpe UVIF Derivation</w:t>
      </w:r>
    </w:p>
    <w:p>
      <w:pPr>
        <w:pStyle w:val="FirstParagraph"/>
      </w:pPr>
      <w:r>
        <w:t xml:space="preserve">These calculations supply the algebra behind the Sharpe UVIF</w:t>
      </w:r>
      <w:r>
        <w:t xml:space="preserve"> </w:t>
      </w:r>
      <w:r>
        <w:t xml:space="preserve">decomposition in the main manuscript.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date-level portfolio excess return and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t>2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 The annualized Sharpe ratio is the smooth</w:t>
      </w:r>
      <w:r>
        <w:t xml:space="preserve"> </w:t>
      </w:r>
      <w:r>
        <w:t xml:space="preserve">functional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e>
          </m:rad>
          <m:f>
            <m:fPr>
              <m:type m:val="bar"/>
            </m:fPr>
            <m:num>
              <m:r>
                <m:t>μ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annualization factor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source-specific: the public configuration</w:t>
      </w:r>
      <w:r>
        <w:t xml:space="preserve"> </w:t>
      </w:r>
      <w:r>
        <w:t xml:space="preserve">uses</w:t>
      </w:r>
      <w:r>
        <w:t xml:space="preserve"> </w:t>
      </w:r>
      <m:oMath>
        <m:r>
          <m:t>252</m:t>
        </m:r>
      </m:oMath>
      <w:r>
        <w:t xml:space="preserve"> </w:t>
      </w:r>
      <w:r>
        <w:t xml:space="preserve">for daily sources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for monthly sources.</w:t>
      </w:r>
      <w:r>
        <w:t xml:space="preserve"> </w:t>
      </w:r>
      <w:r>
        <w:t xml:space="preserve">On sets where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R</m:t>
            </m:r>
          </m:sub>
        </m:sSub>
        <m:r>
          <m:rPr>
            <m:sty m:val="p"/>
          </m:rPr>
          <m:t>−</m:t>
        </m:r>
        <m:sSubSup>
          <m:e>
            <m:r>
              <m:t>μ</m:t>
            </m:r>
          </m:e>
          <m:sub>
            <m:r>
              <m:t>R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the first-order expansion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R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T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long-run covariance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Γ</m:t>
            </m:r>
          </m:e>
          <m:sub>
            <m:r>
              <m:t>0</m:t>
            </m:r>
          </m:sub>
          <m:sup>
            <m:r>
              <m:t>R</m:t>
            </m:r>
          </m:sup>
        </m:sSub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Sup>
          <m:e>
            <m:r>
              <m:rPr>
                <m:sty m:val="p"/>
              </m:rPr>
              <m:t>Γ</m:t>
            </m:r>
          </m:e>
          <m:sub>
            <m:r>
              <m:t>k</m:t>
            </m:r>
          </m:sub>
          <m:sup>
            <m:r>
              <m:t>R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Γ</m:t>
            </m:r>
          </m:e>
          <m:sub>
            <m:r>
              <m:t>k</m:t>
            </m:r>
          </m:sub>
          <m:sup>
            <m:r>
              <m:t>R</m:t>
            </m:r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V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R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d</m:t>
              </m:r>
            </m:e>
            <m:sub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sSub>
            <m:e>
              <m:r>
                <m:rPr>
                  <m:sty m:val="p"/>
                </m:rPr>
                <m:t>Ω</m:t>
              </m:r>
            </m:e>
            <m:sub>
              <m:r>
                <m:t>R</m:t>
              </m:r>
            </m:sub>
          </m:sSub>
          <m:sSub>
            <m:e>
              <m:r>
                <m:t>d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bSup>
            <m:e>
              <m:r>
                <m:t>T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row-pooled IID calculation applies the same delta method to</w:t>
      </w:r>
      <w:r>
        <w:t xml:space="preserve"> </w:t>
      </w:r>
      <m:oMath>
        <m:acc>
          <m:accPr>
            <m:chr m:val="‾"/>
          </m:accPr>
          <m:e>
            <m:r>
              <m:t>n</m:t>
            </m:r>
          </m:e>
        </m:acc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row observations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,</m:t>
        </m:r>
        <m:sSubSup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2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V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t>I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R</m:t>
                  </m:r>
                </m:e>
              </m:acc>
            </m:e>
            <m:sub>
              <m:r>
                <m:t>r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n</m:t>
              </m:r>
            </m:e>
          </m:acc>
          <m:sSub>
            <m:e>
              <m:r>
                <m:t>T</m:t>
              </m:r>
            </m:e>
            <m:sub>
              <m:r>
                <m:t>R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d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sSub>
            <m:e>
              <m:r>
                <m:rPr>
                  <m:sty m:val="p"/>
                </m:rPr>
                <m:t>Ψ</m:t>
              </m:r>
            </m:e>
            <m:sub>
              <m:r>
                <m:t>Y</m:t>
              </m:r>
            </m:sub>
          </m:sSub>
          <m:sSub>
            <m:e>
              <m:r>
                <m:t>d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n</m:t>
              </m:r>
            </m:e>
          </m:acc>
          <m:sSub>
            <m:e>
              <m:r>
                <m:t>T</m:t>
              </m:r>
            </m:e>
            <m:sub>
              <m:r>
                <m:t>R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 ratio gives the Sharpe UVIF: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n</m:t>
                  </m:r>
                </m:e>
              </m:acc>
              <m:r>
                <m:t> 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sSub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n</m:t>
                  </m:r>
                </m:e>
              </m:acc>
              <m:r>
                <m:t> 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0</m:t>
                  </m:r>
                </m:sub>
                <m:sup>
                  <m:r>
                    <m:t>R</m:t>
                  </m:r>
                </m:sup>
              </m:sSubSup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sSub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0</m:t>
                  </m:r>
                </m:sub>
                <m:sup>
                  <m:r>
                    <m:t>R</m:t>
                  </m:r>
                </m:sup>
              </m:sSubSup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term is the cross-sectional component and the second term is</w:t>
      </w:r>
      <w:r>
        <w:t xml:space="preserve"> </w:t>
      </w:r>
      <w:r>
        <w:t xml:space="preserve">the serial long-run factor. Componentwise,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sSub>
            <m:e>
              <m:r>
                <m:rPr>
                  <m:sty m:val="p"/>
                </m:rPr>
                <m:t>Ω</m:t>
              </m:r>
            </m:e>
            <m:sub>
              <m:r>
                <m:t>R</m:t>
              </m:r>
            </m:sub>
          </m:sSub>
          <m:sSub>
            <m:e>
              <m:r>
                <m:t>d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num>
            <m:den>
              <m:sSubSup>
                <m:e>
                  <m:r>
                    <m:t>v</m:t>
                  </m:r>
                </m:e>
                <m:sub>
                  <m:r>
                    <m:t>R</m:t>
                  </m:r>
                </m:sub>
                <m:sup>
                  <m:r>
                    <m:t>3</m:t>
                  </m:r>
                </m:sup>
              </m:sSubSup>
            </m:den>
          </m:f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m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R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22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term contains long-run covariances of squared</w:t>
      </w:r>
      <w:r>
        <w:t xml:space="preserve"> </w:t>
      </w:r>
      <w:r>
        <w:t xml:space="preserve">returns and therefore brings fourth moments into Sharpe-ratio variance.</w:t>
      </w:r>
    </w:p>
    <w:bookmarkEnd w:id="24"/>
    <w:bookmarkStart w:id="26" w:name="optional-order-size-sensitivity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Optional Order-Size Sensitivity</w:t>
      </w:r>
    </w:p>
    <w:p>
      <w:pPr>
        <w:pStyle w:val="FirstParagraph"/>
      </w:pPr>
      <w:r>
        <w:t xml:space="preserve">The public sorted-portfolio examples in the main manuscript do not</w:t>
      </w:r>
      <w:r>
        <w:t xml:space="preserve"> </w:t>
      </w:r>
      <w:r>
        <w:t xml:space="preserve">contain average daily volume or order-size information, so they do not</w:t>
      </w:r>
      <w:r>
        <w:t xml:space="preserve"> </w:t>
      </w:r>
      <w:r>
        <w:t xml:space="preserve">support an execution-scale claim. For traded-security panels where those inputs</w:t>
      </w:r>
      <w:r>
        <w:t xml:space="preserve"> </w:t>
      </w:r>
      <w:r>
        <w:t xml:space="preserve">are available, a square-root impact diagnostic can be added as an</w:t>
      </w:r>
      <w:r>
        <w:t xml:space="preserve"> </w:t>
      </w:r>
      <w:r>
        <w:t xml:space="preserve">optional sensitivity extension.</w:t>
      </w:r>
    </w:p>
    <w:bookmarkStart w:id="25" w:name="prop:order-size-frontier"/>
    <w:p>
      <w:pPr>
        <w:pStyle w:val="BodyText"/>
      </w:pPr>
      <w:r>
        <w:rPr>
          <w:b/>
          <w:bCs/>
        </w:rPr>
        <w:t xml:space="preserve">Proposition 1</w:t>
      </w:r>
      <w:r>
        <w:t xml:space="preserve"> </w:t>
      </w:r>
      <w:r>
        <w:t xml:space="preserve">(Square-root order-size sensitivity bound).</w:t>
      </w:r>
      <w:r>
        <w:t xml:space="preserve"> </w:t>
      </w:r>
      <w:r>
        <w:t xml:space="preserve"> </w:t>
      </w:r>
      <w:r>
        <w:rPr>
          <w:i/>
          <w:iCs/>
        </w:rPr>
        <w:t xml:space="preserve">Suppose a traded panel has row-pooled gross mean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r</m:t>
                </m:r>
              </m:e>
            </m:acc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row-pooled return standard deviation</w:t>
      </w:r>
      <w:r>
        <w:rPr>
          <w:i/>
          <w:iCs/>
        </w:rP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strictly positive average turnover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</m:e>
        </m:acc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trading dates, square-root impact cost</w:t>
      </w:r>
      <w:r>
        <w:rPr>
          <w:i/>
          <w:iCs/>
        </w:rPr>
        <w:t xml:space="preserve"> </w:t>
      </w:r>
      <m:oMath>
        <m:r>
          <m:t>λ</m:t>
        </m:r>
        <m:acc>
          <m:accPr>
            <m:chr m:val="̂"/>
          </m:accPr>
          <m:e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</m:e>
        </m:acc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/</m:t>
            </m:r>
            <m:r>
              <m:t>V</m:t>
            </m:r>
          </m:e>
        </m:rad>
      </m:oMath>
      <w:r>
        <w:rPr>
          <w:i/>
          <w:iCs/>
        </w:rPr>
        <w:t xml:space="preserve">, and a dependence</w:t>
      </w:r>
      <w:r>
        <w:rPr>
          <w:i/>
          <w:iCs/>
        </w:rPr>
        <w:t xml:space="preserve"> </w:t>
      </w:r>
      <w:r>
        <w:rPr>
          <w:i/>
          <w:iCs/>
        </w:rPr>
        <w:t xml:space="preserve">standard-error inflation factor</w:t>
      </w:r>
      <w:r>
        <w:rPr>
          <w:i/>
          <w:iCs/>
        </w:rPr>
        <w:t xml:space="preserve"> </w:t>
      </w:r>
      <m:oMath>
        <m:r>
          <m:rPr>
            <m:scr m:val="script"/>
            <m:sty m:val="p"/>
          </m:rPr>
          <m:t>M</m:t>
        </m:r>
        <m:r>
          <m:rPr>
            <m:sty m:val="p"/>
          </m:rPr>
          <m:t>≥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relative to</w:t>
      </w:r>
      <w:r>
        <w:rPr>
          <w:i/>
          <w:iCs/>
        </w:rPr>
        <w:t xml:space="preserve"> </w:t>
      </w:r>
      <w:r>
        <w:rPr>
          <w:i/>
          <w:iCs/>
        </w:rPr>
        <w:t xml:space="preserve">row-pooled inference.</w:t>
      </w:r>
      <w:r>
        <w:rPr>
          <w:i/>
          <w:iCs/>
        </w:rPr>
        <w:t xml:space="preserve"> </w:t>
      </w:r>
      <w:r>
        <w:rPr>
          <w:i/>
          <w:iCs/>
        </w:rPr>
        <w:t xml:space="preserve">For a one-sided level-</w:t>
      </w:r>
      <m:oMath>
        <m:r>
          <m:t>α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sensitivity margin, any statistically</w:t>
      </w:r>
      <w:r>
        <w:rPr>
          <w:i/>
          <w:iCs/>
        </w:rPr>
        <w:t xml:space="preserve"> </w:t>
      </w:r>
      <w:r>
        <w:rPr>
          <w:i/>
          <w:iCs/>
        </w:rPr>
        <w:t xml:space="preserve">screened asset scale</w:t>
      </w:r>
      <w:r>
        <w:rPr>
          <w:i/>
          <w:iCs/>
        </w:rP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must satisfy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≤</m:t>
          </m:r>
          <m:r>
            <m:t>V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r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g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α</m:t>
                          </m:r>
                        </m:sub>
                      </m:sSub>
                      <m:r>
                        <m:rPr>
                          <m:scr m:val="script"/>
                          <m:sty m:val="p"/>
                        </m:rPr>
                        <m:t>M</m:t>
                      </m:r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T</m:t>
                          </m:r>
                        </m:e>
                      </m:rad>
                    </m:num>
                    <m:den>
                      <m:r>
                        <m:t>λ</m:t>
                      </m:r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</m:e>
                      </m:acc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when the numerator is positive; otherwise no positive scale is screened</w:t>
      </w:r>
      <w:r>
        <w:rPr>
          <w:i/>
          <w:iCs/>
        </w:rPr>
        <w:t xml:space="preserve"> </w:t>
      </w:r>
      <w:r>
        <w:rPr>
          <w:i/>
          <w:iCs/>
        </w:rPr>
        <w:t xml:space="preserve">by the margin.</w:t>
      </w:r>
    </w:p>
    <w:bookmarkEnd w:id="25"/>
    <w:p>
      <w:pPr>
        <w:pStyle w:val="FirstParagraph"/>
      </w:pPr>
      <w:r>
        <w:t xml:space="preserve">For a square-root impact diagnostic, the dependence-adjusted one-sided</w:t>
      </w:r>
      <w:r>
        <w:t xml:space="preserve"> </w:t>
      </w:r>
      <w:r>
        <w:t xml:space="preserve">lower confidence margin for gross mean return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α</m:t>
              </m:r>
            </m:sub>
          </m:sSub>
          <m:r>
            <m:rPr>
              <m:scr m:val="script"/>
              <m:sty m:val="p"/>
            </m:rPr>
            <m:t>M</m:t>
          </m:r>
          <m:sSub>
            <m:e>
              <m:r>
                <m:t>σ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/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is the standard deviation of row-pooled</w:t>
      </w:r>
      <w:r>
        <w:t xml:space="preserve"> </w:t>
      </w:r>
      <w:r>
        <w:t xml:space="preserve">returns before date aggregation or UVIF adjustment. Square-root impact</w:t>
      </w:r>
      <w:r>
        <w:t xml:space="preserve"> </w:t>
      </w:r>
      <w:r>
        <w:t xml:space="preserve">subtracts</w:t>
      </w:r>
      <w:r>
        <w:t xml:space="preserve"> </w:t>
      </w:r>
      <m:oMath>
        <m:r>
          <m:t>λ</m:t>
        </m:r>
        <m:acc>
          <m:accPr>
            <m:chr m:val="̂"/>
          </m:accPr>
          <m:e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</m:e>
        </m:acc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/</m:t>
            </m:r>
            <m:r>
              <m:t>V</m:t>
            </m:r>
          </m:e>
        </m:rad>
      </m:oMath>
      <w:r>
        <w:t xml:space="preserve">. Requiring the net lower</w:t>
      </w:r>
      <w:r>
        <w:t xml:space="preserve"> </w:t>
      </w:r>
      <w:r>
        <w:t xml:space="preserve">margin to be nonnegative gives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acc>
            <m:accPr>
              <m:chr m:val="̂"/>
            </m:accPr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</m:e>
          </m:acc>
          <m:rad>
            <m:radPr>
              <m:degHide m:val="on"/>
            </m:radPr>
            <m:deg/>
            <m:e>
              <m:r>
                <m:t>A</m:t>
              </m:r>
              <m:r>
                <m:rPr>
                  <m:sty m:val="p"/>
                </m:rPr>
                <m:t>/</m:t>
              </m:r>
              <m:r>
                <m:t>V</m:t>
              </m:r>
            </m:e>
          </m:rad>
          <m:r>
            <m:rPr>
              <m:sty m:val="p"/>
            </m:rPr>
            <m:t>≤</m:t>
          </m:r>
          <m:sSub>
            <m:e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α</m:t>
              </m:r>
            </m:sub>
          </m:sSub>
          <m:r>
            <m:rPr>
              <m:scr m:val="script"/>
              <m:sty m:val="p"/>
            </m:rPr>
            <m:t>M</m:t>
          </m:r>
          <m:sSub>
            <m:e>
              <m:r>
                <m:t>σ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/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Rearranging yields the sensitivity bound in Proposition</w:t>
      </w:r>
      <w:r>
        <w:t xml:space="preserve"> </w:t>
      </w:r>
      <w:hyperlink w:anchor="prop:order-size-frontier">
        <w:r>
          <w:rPr>
            <w:rStyle w:val="Hyperlink"/>
          </w:rPr>
          <w:t xml:space="preserve">1</w:t>
        </w:r>
      </w:hyperlink>
      <w:r>
        <w:t xml:space="preserve">. If</w:t>
      </w:r>
      <w:r>
        <w:t xml:space="preserve"> </w:t>
      </w:r>
      <w:r>
        <w:t xml:space="preserve">the volatility input is already the date-level portfolio volatility, the</w:t>
      </w:r>
      <w:r>
        <w:t xml:space="preserve"> </w:t>
      </w:r>
      <w:r>
        <w:t xml:space="preserve">date boundary has already embedded the cross-sectional UVIF component,</w:t>
      </w:r>
      <w:r>
        <w:t xml:space="preserve"> </w:t>
      </w:r>
      <w:r>
        <w:t xml:space="preserve">so the cross-sectional part of</w:t>
      </w:r>
      <w:r>
        <w:t xml:space="preserve"> </w:t>
      </w:r>
      <m:oMath>
        <m:r>
          <m:rPr>
            <m:scr m:val="script"/>
            <m:sty m:val="p"/>
          </m:rPr>
          <m:t>M</m:t>
        </m:r>
      </m:oMath>
      <w:r>
        <w:t xml:space="preserve"> </w:t>
      </w:r>
      <w:r>
        <w:t xml:space="preserve">must not be multiplied in</w:t>
      </w:r>
      <w:r>
        <w:t xml:space="preserve"> </w:t>
      </w:r>
      <w:r>
        <w:t xml:space="preserve">again.</w:t>
      </w:r>
    </w:p>
    <w:bookmarkEnd w:id="26"/>
    <w:bookmarkStart w:id="27" w:name="higher-moment-uvif-and-erir-detail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Higher-Moment UVIF and ERIR Details</w:t>
      </w:r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define skewness and kurtosis</w:t>
      </w:r>
      <w:r>
        <w:t xml:space="preserve"> </w:t>
      </w:r>
      <w:r>
        <w:t xml:space="preserve">from the central moments implied by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p>
      </m:oMath>
      <w:r>
        <w:t xml:space="preserve">. Any adjusted</w:t>
      </w:r>
      <w:r>
        <w:t xml:space="preserve"> </w:t>
      </w:r>
      <w:r>
        <w:t xml:space="preserve">Sharpe functional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has a delta-method variance</w:t>
      </w:r>
      <w:r>
        <w:t xml:space="preserve"> </w:t>
      </w:r>
      <m:oMath>
        <m:r>
          <m:rPr>
            <m:sty m:val="p"/>
          </m:rPr>
          <m:t>∇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Ω</m:t>
            </m:r>
          </m:e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∇</m:t>
        </m:r>
        <m:r>
          <m:t>h</m:t>
        </m:r>
      </m:oMath>
      <w:r>
        <w:t xml:space="preserve">, where</w:t>
      </w:r>
      <w:r>
        <w:t xml:space="preserve"> </w:t>
      </w:r>
      <m:oMath>
        <m:sSup>
          <m:e>
            <m:r>
              <m:rPr>
                <m:sty m:val="p"/>
              </m:rPr>
              <m:t>Ω</m:t>
            </m:r>
          </m:e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t xml:space="preserve">long-run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t>3</m:t>
            </m:r>
          </m:sup>
        </m:sSubSup>
        <m:r>
          <m:rPr>
            <m:sty m:val="p"/>
          </m:rPr>
          <m:t>,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t>4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 The</w:t>
      </w:r>
      <w:r>
        <w:t xml:space="preserve"> </w:t>
      </w:r>
      <w:r>
        <w:t xml:space="preserve">higher-moment UVIF is the corresponding ratio of date-level long-run</w:t>
      </w:r>
      <w:r>
        <w:t xml:space="preserve"> </w:t>
      </w:r>
      <w:r>
        <w:t xml:space="preserve">variance to row-pooled IID variance. It is a diagnostic extension, not</w:t>
      </w:r>
      <w:r>
        <w:t xml:space="preserve"> </w:t>
      </w:r>
      <w:r>
        <w:t xml:space="preserve">an additional empirical rejection rule.</w:t>
      </w:r>
    </w:p>
    <w:p>
      <w:pPr>
        <w:pStyle w:val="BodyText"/>
      </w:pPr>
      <w:r>
        <w:t xml:space="preserve">The Effective Row Information Retention (ERIR) diagnostic is a</w:t>
      </w:r>
      <w:r>
        <w:t xml:space="preserve"> </w:t>
      </w:r>
      <w:r>
        <w:t xml:space="preserve">design-effect retention calculation, not a hypothesis test or a formal</w:t>
      </w:r>
      <w:r>
        <w:t xml:space="preserve"> </w:t>
      </w:r>
      <w:r>
        <w:t xml:space="preserve">information claim. Under the same equicorrelated approximation</w:t>
      </w:r>
      <w:r>
        <w:t xml:space="preserve"> </w:t>
      </w:r>
      <w:r>
        <w:t xml:space="preserve">used for the mean-return design effect,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E</m:t>
              </m:r>
            </m:e>
            <m:sub>
              <m:r>
                <m:t>μ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n</m:t>
              </m:r>
            </m:e>
          </m:acc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ρ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n</m:t>
              </m:r>
            </m:e>
          </m:acc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ρ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an ERIR of</w:t>
      </w:r>
      <w:r>
        <w:t xml:space="preserve"> </w:t>
      </w:r>
      <m:oMath>
        <m:r>
          <m:t>0.111</m:t>
        </m:r>
      </m:oMath>
      <w:r>
        <w:t xml:space="preserve"> </w:t>
      </w:r>
      <w:r>
        <w:t xml:space="preserve">means that roughly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0.111</m:t>
        </m:r>
        <m:r>
          <m:rPr>
            <m:sty m:val="p"/>
          </m:rPr>
          <m:t>=</m:t>
        </m:r>
        <m:r>
          <m:t>0.889</m:t>
        </m:r>
      </m:oMath>
      <w:r>
        <w:t xml:space="preserve">, or 89</w:t>
      </w:r>
      <w:r>
        <w:t xml:space="preserve"> </w:t>
      </w:r>
      <w:r>
        <w:t xml:space="preserve">percent, of nominal row-level information is redundant under this</w:t>
      </w:r>
      <w:r>
        <w:t xml:space="preserve"> </w:t>
      </w:r>
      <w:r>
        <w:t xml:space="preserve">diagnostic approximation. Confirmatory inference remains based on</w:t>
      </w:r>
      <w:r>
        <w:t xml:space="preserve"> </w:t>
      </w:r>
      <w:r>
        <w:t xml:space="preserve">date-level HAC-delta and dependent-bootstrap procedures. When the</w:t>
      </w:r>
      <w:r>
        <w:t xml:space="preserve"> </w:t>
      </w:r>
      <w:r>
        <w:t xml:space="preserve">descriptive equicorrelation estimate is non-positive, the unclipped ERIR</w:t>
      </w:r>
      <w:r>
        <w:t xml:space="preserve"> </w:t>
      </w:r>
      <w:r>
        <w:t xml:space="preserve">can exceed one and the corresponding UVIF can fall below one; the main</w:t>
      </w:r>
      <w:r>
        <w:t xml:space="preserve"> </w:t>
      </w:r>
      <w:r>
        <w:t xml:space="preserve">manuscript displays a conservative one-sided UVIF floor at one and</w:t>
      </w:r>
      <w:r>
        <w:t xml:space="preserve"> </w:t>
      </w:r>
      <w:r>
        <w:t xml:space="preserve">reports the unclipped diagnostics separately.</w:t>
      </w:r>
    </w:p>
    <w:bookmarkEnd w:id="27"/>
    <w:bookmarkStart w:id="29" w:name="synthetic-positive-control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Synthetic Positive Control</w:t>
      </w:r>
    </w:p>
    <w:p>
      <w:pPr>
        <w:pStyle w:val="FirstParagraph"/>
      </w:pPr>
      <w:r>
        <w:t xml:space="preserve">This section gives the appendix version of the known-edge calibration</w:t>
      </w:r>
      <w:r>
        <w:t xml:space="preserve"> </w:t>
      </w:r>
      <w:r>
        <w:t xml:space="preserve">check. The synthetic panel is not empirical evidence for a public</w:t>
      </w:r>
      <w:r>
        <w:t xml:space="preserve"> </w:t>
      </w:r>
      <w:r>
        <w:t xml:space="preserve">strategy; it verifies that the pre-specified reporting rule can</w:t>
      </w:r>
      <w:r>
        <w:t xml:space="preserve"> </w:t>
      </w:r>
      <w:r>
        <w:t xml:space="preserve">accept a declared positive signal when the data-generating process</w:t>
      </w:r>
      <w:r>
        <w:t xml:space="preserve"> </w:t>
      </w:r>
      <w:r>
        <w:t xml:space="preserve">contains one.</w:t>
      </w:r>
      <w:r>
        <w:t xml:space="preserve"> </w:t>
      </w:r>
      <w:r>
        <w:t xml:space="preserve">The generated panel has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5000</m:t>
        </m:r>
      </m:oMath>
      <w:r>
        <w:t xml:space="preserve"> </w:t>
      </w:r>
      <w:r>
        <w:t xml:space="preserve">dates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names. Signed</w:t>
      </w:r>
      <w:r>
        <w:t xml:space="preserve"> </w:t>
      </w:r>
      <w:r>
        <w:t xml:space="preserve">returns include daily alpha</w:t>
      </w:r>
      <w:r>
        <w:t xml:space="preserve"> </w:t>
      </w:r>
      <m:oMath>
        <m:r>
          <m:t>0.12</m:t>
        </m:r>
        <m:r>
          <m:rPr>
            <m:sty m:val="p"/>
          </m:rPr>
          <m:t>/</m:t>
        </m:r>
        <m:r>
          <m:t>252</m:t>
        </m:r>
      </m:oMath>
      <w:r>
        <w:t xml:space="preserve">, idiosyncratic volatility</w:t>
      </w:r>
      <w:r>
        <w:t xml:space="preserve"> </w:t>
      </w:r>
      <m:oMath>
        <m:r>
          <m:t>0.01</m:t>
        </m:r>
      </m:oMath>
      <w:r>
        <w:t xml:space="preserve">, a common loading of</w:t>
      </w:r>
      <w:r>
        <w:t xml:space="preserve"> </w:t>
      </w:r>
      <m:oMath>
        <m:r>
          <m:t>0.50</m:t>
        </m:r>
      </m:oMath>
      <w:r>
        <w:t xml:space="preserve">, AR(1) common-factor coefficient</w:t>
      </w:r>
      <w:r>
        <w:t xml:space="preserve"> </w:t>
      </w:r>
      <m:oMath>
        <m:r>
          <m:t>0.10</m:t>
        </m:r>
      </m:oMath>
      <w:r>
        <w:t xml:space="preserve">, signal-stay probability</w:t>
      </w:r>
      <w:r>
        <w:t xml:space="preserve"> </w:t>
      </w:r>
      <m:oMath>
        <m:r>
          <m:t>0.98</m:t>
        </m:r>
      </m:oMath>
      <w:r>
        <w:t xml:space="preserve">, and seed 777. The displayed</w:t>
      </w:r>
      <w:r>
        <w:t xml:space="preserve"> </w:t>
      </w:r>
      <w:r>
        <w:t xml:space="preserve">run is one representative known-edge calibration with 5000 bootstrap</w:t>
      </w:r>
      <w:r>
        <w:t xml:space="preserve"> </w:t>
      </w:r>
      <w:r>
        <w:t xml:space="preserve">draws and 10000 same-date permutations; costs use the same 5 bps</w:t>
      </w:r>
      <w:r>
        <w:t xml:space="preserve"> </w:t>
      </w:r>
      <w:r>
        <w:t xml:space="preserve">turnover-stress convention as the public tables. The replication</w:t>
      </w:r>
      <w:r>
        <w:t xml:space="preserve"> </w:t>
      </w:r>
      <w:r>
        <w:t xml:space="preserve">screen below uses fewer resampling draws and is reported only as a power</w:t>
      </w:r>
      <w:r>
        <w:t xml:space="preserve"> </w:t>
      </w:r>
      <w:r>
        <w:t xml:space="preserve">sanity check.</w:t>
      </w:r>
      <w:r>
        <w:t xml:space="preserve"> </w:t>
      </w:r>
      <w:r>
        <w:t xml:space="preserve">The data-generating process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0.10</m:t>
          </m:r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ϵ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0.01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0.98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0.12</m:t>
          </m:r>
          <m:r>
            <m:rPr>
              <m:sty m:val="p"/>
            </m:rPr>
            <m:t>/</m:t>
          </m:r>
          <m:r>
            <m:t>252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0.50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calibration then applies the same signed-row construction, date</w:t>
      </w:r>
      <w:r>
        <w:t xml:space="preserve"> </w:t>
      </w:r>
      <w:r>
        <w:t xml:space="preserve">aggregation, HAC-delta inference, Romano-Wolf menu adjustment,</w:t>
      </w:r>
      <w:r>
        <w:t xml:space="preserve"> </w:t>
      </w:r>
      <w:r>
        <w:t xml:space="preserve">same-date permutation, and 5 bps cost stress used in the public tables.</w:t>
      </w:r>
    </w:p>
    <w:bookmarkStart w:id="28" w:name="tab:synthetic-positive-control"/>
    <w:p>
      <w:pPr>
        <w:pStyle w:val="TableCaption"/>
      </w:pPr>
      <w:r>
        <w:t xml:space="preserve">Synthetic positive-control evaluation.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ynthetic positive-control evaluation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Panel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‾"/>
                </m:accPr>
                <m:e>
                  <m:r>
                    <m:t>ρ</m:t>
                  </m:r>
                </m:e>
              </m:acc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SE infl.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HAC</w:t>
            </w:r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RW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Perm.</w:t>
            </w:r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Synthetic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7.67e-13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1.00e-04</w:t>
            </w:r>
          </w:p>
        </w:tc>
      </w:tr>
    </w:tbl>
    <w:bookmarkEnd w:id="28"/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The replication screen uses fewer resampling draws than the detailed calibration row and is reported only as a power sanity check.</w:t>
      </w:r>
    </w:p>
    <w:bookmarkEnd w:id="29"/>
    <w:bookmarkStart w:id="38" w:name="full-empirical-table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Full Empirical Tables</w:t>
      </w:r>
    </w:p>
    <w:p>
      <w:pPr>
        <w:pStyle w:val="FirstParagraph"/>
      </w:pPr>
      <w:r>
        <w:t xml:space="preserve">These tables are supporting diagnostics rather than primary evidence; the main text</w:t>
      </w:r>
      <w:r>
        <w:t xml:space="preserve"> </w:t>
      </w:r>
      <w:r>
        <w:t xml:space="preserve">reports the compressed interpretation.</w:t>
      </w:r>
      <w:r>
        <w:t xml:space="preserve"> </w:t>
      </w:r>
      <w:r>
        <w:t xml:space="preserve">The inferential tables in this appendix report only public sources that</w:t>
      </w:r>
      <w:r>
        <w:t xml:space="preserve"> </w:t>
      </w:r>
      <w:r>
        <w:t xml:space="preserve">loaded and produced reproducible outputs. Failed source-access</w:t>
      </w:r>
      <w:r>
        <w:t xml:space="preserve"> </w:t>
      </w:r>
      <w:r>
        <w:t xml:space="preserve">attempts remain in the generated provenance files and run metadata,</w:t>
      </w:r>
      <w:r>
        <w:t xml:space="preserve"> </w:t>
      </w:r>
      <w:r>
        <w:t xml:space="preserve">but are not treated as empirical evidence.</w:t>
      </w:r>
      <w:r>
        <w:t xml:space="preserve"> </w:t>
      </w:r>
      <w:r>
        <w:t xml:space="preserve">Panel candidates and pre-aggregated factor benchmarks are reported in</w:t>
      </w:r>
      <w:r>
        <w:t xml:space="preserve"> </w:t>
      </w:r>
      <w:r>
        <w:t xml:space="preserve">separate groups because only the former provide row-level signals for</w:t>
      </w:r>
      <w:r>
        <w:t xml:space="preserve"> </w:t>
      </w:r>
      <w:r>
        <w:t xml:space="preserve">same-date permutation and sampling-boundary diagnostics.</w:t>
      </w:r>
      <w:r>
        <w:t xml:space="preserve"> </w:t>
      </w:r>
      <w:r>
        <w:t xml:space="preserve">For each empirical table group, the check is whether the result survives</w:t>
      </w:r>
      <w:r>
        <w:t xml:space="preserve"> </w:t>
      </w:r>
      <w:r>
        <w:t xml:space="preserve">moving from rows to date returns, whether nearby HAC and dependent-bootstrap</w:t>
      </w:r>
      <w:r>
        <w:t xml:space="preserve"> </w:t>
      </w:r>
      <w:r>
        <w:t xml:space="preserve">variants agree, and whether placebo or cost diagnostics overturn the simple</w:t>
      </w:r>
      <w:r>
        <w:t xml:space="preserve"> </w:t>
      </w:r>
      <w:r>
        <w:t xml:space="preserve">Sharpe interpretation. Large disagreement across these tables is a</w:t>
      </w:r>
      <w:r>
        <w:t xml:space="preserve"> </w:t>
      </w:r>
      <w:r>
        <w:t xml:space="preserve">robustness warning, not a new discovery channel.</w:t>
      </w:r>
    </w:p>
    <w:p>
      <w:pPr>
        <w:pStyle w:val="BodyText"/>
      </w:pPr>
      <w:r>
        <w:t xml:space="preserve">This supplement reports loaded sources in separated groups. The</w:t>
      </w:r>
      <w:r>
        <w:t xml:space="preserve"> </w:t>
      </w:r>
      <w:r>
        <w:t xml:space="preserve">loader provenance is retained in the generated metadata; it is not a</w:t>
      </w:r>
      <w:r>
        <w:t xml:space="preserve"> </w:t>
      </w:r>
      <w:r>
        <w:t xml:space="preserve">comparable pass/fail table. The tables are supporting diagnostics</w:t>
      </w:r>
      <w:r>
        <w:t xml:space="preserve"> </w:t>
      </w:r>
      <w:r>
        <w:t xml:space="preserve">rather than primary evidence; the main text reports the compressed</w:t>
      </w:r>
      <w:r>
        <w:t xml:space="preserve"> </w:t>
      </w:r>
      <w:r>
        <w:t xml:space="preserve">interpretation.</w:t>
      </w:r>
    </w:p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Time-series only means not eligible for same-date permutation, row-retention diagnostics, or the full panel decision rule.</w:t>
      </w:r>
    </w:p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The row-naive column treats selected rows as independent. Date-IID, date-HAC, and block-bootstrap columns operate on the date-level portfolio return series.</w:t>
      </w:r>
    </w:p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Displayed main-text UVIF values are floored at one when the equicorrelation diagnostic is non-inflationary; unclipped values remain descriptive diagnostics and are not rejection rules.</w:t>
      </w:r>
    </w:p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Displayed UVIF is a one-sided inflation summary floored at one. Degenerate same-date permutation diagnostics are reported as uninformative rather than converted into failures.</w:t>
      </w:r>
    </w:p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A near-zero permutation-null standard deviation is reported as N/A because the placebo is uninformative for that threshold, not calibrated evidence for or against predictability.</w:t>
      </w:r>
    </w:p>
    <w:bookmarkStart w:id="33" w:name="fig:threshold-profile"/>
    <w:p>
      <w:pPr>
        <w:pStyle w:val="CaptionedFigure"/>
      </w:pPr>
      <w:r>
        <w:drawing>
          <wp:inline>
            <wp:extent cx="4373880" cy="262085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generated_figures/threshold_profile.pdf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620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Threshold-profile diagnostics for public candidate panels; each line shows how annualized Sharpe changes when the pre-specified confidence threshold is varied.</w:t>
      </w:r>
    </w:p>
    <w:bookmarkEnd w:id="33"/>
    <w:bookmarkStart w:id="37" w:name="fig:cost-sensitivity"/>
    <w:p>
      <w:pPr>
        <w:pStyle w:val="CaptionedFigure"/>
      </w:pPr>
      <w:r>
        <w:drawing>
          <wp:inline>
            <wp:extent cx="4373880" cy="2620856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generated_figures/cost_sensitivity.pdf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620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Turnover-scaled cost sensitivity at primary candidate thresholds; positive values indicate that the candidate remains above zero after the displayed linear cost stress.</w:t>
      </w:r>
    </w:p>
    <w:bookmarkEnd w:id="37"/>
    <w:bookmarkEnd w:id="38"/>
    <w:bookmarkStart w:id="43" w:name="full-monte-carlo-table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Full Monte Carlo Tables</w:t>
      </w:r>
    </w:p>
    <w:p>
      <w:pPr>
        <w:pStyle w:val="FirstParagraph"/>
      </w:pPr>
      <w:r>
        <w:t xml:space="preserve">The simulation tables target the date-level Sharpe claim. Row-naive</w:t>
      </w:r>
      <w:r>
        <w:t xml:space="preserve"> </w:t>
      </w:r>
      <w:r>
        <w:t xml:space="preserve">coverage is therefore reported against that date-level target, not</w:t>
      </w:r>
      <w:r>
        <w:t xml:space="preserve"> </w:t>
      </w:r>
      <w:r>
        <w:t xml:space="preserve">against a separate row-distribution target. The design-sweep table is a</w:t>
      </w:r>
      <w:r>
        <w:t xml:space="preserve"> </w:t>
      </w:r>
      <w:r>
        <w:t xml:space="preserve">stress diagnostic over same-date correlation and selected-count pressure</w:t>
      </w:r>
      <w:r>
        <w:t xml:space="preserve"> </w:t>
      </w:r>
      <w:r>
        <w:t xml:space="preserve">under a null design with no true edge.</w:t>
      </w:r>
      <w:r>
        <w:t xml:space="preserve"> </w:t>
      </w:r>
      <w:r>
        <w:t xml:space="preserve">The main concern in this table group is size distortion: a method that</w:t>
      </w:r>
      <w:r>
        <w:t xml:space="preserve"> </w:t>
      </w:r>
      <w:r>
        <w:t xml:space="preserve">looks powerful because it overrejects under the null is not acceptable</w:t>
      </w:r>
      <w:r>
        <w:t xml:space="preserve"> </w:t>
      </w:r>
      <w:r>
        <w:t xml:space="preserve">for confirmatory evaluation.</w:t>
      </w:r>
    </w:p>
    <w:bookmarkStart w:id="42" w:name="fig:power-curve"/>
    <w:p>
      <w:pPr>
        <w:pStyle w:val="CaptionedFigure"/>
      </w:pPr>
      <w:r>
        <w:drawing>
          <wp:inline>
            <wp:extent cx="4373880" cy="262085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generated_figures/power_curve.pdf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620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Monte Carlo rejection rates by true annualized Sharpe; the figure separates genuine power from methods that already overreject under null designs with no true edge.</w:t>
      </w:r>
    </w:p>
    <w:bookmarkEnd w:id="42"/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All null designs have true Sharpe equal to zero. Positive-control rows use a declared nonzero signal and are included to show that the reporting rule is not mechanically anti-discovery.</w:t>
      </w:r>
    </w:p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Row-naive intervals are evaluated against the economically relevant date-level Sharpe target, not against their own row-distribution Sharpe target. Low row-naive coverage therefore records target mismatch and false precision at the portfolio boundary.</w:t>
      </w:r>
    </w:p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These are not ordinary row-estimator coverage rates; they evaluate the row-naive interval against the economically relevant date-level target.</w:t>
      </w:r>
    </w:p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Row-naive overrejection rises with same-date dependence and selected-count pressure, whereas date-level HAC remains close to nominal size.</w:t>
      </w:r>
    </w:p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Each entry is the fraction of 1000 Monte Carlo replications rejected at nominal 5 percent size. The main null designs use T=1000 dates and N=50 entities. Dependent null combines same-date and serial dependence; GARCH null adds conditional heteroskedasticity; IID null removes both. Row-naive treats selected asset-date rows as independent; the other procedures operate on the date-level portfolio return series.</w:t>
      </w:r>
    </w:p>
    <w:bookmarkEnd w:id="43"/>
    <w:bookmarkStart w:id="44" w:name="robustness-and-configuration-note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Robustness and Configuration Notes</w:t>
      </w:r>
    </w:p>
    <w:p>
      <w:pPr>
        <w:pStyle w:val="FirstParagraph"/>
      </w:pPr>
      <w:r>
        <w:t xml:space="preserve">The public configuration is fixed in . It</w:t>
      </w:r>
      <w:r>
        <w:t xml:space="preserve"> </w:t>
      </w:r>
      <w:r>
        <w:t xml:space="preserve">records loaders, public source metadata, threshold menus, primary</w:t>
      </w:r>
      <w:r>
        <w:t xml:space="preserve"> </w:t>
      </w:r>
      <w:r>
        <w:t xml:space="preserve">thresholds, and lookback/skip parameters. Changing a source, lookback,</w:t>
      </w:r>
      <w:r>
        <w:t xml:space="preserve"> </w:t>
      </w:r>
      <w:r>
        <w:t xml:space="preserve">threshold, cost assumption, or eligibility rule after seeing results</w:t>
      </w:r>
      <w:r>
        <w:t xml:space="preserve"> </w:t>
      </w:r>
      <w:r>
        <w:t xml:space="preserve">creates a new researcher menu and must be reported as exploratory.</w:t>
      </w:r>
      <w:r>
        <w:t xml:space="preserve"> </w:t>
      </w:r>
      <w:r>
        <w:t xml:space="preserve">Rendered tables in the submitted package use the following SHA256</w:t>
      </w:r>
      <w:r>
        <w:t xml:space="preserve"> </w:t>
      </w:r>
      <w:r>
        <w:t xml:space="preserve">identifiers:</w:t>
      </w:r>
    </w:p>
    <w:p>
      <w:pPr>
        <w:pStyle w:val="BlockText"/>
      </w:pPr>
      <w:r>
        <w:t xml:space="preserve">configuration</w:t>
      </w:r>
      <w:r>
        <w:t xml:space="preserve"> </w:t>
      </w:r>
      <w:r>
        <w:rPr>
          <w:rStyle w:val="VerbatimChar"/>
        </w:rPr>
        <w:t xml:space="preserve">code/campaign_registry.json</w:t>
      </w:r>
      <w:r>
        <w:t xml:space="preserve">:</w:t>
      </w:r>
      <w:r>
        <w:br/>
      </w:r>
      <w:r>
        <w:rPr>
          <w:rStyle w:val="VerbatimChar"/>
        </w:rPr>
        <w:t xml:space="preserve">3a616f119f3fe2603b0663e3f68c499496c37a1781f3003e82814c9269a16259</w:t>
      </w:r>
      <w:r>
        <w:br/>
      </w:r>
      <w:r>
        <w:t xml:space="preserve">generated campaign metadata</w:t>
      </w:r>
      <w:r>
        <w:t xml:space="preserve"> </w:t>
      </w:r>
      <w:r>
        <w:rPr>
          <w:rStyle w:val="VerbatimChar"/>
        </w:rPr>
        <w:t xml:space="preserve">campaign_metadata.json</w:t>
      </w:r>
      <w:r>
        <w:t xml:space="preserve">:</w:t>
      </w:r>
      <w:r>
        <w:br/>
      </w:r>
      <w:r>
        <w:rPr>
          <w:rStyle w:val="VerbatimChar"/>
        </w:rPr>
        <w:t xml:space="preserve">5cb21ac2cb87cb74a26090a66b28dac6890f76dd1d4bd4391ea6290267810dff</w:t>
      </w:r>
    </w:p>
    <w:p>
      <w:pPr>
        <w:pStyle w:val="FirstParagraph"/>
      </w:pPr>
      <w:r>
        <w:t xml:space="preserve">Stationarity diagnostics, holdout splits, HAC bandwidth sweeps,</w:t>
      </w:r>
      <w:r>
        <w:t xml:space="preserve"> </w:t>
      </w:r>
      <w:r>
        <w:t xml:space="preserve">prewhitened HAC, fixed-fraction HAC, moving-block bootstrap, and</w:t>
      </w:r>
      <w:r>
        <w:t xml:space="preserve"> </w:t>
      </w:r>
      <w:r>
        <w:t xml:space="preserve">stationary bootstrap results are secondary robustness checks. They are</w:t>
      </w:r>
      <w:r>
        <w:t xml:space="preserve"> </w:t>
      </w:r>
      <w:r>
        <w:t xml:space="preserve">used to identify fragile claims, not to replace the main date-return</w:t>
      </w:r>
      <w:r>
        <w:t xml:space="preserve"> </w:t>
      </w:r>
      <w:r>
        <w:t xml:space="preserve">decision rule.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df" /><Relationship Type="http://schemas.openxmlformats.org/officeDocument/2006/relationships/image" Id="rId39" Target="media/rId39.pdf" /><Relationship Type="http://schemas.openxmlformats.org/officeDocument/2006/relationships/image" Id="rId30" Target="media/rId30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Appendix: Sampling-Boundary Distortion in Sharpe Ratio: Evidence from Financial Panels</dc:title>
  <dc:creator/>
  <cp:keywords/>
  <dcterms:created xsi:type="dcterms:W3CDTF">2026-07-01T17:03:08Z</dcterms:created>
  <dcterms:modified xsi:type="dcterms:W3CDTF">2026-07-01T17:03:08Z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