
<file path=[Content_Types].xml><?xml version="1.0" encoding="utf-8"?>
<Types xmlns="http://schemas.openxmlformats.org/package/2006/content-types">
  <Default Extension="pdf" ContentType="application/unknown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8"/>
        <w:pBdr/>
        <w:spacing/>
        <w:ind/>
        <w:rPr/>
      </w:pPr>
      <w:r>
        <w:t xml:space="preserve">Sampling-Boundary Distortion in Sharpe Ratio: Evidence from Financial Panels</w:t>
      </w:r>
      <w:r/>
    </w:p>
    <w:p>
      <w:pPr>
        <w:pStyle w:val="692"/>
        <w:pBdr/>
        <w:spacing/>
        <w:ind/>
        <w:rPr/>
      </w:pPr>
      <w:r/>
      <w:r/>
    </w:p>
    <w:p>
      <w:pPr>
        <w:pStyle w:val="697"/>
        <w:pBdr/>
        <w:spacing/>
        <w:ind/>
        <w:rPr/>
      </w:pPr>
      <w:r/>
      <w:bookmarkStart w:id="21" w:name="abstract"/>
      <w:r>
        <w:t xml:space="preserve">Abstract</w:t>
      </w:r>
      <w:r/>
    </w:p>
    <w:p>
      <w:pPr>
        <w:pStyle w:val="686"/>
        <w:pBdr/>
        <w:spacing/>
        <w:ind/>
        <w:rPr/>
      </w:pPr>
      <w:r>
        <w:t xml:space="preserve">Treating each asset-date return as independent can make panel Sharpe</w:t>
      </w:r>
      <w:r>
        <w:t xml:space="preserve"> </w:t>
      </w:r>
      <w:r>
        <w:t xml:space="preserve">ratios appear overly precise. Portfolio performance, however, is</w:t>
      </w:r>
      <w:r>
        <w:t xml:space="preserve"> </w:t>
      </w:r>
      <w:r>
        <w:t xml:space="preserve">observed as one aggregate return per date. This paper studies that</w:t>
      </w:r>
      <w:r>
        <w:t xml:space="preserve"> </w:t>
      </w:r>
      <w:r>
        <w:t xml:space="preserve">row-to-date sampling-boundary distortion using public Kenneth French</w:t>
      </w:r>
      <w:r>
        <w:t xml:space="preserve"> </w:t>
      </w:r>
      <w:r>
        <w:t xml:space="preserve">panels, AQR factor series, and Monte Carlo designs. It introduces Sharpe</w:t>
      </w:r>
      <w:r>
        <w:t xml:space="preserve"> </w:t>
      </w:r>
      <w:r>
        <w:t xml:space="preserve">UVIF (Unified Variance Inflation Factor), defined as the date-level</w:t>
      </w:r>
      <w:r>
        <w:t xml:space="preserve"> </w:t>
      </w:r>
      <w:r>
        <w:t xml:space="preserve">long-run variance of the Sharpe estimator divided by the naive</w:t>
      </w:r>
      <w:r>
        <w:t xml:space="preserve"> </w:t>
      </w:r>
      <w:r>
        <w:t xml:space="preserve">row-pooled independent-observation variance. The analysis evaluates</w:t>
      </w:r>
      <w:r>
        <w:t xml:space="preserve"> </w:t>
      </w:r>
      <w:r>
        <w:t xml:space="preserve">empirical claims after date aggregation with</w:t>
      </w:r>
      <w:r>
        <w:t xml:space="preserve"> </w:t>
      </w:r>
      <w:r>
        <w:t xml:space="preserve">heteroskedasticity-and-autocorrelation consistent (HAC) delta tests and</w:t>
      </w:r>
      <w:r>
        <w:t xml:space="preserve"> </w:t>
      </w:r>
      <w:r>
        <w:t xml:space="preserve">dependent bootstraps; multiple-testing, same-date permutation, and</w:t>
      </w:r>
      <w:r>
        <w:t xml:space="preserve"> </w:t>
      </w:r>
      <w:r>
        <w:t xml:space="preserve">turnover-cost diagnostics are reported separately. Under dependent null</w:t>
      </w:r>
      <w:r>
        <w:t xml:space="preserve"> </w:t>
      </w:r>
      <w:r>
        <w:t xml:space="preserve">designs with no true edge, row-naive tests reject about 35 percent at</w:t>
      </w:r>
      <w:r>
        <w:t xml:space="preserve"> </w:t>
      </w:r>
      <w:r>
        <w:t xml:space="preserve">nominal 5 percent, while date-level corrections stay much closer to</w:t>
      </w:r>
      <w:r>
        <w:t xml:space="preserve"> </w:t>
      </w:r>
      <w:r>
        <w:t xml:space="preserve">nominal size. Benchmark momentum remains significant after adjustment;</w:t>
      </w:r>
      <w:r>
        <w:t xml:space="preserve"> </w:t>
      </w:r>
      <w:r>
        <w:t xml:space="preserve">weaker panel claims do not.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Keywords:</w:t>
      </w:r>
      <w:r>
        <w:t xml:space="preserve"> </w:t>
      </w:r>
      <w:r>
        <w:t xml:space="preserve">Sharpe ratio; panel data; cross-sectional dependence;</w:t>
      </w:r>
      <w:r>
        <w:t xml:space="preserve"> </w:t>
      </w:r>
      <w:r>
        <w:t xml:space="preserve">serial dependence; HAC/bootstrap inference; portfolio evaluation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JEL Codes:</w:t>
      </w:r>
      <w:r>
        <w:t xml:space="preserve"> </w:t>
      </w:r>
      <w:r>
        <w:t xml:space="preserve">C12; C15; G11; G12; G17</w:t>
      </w:r>
      <w:bookmarkEnd w:id="21"/>
      <w:r/>
    </w:p>
    <w:p>
      <w:pPr>
        <w:pStyle w:val="697"/>
        <w:pBdr/>
        <w:spacing/>
        <w:ind/>
        <w:rPr/>
      </w:pPr>
      <w:r/>
      <w:bookmarkStart w:id="24" w:name="introduction"/>
      <w:r>
        <w:rPr>
          <w:rStyle w:val="729"/>
        </w:rPr>
        <w:t xml:space="preserve">1</w:t>
      </w:r>
      <w:r>
        <w:tab/>
      </w:r>
      <w:r>
        <w:t xml:space="preserve">Introduction</w:t>
      </w:r>
      <w:r/>
    </w:p>
    <w:p>
      <w:pPr>
        <w:pStyle w:val="698"/>
        <w:pBdr/>
        <w:spacing/>
        <w:ind/>
        <w:rPr/>
      </w:pPr>
      <w:r/>
      <w:bookmarkStart w:id="22" w:name="problem-row-to-date-sampling-boundary"/>
      <w:r>
        <w:rPr>
          <w:rStyle w:val="729"/>
        </w:rPr>
        <w:t xml:space="preserve">1.1</w:t>
      </w:r>
      <w:r>
        <w:tab/>
      </w:r>
      <w:r>
        <w:t xml:space="preserve">Problem: Row-to-date sampling boundary</w:t>
      </w:r>
      <w:r/>
    </w:p>
    <w:p>
      <w:pPr>
        <w:pStyle w:val="686"/>
        <w:pBdr/>
        <w:spacing/>
        <w:ind/>
        <w:rPr/>
      </w:pPr>
      <w:r>
        <w:t xml:space="preserve">Empirical finance often tests signals in entity-time panels: factor</w:t>
      </w:r>
      <w:r>
        <w:t xml:space="preserve"> </w:t>
      </w:r>
      <w:r>
        <w:t xml:space="preserve">sorts, anomaly screens, automated portfolio-signal evaluations,</w:t>
      </w:r>
      <w:r>
        <w:t xml:space="preserve"> </w:t>
      </w:r>
      <w:r>
        <w:t xml:space="preserve">model-selection grids, and trading-strategy backtests. A screen selects</w:t>
      </w:r>
      <w:r>
        <w:t xml:space="preserve"> </w:t>
      </w:r>
      <w:r>
        <w:t xml:space="preserve">assets on each date, forms a portfolio, and reports a Sharpe ratio. The</w:t>
      </w:r>
      <w:r>
        <w:t xml:space="preserve"> </w:t>
      </w:r>
      <w:r>
        <w:t xml:space="preserve">statistical question is whether that Sharpe evidence is attached to the</w:t>
      </w:r>
      <w:r>
        <w:t xml:space="preserve"> </w:t>
      </w:r>
      <w:r>
        <w:t xml:space="preserve">right sampling unit: selected asset-date rows or date-level portfolio</w:t>
      </w:r>
      <w:r>
        <w:t xml:space="preserve"> </w:t>
      </w:r>
      <w:r>
        <w:t xml:space="preserve">returns.</w:t>
      </w:r>
      <w:r/>
    </w:p>
    <w:p>
      <w:pPr>
        <w:pStyle w:val="685"/>
        <w:pBdr/>
        <w:spacing/>
        <w:ind/>
        <w:rPr/>
      </w:pPr>
      <w:r>
        <w:t xml:space="preserve">The distinction matters because portfolio performance is realized once</w:t>
      </w:r>
      <w:r>
        <w:t xml:space="preserve"> </w:t>
      </w:r>
      <w:r>
        <w:t xml:space="preserve">per date. If a researcher treats each selected asset-date return as an</w:t>
      </w:r>
      <w:r>
        <w:t xml:space="preserve"> </w:t>
      </w:r>
      <w:r>
        <w:t xml:space="preserve">independent observation, the apparent sample size becomes the number of</w:t>
      </w:r>
      <w:r>
        <w:t xml:space="preserve"> </w:t>
      </w:r>
      <w:r>
        <w:t xml:space="preserve">selected rows. If same-date rows share common shocks, however, the</w:t>
      </w:r>
      <w:r>
        <w:t xml:space="preserve"> </w:t>
      </w:r>
      <w:r>
        <w:t xml:space="preserve">additional rows do not contain that much independent information. This</w:t>
      </w:r>
      <w:r>
        <w:t xml:space="preserve"> </w:t>
      </w:r>
      <w:r>
        <w:t xml:space="preserve">row-to-date mismatch is the sampling-boundary distortion studied here.</w:t>
      </w:r>
      <w:r>
        <w:t xml:space="preserve"> </w:t>
      </w:r>
      <w:r>
        <w:t xml:space="preserve">In the Monte Carlo null designs below, row-naive tests reject around 35</w:t>
      </w:r>
      <w:r>
        <w:t xml:space="preserve"> </w:t>
      </w:r>
      <w:r>
        <w:t xml:space="preserve">percent of the time at a nominal 5 percent level when the true edge is</w:t>
      </w:r>
      <w:r>
        <w:t xml:space="preserve"> </w:t>
      </w:r>
      <w:r>
        <w:t xml:space="preserve">zero, while date-level HAC and dependent-bootstrap methods stay much</w:t>
      </w:r>
      <w:r>
        <w:t xml:space="preserve"> </w:t>
      </w:r>
      <w:r>
        <w:t xml:space="preserve">closer to nominal size.</w:t>
      </w:r>
      <w:r/>
    </w:p>
    <w:p>
      <w:pPr>
        <w:pStyle w:val="685"/>
        <w:pBdr/>
        <w:spacing/>
        <w:ind/>
        <w:rPr/>
      </w:pPr>
      <w:r>
        <w:t xml:space="preserve">The underlying entity-time panel is denoted by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i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s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where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t xml:space="preserve">indexes dates,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t xml:space="preserve">indexes assets or portfolios,</w:t>
      </w:r>
      <w:r>
        <w:t xml:space="preserve"> </w:t>
      </w:r>
      <m:oMath>
        <m:sSub>
          <m:sSubPr>
            <m:ctrlPr/>
          </m:sSubPr>
          <m:e>
            <m:r>
              <m:rPr/>
              <m:t>s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is the signal, and</w:t>
      </w:r>
      <w:r>
        <w:t xml:space="preserve"> </w:t>
      </w:r>
      <m:oMath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is the next-period return. One evaluation failure mode is</w:t>
      </w:r>
      <w:r>
        <w:t xml:space="preserve"> </w:t>
      </w:r>
      <w:r>
        <w:t xml:space="preserve">to evaluate a positive edge using all selected asset-date rows as though</w:t>
      </w:r>
      <w:r>
        <w:t xml:space="preserve"> </w:t>
      </w:r>
      <w:r>
        <w:t xml:space="preserve">they were independent. This turns a panel with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t xml:space="preserve">dates and</w:t>
      </w:r>
      <w:r>
        <w:t xml:space="preserve"> </w:t>
      </w:r>
      <m:oMath>
        <m:sSub>
          <m:sSubPr>
            <m:ctrlPr/>
          </m:sSubPr>
          <m:e>
            <m:r>
              <m:rPr/>
              <m:t>n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t xml:space="preserve">selected rows per date into a nominal sample of</w:t>
      </w:r>
      <w:r>
        <w:t xml:space="preserve"> </w:t>
      </w:r>
      <m:oMath>
        <m:nary>
          <m:naryPr>
            <m:chr m:val="∑"/>
            <m:grow m:val="off"/>
            <m:limLoc m:val="undOvr"/>
            <m:supHide m:val="on"/>
            <m:ctrlPr/>
          </m:naryPr>
          <m:sub>
            <m:r>
              <m:rPr/>
              <m:t>t</m:t>
            </m:r>
          </m:sub>
          <m:sup/>
          <m:e>
            <m:sSub>
              <m:sSubPr>
                <m:ctrlPr/>
              </m:sSubPr>
              <m:e>
                <m:r>
                  <m:rPr/>
                  <m:t>n</m:t>
                </m:r>
              </m:e>
              <m:sub>
                <m:r>
                  <m:rPr/>
                  <m:t>t</m:t>
                </m:r>
              </m:sub>
            </m:sSub>
          </m:e>
        </m:nary>
      </m:oMath>
      <w:r>
        <w:t xml:space="preserve">, even</w:t>
      </w:r>
      <w:r>
        <w:t xml:space="preserve"> </w:t>
      </w:r>
      <w:r>
        <w:t xml:space="preserve">when same-date rows share common shocks. The row-pooled construction is</w:t>
      </w:r>
      <w:r>
        <w:t xml:space="preserve"> </w:t>
      </w:r>
      <w:r>
        <w:t xml:space="preserve">retained only as a diagnostic baseline against which date-level</w:t>
      </w:r>
      <w:r>
        <w:t xml:space="preserve"> </w:t>
      </w:r>
      <w:r>
        <w:t xml:space="preserve">inference is compared.</w:t>
      </w:r>
      <w:r/>
    </w:p>
    <w:p>
      <w:pPr>
        <w:pStyle w:val="685"/>
        <w:pBdr/>
        <w:spacing/>
        <w:ind/>
        <w:rPr/>
      </w:pPr>
      <w:r>
        <w:t xml:space="preserve">The issue extends beyond a single trading-strategy application. Factor</w:t>
      </w:r>
      <w:r>
        <w:t xml:space="preserve"> </w:t>
      </w:r>
      <w:r>
        <w:t xml:space="preserve">screens, anomaly panels, model-selection procedures, and automated</w:t>
      </w:r>
      <w:r>
        <w:t xml:space="preserve"> </w:t>
      </w:r>
      <w:r>
        <w:t xml:space="preserve">portfolio-signal evaluations can all multiply observations across</w:t>
      </w:r>
      <w:r>
        <w:t xml:space="preserve"> </w:t>
      </w:r>
      <w:r>
        <w:t xml:space="preserve">assets on the same date while the economic payoff is realized through a</w:t>
      </w:r>
      <w:r>
        <w:t xml:space="preserve"> </w:t>
      </w:r>
      <w:r>
        <w:t xml:space="preserve">date-level portfolio return. The paper uses public panel and factor</w:t>
      </w:r>
      <w:r>
        <w:t xml:space="preserve"> </w:t>
      </w:r>
      <w:r>
        <w:t xml:space="preserve">examples because they make the sampling boundary visible, but the</w:t>
      </w:r>
      <w:r>
        <w:t xml:space="preserve"> </w:t>
      </w:r>
      <w:r>
        <w:t xml:space="preserve">statistical problem is broader: what uncertainty should be attached to a</w:t>
      </w:r>
      <w:r>
        <w:t xml:space="preserve"> </w:t>
      </w:r>
      <w:r>
        <w:t xml:space="preserve">Sharpe estimate after cross-sectional row multiplication and serial</w:t>
      </w:r>
      <w:r>
        <w:t xml:space="preserve"> </w:t>
      </w:r>
      <w:r>
        <w:t xml:space="preserve">dependence in the date-return series are recognized. Cross-sectional</w:t>
      </w:r>
      <w:r>
        <w:t xml:space="preserve"> </w:t>
      </w:r>
      <w:r>
        <w:t xml:space="preserve">dependence determines how much extra information the additional selected</w:t>
      </w:r>
      <w:r>
        <w:t xml:space="preserve"> </w:t>
      </w:r>
      <w:r>
        <w:t xml:space="preserve">rows actually contain, and serial dependence determines the long-run</w:t>
      </w:r>
      <w:r>
        <w:t xml:space="preserve"> </w:t>
      </w:r>
      <w:r>
        <w:t xml:space="preserve">variance of the date series.</w:t>
      </w:r>
      <w:r>
        <w:t xml:space="preserve"> </w:t>
      </w:r>
      <w:r>
        <w:t xml:space="preserve">Standard clustering techniques, including the finance-panel guidance of</w:t>
      </w:r>
      <w:r>
        <w:t xml:space="preserve"> </w:t>
      </w:r>
      <w:r>
        <w:t xml:space="preserve">Petersen (2009), address uncertainty for linear means or</w:t>
      </w:r>
      <w:r>
        <w:t xml:space="preserve"> </w:t>
      </w:r>
      <w:r>
        <w:t xml:space="preserve">regression coefficients; they do not by themselves map</w:t>
      </w:r>
      <w:r>
        <w:t xml:space="preserve"> </w:t>
      </w:r>
      <w:r>
        <w:t xml:space="preserve">row-pooled Sharpe evidence to the long-run variance of the economically</w:t>
      </w:r>
      <w:r>
        <w:t xml:space="preserve"> </w:t>
      </w:r>
      <w:r>
        <w:t xml:space="preserve">relevant date-level Sharpe functional.</w:t>
      </w:r>
      <w:r/>
    </w:p>
    <w:p>
      <w:pPr>
        <w:pStyle w:val="685"/>
        <w:pBdr/>
        <w:spacing/>
        <w:ind/>
        <w:rPr/>
      </w:pPr>
      <w:r>
        <w:t xml:space="preserve">Automated empirical signal screens can evaluate large numbers of</w:t>
      </w:r>
      <w:r>
        <w:t xml:space="preserve"> </w:t>
      </w:r>
      <w:r>
        <w:t xml:space="preserve">entity-date rows and many menu variants in a single run. The distortion</w:t>
      </w:r>
      <w:r>
        <w:t xml:space="preserve"> </w:t>
      </w:r>
      <w:r>
        <w:t xml:space="preserve">is largest when many same-date entities are selected, common shocks are</w:t>
      </w:r>
      <w:r>
        <w:t xml:space="preserve"> </w:t>
      </w:r>
      <w:r>
        <w:t xml:space="preserve">strong, menus are searched, and the confirmatory statistic is a nonlinear</w:t>
      </w:r>
      <w:r>
        <w:t xml:space="preserve"> </w:t>
      </w:r>
      <w:r>
        <w:t xml:space="preserve">Sharpe functional.</w:t>
      </w:r>
      <w:r/>
    </w:p>
    <w:p>
      <w:pPr>
        <w:pStyle w:val="685"/>
        <w:pBdr/>
        <w:spacing/>
        <w:ind/>
        <w:rPr/>
      </w:pPr>
      <w:r>
        <w:t xml:space="preserve">The intuition is direct. If 50 selected rows are generated from only a</w:t>
      </w:r>
      <w:r>
        <w:t xml:space="preserve"> </w:t>
      </w:r>
      <w:r>
        <w:t xml:space="preserve">small number of economically relevant dates, the row count can make the</w:t>
      </w:r>
      <w:r>
        <w:t xml:space="preserve"> </w:t>
      </w:r>
      <w:r>
        <w:t xml:space="preserve">Sharpe estimate look more precise than the portfolio-return evidence</w:t>
      </w:r>
      <w:r>
        <w:t xml:space="preserve"> </w:t>
      </w:r>
      <w:r>
        <w:t xml:space="preserve">supports. The relevant sampling object is the date-level return series,</w:t>
      </w:r>
      <w:r>
        <w:t xml:space="preserve"> </w:t>
      </w:r>
      <w:r>
        <w:t xml:space="preserve">not the multiplied row count. Sharpe UVIF records how far the</w:t>
      </w:r>
      <w:r>
        <w:t xml:space="preserve"> </w:t>
      </w:r>
      <w:r>
        <w:t xml:space="preserve">row-pooled IID uncertainty sits from the date-level long-run uncertainty.</w:t>
      </w:r>
      <w:r>
        <w:t xml:space="preserve"> </w:t>
      </w:r>
      <w:r>
        <w:t xml:space="preserve">In the extreme case where selected assets have identical same-date</w:t>
      </w:r>
      <w:r>
        <w:t xml:space="preserve"> </w:t>
      </w:r>
      <w:r>
        <w:t xml:space="preserve">returns, adding more assets on that date adds no new time-series</w:t>
      </w:r>
      <w:r>
        <w:t xml:space="preserve"> </w:t>
      </w:r>
      <w:r>
        <w:t xml:space="preserve">observation for Sharpe inference; it only multiplies rows.</w:t>
      </w:r>
      <w:r/>
    </w:p>
    <w:p>
      <w:pPr>
        <w:pStyle w:val="685"/>
        <w:pBdr/>
        <w:spacing/>
        <w:ind/>
        <w:rPr/>
      </w:pPr>
      <w:r>
        <w:t xml:space="preserve">The required diagnostic is a ratio between the uncertainty attached to</w:t>
      </w:r>
      <w:r>
        <w:t xml:space="preserve"> </w:t>
      </w:r>
      <w:r>
        <w:t xml:space="preserve">the date-level Sharpe claim and the uncertainty a row-pooled IID analysis</w:t>
      </w:r>
      <w:r>
        <w:t xml:space="preserve"> </w:t>
      </w:r>
      <w:r>
        <w:t xml:space="preserve">would report. This ratio is the Sharpe Unified Variance Inflation</w:t>
      </w:r>
      <w:r>
        <w:t xml:space="preserve"> </w:t>
      </w:r>
      <w:r>
        <w:t xml:space="preserve">Factor, or Sharpe UVIF: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rPr>
                  <m:scr m:val="double-struck"/>
                  <m:sty m:val="p"/>
                </m:rPr>
                <m:t>V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/>
                    <m:t>L</m:t>
                  </m:r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acc>
                    <m:accPr>
                      <m:chr m:val="̂"/>
                      <m:ctrlPr/>
                    </m:acc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acc>
                </m:e>
                <m:sub>
                  <m:r>
                    <m:rPr/>
                    <m:t>d</m:t>
                  </m:r>
                  <m:r>
                    <m:rPr/>
                    <m:t>a</m:t>
                  </m:r>
                  <m:r>
                    <m:rPr/>
                    <m:t>t</m:t>
                  </m:r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V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/>
                    <m:t>I</m:t>
                  </m:r>
                  <m:r>
                    <m:rPr/>
                    <m:t>I</m:t>
                  </m:r>
                  <m:r>
                    <m:rPr/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r</m:t>
                  </m:r>
                  <m:r>
                    <m:rPr/>
                    <m:t>o</m:t>
                  </m:r>
                  <m:r>
                    <m:rPr/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acc>
                    <m:accPr>
                      <m:chr m:val="̂"/>
                      <m:ctrlPr/>
                    </m:acc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acc>
                </m:e>
                <m:sub>
                  <m:r>
                    <m:rPr/>
                    <m:t>r</m:t>
                  </m:r>
                  <m:r>
                    <m:rPr/>
                    <m:t>o</m:t>
                  </m:r>
                  <m:r>
                    <m:rPr/>
                    <m:t>w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It is best interpreted as a sampling-boundary distortion ratio for</w:t>
      </w:r>
      <w:r>
        <w:t xml:space="preserve"> </w:t>
      </w:r>
      <w:r>
        <w:t xml:space="preserve">reported Sharpe uncertainty. The numerator is the uncertainty of the</w:t>
      </w:r>
      <w:r>
        <w:t xml:space="preserve"> </w:t>
      </w:r>
      <w:r>
        <w:t xml:space="preserve">economically relevant date-level Sharpe claim. The denominator is the</w:t>
      </w:r>
      <w:r>
        <w:t xml:space="preserve"> </w:t>
      </w:r>
      <w:r>
        <w:t xml:space="preserve">uncertainty that would be reported by a row-pooled IID analysis of the</w:t>
      </w:r>
      <w:r>
        <w:t xml:space="preserve"> </w:t>
      </w:r>
      <w:r>
        <w:t xml:space="preserve">selected entity-date returns. When the row-pooled and date-level</w:t>
      </w:r>
      <w:r>
        <w:t xml:space="preserve"> </w:t>
      </w:r>
      <w:r>
        <w:t xml:space="preserve">estimators target the same Sharpe functional under exchangeability and</w:t>
      </w:r>
      <w:r>
        <w:t xml:space="preserve"> </w:t>
      </w:r>
      <w:r>
        <w:t xml:space="preserve">equal-weight aggregation, Sharpe UVIF reduces to a design-effect</w:t>
      </w:r>
      <w:r>
        <w:t xml:space="preserve"> </w:t>
      </w:r>
      <w:r>
        <w:t xml:space="preserve">variance inflation factor for the nonlinear Sharpe ratio. Sharpe UVIF</w:t>
      </w:r>
      <w:r>
        <w:t xml:space="preserve"> </w:t>
      </w:r>
      <w:r>
        <w:t xml:space="preserve">is interpreted as a reported-uncertainty ratio between row-pooled IID</w:t>
      </w:r>
      <w:r>
        <w:t xml:space="preserve"> </w:t>
      </w:r>
      <w:r>
        <w:t xml:space="preserve">Sharpe inference and date-level long-run Sharpe inference.</w:t>
      </w:r>
      <w:r>
        <w:t xml:space="preserve"> </w:t>
      </w:r>
      <w:r>
        <w:t xml:space="preserve">A value of</w:t>
      </w:r>
      <w: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U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rPr/>
          <m:t>10</m:t>
        </m:r>
      </m:oMath>
      <w:r>
        <w:t xml:space="preserve">, for example, means that the row-pooled</w:t>
      </w:r>
      <w:r>
        <w:t xml:space="preserve"> </w:t>
      </w:r>
      <w:r>
        <w:t xml:space="preserve">IID variance report is smaller than the date-level long-run variance by</w:t>
      </w:r>
      <w:r>
        <w:t xml:space="preserve"> </w:t>
      </w:r>
      <w:r>
        <w:t xml:space="preserve">a factor of ten under the displayed diagnostic approximation. Equivalently,</w:t>
      </w:r>
      <w:r>
        <w:t xml:space="preserve"> </w:t>
      </w:r>
      <w:r>
        <w:t xml:space="preserve">the row-based standard error is too small by a factor of</w:t>
      </w:r>
      <w:r>
        <w:t xml:space="preserve"> </w:t>
      </w:r>
      <m:oMath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10</m:t>
            </m:r>
          </m:e>
        </m:rad>
      </m:oMath>
      <w:r>
        <w:t xml:space="preserve"> </w:t>
      </w:r>
      <w:r>
        <w:t xml:space="preserve">under that approximation. Rejection decisions are still made from the</w:t>
      </w:r>
      <w:r>
        <w:t xml:space="preserve"> </w:t>
      </w:r>
      <w:r>
        <w:t xml:space="preserve">date-level HAC and bootstrap procedures.</w:t>
      </w:r>
      <w:bookmarkEnd w:id="22"/>
      <w:r/>
    </w:p>
    <w:p>
      <w:pPr>
        <w:pStyle w:val="698"/>
        <w:pBdr/>
        <w:spacing/>
        <w:ind/>
        <w:rPr/>
      </w:pPr>
      <w:r/>
      <w:bookmarkStart w:id="23" w:name="contribution-and-empirical-approach"/>
      <w:r>
        <w:rPr>
          <w:rStyle w:val="729"/>
        </w:rPr>
        <w:t xml:space="preserve">1.2</w:t>
      </w:r>
      <w:r>
        <w:tab/>
      </w:r>
      <w:r>
        <w:t xml:space="preserve">Contribution and empirical approach</w:t>
      </w:r>
      <w:r/>
    </w:p>
    <w:p>
      <w:pPr>
        <w:pStyle w:val="686"/>
        <w:pBdr/>
        <w:spacing/>
        <w:ind/>
        <w:rPr/>
      </w:pPr>
      <w:r>
        <w:t xml:space="preserve">This paper contributes to financial econometrics in three ways. First,</w:t>
      </w:r>
      <w:r>
        <w:t xml:space="preserve"> </w:t>
      </w:r>
      <w:r>
        <w:t xml:space="preserve">it formalizes row-to-date sampling-boundary distortion for Sharpe-ratio</w:t>
      </w:r>
      <w:r>
        <w:t xml:space="preserve"> </w:t>
      </w:r>
      <w:r>
        <w:t xml:space="preserve">evidence in financial panels. Second, it defines Sharpe UVIF as a</w:t>
      </w:r>
      <w:r>
        <w:t xml:space="preserve"> </w:t>
      </w:r>
      <w:r>
        <w:t xml:space="preserve">diagnostic ratio between row-pooled IID uncertainty and date-level</w:t>
      </w:r>
      <w:r>
        <w:t xml:space="preserve"> </w:t>
      </w:r>
      <w:r>
        <w:t xml:space="preserve">long-run uncertainty, extending standard design-effect logic to the</w:t>
      </w:r>
      <w:r>
        <w:t xml:space="preserve"> </w:t>
      </w:r>
      <w:r>
        <w:t xml:space="preserve">nonlinear Sharpe functional. Third, public Kenneth French panels, AQR</w:t>
      </w:r>
      <w:r>
        <w:t xml:space="preserve"> </w:t>
      </w:r>
      <w:r>
        <w:t xml:space="preserve">factor series, and Monte Carlo designs show that the correction preserves</w:t>
      </w:r>
      <w:r>
        <w:t xml:space="preserve"> </w:t>
      </w:r>
      <w:r>
        <w:t xml:space="preserve">canonical WML momentum evidence while weakening weaker panel claims, and</w:t>
      </w:r>
      <w:r>
        <w:t xml:space="preserve"> </w:t>
      </w:r>
      <w:r>
        <w:t xml:space="preserve">that row-naive tests overreject under dependent nulls with no true edge.</w:t>
      </w:r>
      <w:r/>
    </w:p>
    <w:p>
      <w:pPr>
        <w:pStyle w:val="685"/>
        <w:pBdr/>
        <w:spacing/>
        <w:ind/>
        <w:rPr/>
      </w:pPr>
      <w:r>
        <w:t xml:space="preserve">The novelty claim is deliberately narrow. The paper does not introduce</w:t>
      </w:r>
      <w:r>
        <w:t xml:space="preserve"> </w:t>
      </w:r>
      <w:r>
        <w:t xml:space="preserve">a new Sharpe estimator, replace HAC or bootstrap inference, or claim a</w:t>
      </w:r>
      <w:r>
        <w:t xml:space="preserve"> </w:t>
      </w:r>
      <w:r>
        <w:t xml:space="preserve">new asset-pricing anomaly. Its contribution is a diagnostic and</w:t>
      </w:r>
      <w:r>
        <w:t xml:space="preserve"> </w:t>
      </w:r>
      <w:r>
        <w:t xml:space="preserve">workflow for a finance-panel reporting problem: row-pooled IID Sharpe</w:t>
      </w:r>
      <w:r>
        <w:t xml:space="preserve"> </w:t>
      </w:r>
      <w:r>
        <w:t xml:space="preserve">uncertainty is compared with date-level long-run Sharpe uncertainty</w:t>
      </w:r>
      <w:r>
        <w:t xml:space="preserve"> </w:t>
      </w:r>
      <w:r>
        <w:t xml:space="preserve">before portfolio-performance evidence is interpreted. Standard</w:t>
      </w:r>
      <w:r>
        <w:t xml:space="preserve"> </w:t>
      </w:r>
      <w:r>
        <w:t xml:space="preserve">design-effect logic explains the mean-return special case; Sharpe UVIF</w:t>
      </w:r>
      <w:r>
        <w:t xml:space="preserve"> </w:t>
      </w:r>
      <w:r>
        <w:t xml:space="preserve">extends that reporting comparison to the nonlinear Sharpe functional and</w:t>
      </w:r>
      <w:r>
        <w:t xml:space="preserve"> </w:t>
      </w:r>
      <w:r>
        <w:t xml:space="preserve">places it inside a reproducible date-aggregation, multiple-testing,</w:t>
      </w:r>
      <w:r>
        <w:t xml:space="preserve"> </w:t>
      </w:r>
      <w:r>
        <w:t xml:space="preserve">permutation, and cost-sensitivity workflow.</w:t>
      </w:r>
      <w:r/>
    </w:p>
    <w:p>
      <w:pPr>
        <w:pStyle w:val="685"/>
        <w:pBdr/>
        <w:spacing/>
        <w:ind/>
        <w:rPr/>
      </w:pPr>
      <w:r>
        <w:t xml:space="preserve">The empirical section checks the implementation on canonical French</w:t>
      </w:r>
      <w:r>
        <w:t xml:space="preserve"> </w:t>
      </w:r>
      <w:r>
        <w:t xml:space="preserve">WML, evaluates French panel stress cases, and reports AQR factor</w:t>
      </w:r>
      <w:r>
        <w:t xml:space="preserve"> </w:t>
      </w:r>
      <w:r>
        <w:t xml:space="preserve">benchmarks as time-series-only evidence. The public Kenneth French and</w:t>
      </w:r>
      <w:r>
        <w:t xml:space="preserve"> </w:t>
      </w:r>
      <w:r>
        <w:t xml:space="preserve">AQR evidence uses documented public data sources, recorded source URLs,</w:t>
      </w:r>
      <w:r>
        <w:t xml:space="preserve"> </w:t>
      </w:r>
      <w:r>
        <w:t xml:space="preserve">and reproduction files supplied with the release package.</w:t>
      </w:r>
      <w:r>
        <w:t xml:space="preserve"> </w:t>
      </w:r>
      <w:r>
        <w:t xml:space="preserve">The conservative empirical question is whether apparently significant</w:t>
      </w:r>
      <w:r>
        <w:t xml:space="preserve"> </w:t>
      </w:r>
      <w:r>
        <w:t xml:space="preserve">portfolio-signal claims owe their precision to row-level sampling and</w:t>
      </w:r>
      <w:r>
        <w:t xml:space="preserve"> </w:t>
      </w:r>
      <w:r>
        <w:t xml:space="preserve">disappear after date aggregation, dependence adjustment, and</w:t>
      </w:r>
      <w:r>
        <w:t xml:space="preserve"> </w:t>
      </w:r>
      <w:r>
        <w:t xml:space="preserve">researcher-menu correction.</w:t>
      </w:r>
      <w:r>
        <w:t xml:space="preserve"> </w:t>
      </w:r>
      <w:r>
        <w:t xml:space="preserve">The replication code also runs a Monte Carlo study comparing row-naive</w:t>
      </w:r>
      <w:r>
        <w:t xml:space="preserve"> </w:t>
      </w:r>
      <w:r>
        <w:t xml:space="preserve">testing with date-IID bootstrap, HAC-delta, moving-block bootstrap,</w:t>
      </w:r>
      <w:r>
        <w:t xml:space="preserve"> </w:t>
      </w:r>
      <w:r>
        <w:t xml:space="preserve">stationary bootstrap, and joint resampling decisions.</w:t>
      </w:r>
      <w:bookmarkEnd w:id="23"/>
      <w:bookmarkEnd w:id="24"/>
      <w:r/>
    </w:p>
    <w:p>
      <w:pPr>
        <w:pStyle w:val="697"/>
        <w:pBdr/>
        <w:spacing/>
        <w:ind/>
        <w:rPr/>
      </w:pPr>
      <w:r/>
      <w:bookmarkStart w:id="25" w:name="literature-and-motivation"/>
      <w:r>
        <w:rPr>
          <w:rStyle w:val="729"/>
        </w:rPr>
        <w:t xml:space="preserve">2</w:t>
      </w:r>
      <w:r>
        <w:tab/>
      </w:r>
      <w:r>
        <w:t xml:space="preserve">Literature and motivation</w:t>
      </w:r>
      <w:r/>
    </w:p>
    <w:p>
      <w:pPr>
        <w:pStyle w:val="686"/>
        <w:pBdr/>
        <w:spacing/>
        <w:ind/>
        <w:rPr/>
      </w:pPr>
      <w:r>
        <w:t xml:space="preserve">This paper sits at the intersection of literatures that are often</w:t>
      </w:r>
      <w:r>
        <w:t xml:space="preserve"> </w:t>
      </w:r>
      <w:r>
        <w:t xml:space="preserve">discussed separately. Survey and grouped-error design effects explain</w:t>
      </w:r>
      <w:r>
        <w:t xml:space="preserve"> </w:t>
      </w:r>
      <w:r>
        <w:t xml:space="preserve">why row counts overstate information</w:t>
      </w:r>
      <w:r>
        <w:t xml:space="preserve"> </w:t>
      </w:r>
      <w:r>
        <w:t xml:space="preserve">(Kish, 1965; Moulton, 1986). Large-panel econometrics</w:t>
      </w:r>
      <w:r>
        <w:t xml:space="preserve"> </w:t>
      </w:r>
      <w:r>
        <w:t xml:space="preserve">studies cross-sectional dependence directly</w:t>
      </w:r>
      <w:r>
        <w:t xml:space="preserve"> </w:t>
      </w:r>
      <w:r>
        <w:t xml:space="preserve">(Chudik and Pesaran, 2015), and finance-panel standard error work explains</w:t>
      </w:r>
      <w:r>
        <w:t xml:space="preserve"> </w:t>
      </w:r>
      <w:r>
        <w:t xml:space="preserve">why cross-sectional and time clustering matter in empirical finance</w:t>
      </w:r>
      <w:r>
        <w:t xml:space="preserve"> </w:t>
      </w:r>
      <w:r>
        <w:t xml:space="preserve">(Petersen, 2009). Those results are central background,</w:t>
      </w:r>
      <w:r>
        <w:t xml:space="preserve"> </w:t>
      </w:r>
      <w:r>
        <w:t xml:space="preserve">but they mainly address means or regression coefficients rather than</w:t>
      </w:r>
      <w:r>
        <w:t xml:space="preserve"> </w:t>
      </w:r>
      <w:r>
        <w:t xml:space="preserve">nonlinear portfolio-performance evidence after entity-date rows have</w:t>
      </w:r>
      <w:r>
        <w:t xml:space="preserve"> </w:t>
      </w:r>
      <w:r>
        <w:t xml:space="preserve">been aggregated into a date-level return. They do not define a</w:t>
      </w:r>
      <w:r>
        <w:t xml:space="preserve"> </w:t>
      </w:r>
      <w:r>
        <w:t xml:space="preserve">target-aware distortion ratio for nonlinear portfolio performance</w:t>
      </w:r>
      <w:r>
        <w:t xml:space="preserve"> </w:t>
      </w:r>
      <w:r>
        <w:t xml:space="preserve">statistics.</w:t>
      </w:r>
      <w:r/>
    </w:p>
    <w:p>
      <w:pPr>
        <w:pStyle w:val="685"/>
        <w:pBdr/>
        <w:spacing/>
        <w:ind/>
        <w:rPr/>
      </w:pPr>
      <w:r>
        <w:t xml:space="preserve">Sharpe-ratio inference follows a separate time-series literature.</w:t>
      </w:r>
      <w:r>
        <w:t xml:space="preserve"> </w:t>
      </w:r>
      <w:r>
        <w:t xml:space="preserve">Classical Sharpe and Treynor comparison tests start with</w:t>
      </w:r>
      <w:r>
        <w:t xml:space="preserve"> </w:t>
      </w:r>
      <w:r>
        <w:t xml:space="preserve">Jobson and Korkie (1981), with corrections and extensions by</w:t>
      </w:r>
      <w:r>
        <w:t xml:space="preserve"> </w:t>
      </w:r>
      <w:r>
        <w:t xml:space="preserve">Memmel (2003), Opdyke (2007), and</w:t>
      </w:r>
      <w:r>
        <w:t xml:space="preserve"> </w:t>
      </w:r>
      <w:r>
        <w:t xml:space="preserve">Ledoit and Wolf (2008); related work also studies whether alternative</w:t>
      </w:r>
      <w:r>
        <w:t xml:space="preserve"> </w:t>
      </w:r>
      <w:r>
        <w:t xml:space="preserve">performance measures change fund rankings (Eling and Schuhmacher, 2007).</w:t>
      </w:r>
      <w:r>
        <w:t xml:space="preserve"> </w:t>
      </w:r>
      <w:r>
        <w:t xml:space="preserve">Lo (2002) studies Sharpe-ratio sampling under return</w:t>
      </w:r>
      <w:r>
        <w:t xml:space="preserve"> </w:t>
      </w:r>
      <w:r>
        <w:t xml:space="preserve">dynamics, and robust Sharpe testing builds on HAC and bootstrap methods</w:t>
      </w:r>
      <w:r>
        <w:t xml:space="preserve"> </w:t>
      </w:r>
      <w:r>
        <w:t xml:space="preserve">(Andrews, 1991; Kiefer and Vogelsang, 2005; Kunsch, 1989; Politis and Romano, 1994; Lahiri, 2003).</w:t>
      </w:r>
      <w:r>
        <w:t xml:space="preserve"> </w:t>
      </w:r>
      <w:r>
        <w:t xml:space="preserve">These tools define the date-level sampling law once the return series is</w:t>
      </w:r>
      <w:r>
        <w:t xml:space="preserve"> </w:t>
      </w:r>
      <w:r>
        <w:t xml:space="preserve">specified. They do not quantify how much apparent Sharpe precision was</w:t>
      </w:r>
      <w:r>
        <w:t xml:space="preserve"> </w:t>
      </w:r>
      <w:r>
        <w:t xml:space="preserve">created before the evidence was moved from selected entity-date rows to</w:t>
      </w:r>
      <w:r>
        <w:t xml:space="preserve"> </w:t>
      </w:r>
      <w:r>
        <w:t xml:space="preserve">the economically relevant date-return boundary. The boundary problem</w:t>
      </w:r>
      <w:r>
        <w:t xml:space="preserve"> </w:t>
      </w:r>
      <w:r>
        <w:t xml:space="preserve">occurs before Sharpe inference: which return series is the object?</w:t>
      </w:r>
      <w:r>
        <w:t xml:space="preserve"> </w:t>
      </w:r>
      <w:r>
        <w:t xml:space="preserve">What is missing in the Sharpe-inference literature is an explicit mapping</w:t>
      </w:r>
      <w:r>
        <w:t xml:space="preserve"> </w:t>
      </w:r>
      <w:r>
        <w:t xml:space="preserve">from row-pooled Sharpe evidence to date-level long-run Sharpe evidence.</w:t>
      </w:r>
      <w:r/>
    </w:p>
    <w:p>
      <w:pPr>
        <w:pStyle w:val="685"/>
        <w:pBdr/>
        <w:spacing/>
        <w:ind/>
        <w:rPr/>
      </w:pPr>
      <w:r>
        <w:t xml:space="preserve">Researcher-menu and factor-zoo work addresses a third source of false</w:t>
      </w:r>
      <w:r>
        <w:t xml:space="preserve"> </w:t>
      </w:r>
      <w:r>
        <w:t xml:space="preserve">precision. White Reality Check and Romano-Wolf procedures control</w:t>
      </w:r>
      <w:r>
        <w:t xml:space="preserve"> </w:t>
      </w:r>
      <w:r>
        <w:t xml:space="preserve">data-snooping and familywise error in menus</w:t>
      </w:r>
      <w:r>
        <w:t xml:space="preserve"> </w:t>
      </w:r>
      <w:r>
        <w:t xml:space="preserve">(White, 2000; Romano and Wolf, 2005), while the empirical</w:t>
      </w:r>
      <w:r>
        <w:t xml:space="preserve"> </w:t>
      </w:r>
      <w:r>
        <w:t xml:space="preserve">asset-pricing literature documents false discoveries, factor-alpha</w:t>
      </w:r>
      <w:r>
        <w:t xml:space="preserve"> </w:t>
      </w:r>
      <w:r>
        <w:t xml:space="preserve">fragility, anomaly decay, and trading costs</w:t>
      </w:r>
      <w:r>
        <w:t xml:space="preserve"> </w:t>
      </w:r>
      <w:r>
        <w:t xml:space="preserve">(Harvey et</w:t>
      </w:r>
      <w:r>
        <w:t xml:space="preserve"> al., 2016; Harvey and Liu, 2020a; Harvey and Liu, 2020b; Bailey and Lopez de Prado, 2014; Holm, 1979; Fama and French, 1993; Carhart, 1997; Fama and French, 2010; McLean and Pontiff, 2016; Almgren and Chriss, 2001; Hasbrouck, 2009; Frazzini et al., 2015).</w:t>
      </w:r>
      <w:r>
        <w:t xml:space="preserve"> </w:t>
      </w:r>
      <w:r>
        <w:t xml:space="preserve">This paper is adjacent to that literature but distinct: its object is</w:t>
      </w:r>
      <w:r>
        <w:t xml:space="preserve"> </w:t>
      </w:r>
      <w:r>
        <w:t xml:space="preserve">the sampling unit and return boundary before a row-level Sharpe claim is</w:t>
      </w:r>
      <w:r>
        <w:t xml:space="preserve"> </w:t>
      </w:r>
      <w:r>
        <w:t xml:space="preserve">interpreted as portfolio-performance evidence. It separates three</w:t>
      </w:r>
      <w:r>
        <w:t xml:space="preserve"> </w:t>
      </w:r>
      <w:r>
        <w:t xml:space="preserve">failure channels that are often bundled together in practice:</w:t>
      </w:r>
      <w:r>
        <w:t xml:space="preserve"> </w:t>
      </w:r>
      <w:r>
        <w:t xml:space="preserve">cross-sectional row multiplication, serial dependence in the date-return</w:t>
      </w:r>
      <w:r>
        <w:t xml:space="preserve"> </w:t>
      </w:r>
      <w:r>
        <w:t xml:space="preserve">series, and researcher-menu search.</w:t>
      </w:r>
      <w:r>
        <w:t xml:space="preserve"> </w:t>
      </w:r>
      <w:r>
        <w:t xml:space="preserve">Menu corrections control search across candidate strategies; they do not</w:t>
      </w:r>
      <w:r>
        <w:t xml:space="preserve"> </w:t>
      </w:r>
      <w:r>
        <w:t xml:space="preserve">correct a mismatch between the row-level sampling unit used to report</w:t>
      </w:r>
      <w:r>
        <w:t xml:space="preserve"> </w:t>
      </w:r>
      <w:r>
        <w:t xml:space="preserve">Sharpe evidence and the date-level return series that defines portfolio</w:t>
      </w:r>
      <w:r>
        <w:t xml:space="preserve"> </w:t>
      </w:r>
      <w:r>
        <w:t xml:space="preserve">performance.</w:t>
      </w:r>
      <w:r>
        <w:t xml:space="preserve"> </w:t>
      </w:r>
      <w:r>
        <w:t xml:space="preserve">The contribution is not that dependence-adjusted inference exists; it is</w:t>
      </w:r>
      <w:r>
        <w:t xml:space="preserve"> </w:t>
      </w:r>
      <w:r>
        <w:t xml:space="preserve">that the paper gives a target-boundary diagnostic for how much Sharpe</w:t>
      </w:r>
      <w:r>
        <w:t xml:space="preserve"> </w:t>
      </w:r>
      <w:r>
        <w:t xml:space="preserve">precision was created by evaluating selected entity-date rows before the</w:t>
      </w:r>
      <w:r>
        <w:t xml:space="preserve"> </w:t>
      </w:r>
      <w:r>
        <w:t xml:space="preserve">claim is moved to the economically relevant date-return series.</w:t>
      </w:r>
      <w:r/>
    </w:p>
    <w:p>
      <w:pPr>
        <w:pStyle w:val="685"/>
        <w:pBdr/>
        <w:spacing/>
        <w:ind/>
        <w:rPr/>
      </w:pPr>
      <w:r>
        <w:t xml:space="preserve">Recent empirical asset-pricing work asks whether</w:t>
      </w:r>
      <w:r>
        <w:t xml:space="preserve"> </w:t>
      </w:r>
      <w:r>
        <w:t xml:space="preserve">published predictors survive stricter implementation, data, and</w:t>
      </w:r>
      <w:r>
        <w:t xml:space="preserve"> </w:t>
      </w:r>
      <w:r>
        <w:t xml:space="preserve">multiple-testing standards. The present paper asks an upstream</w:t>
      </w:r>
      <w:r>
        <w:t xml:space="preserve"> </w:t>
      </w:r>
      <w:r>
        <w:t xml:space="preserve">question: before a predictor is interpreted as portfolio-performance</w:t>
      </w:r>
      <w:r>
        <w:t xml:space="preserve"> </w:t>
      </w:r>
      <w:r>
        <w:t xml:space="preserve">evidence, has the sampling unit been moved from selected entity-date</w:t>
      </w:r>
      <w:r>
        <w:t xml:space="preserve"> </w:t>
      </w:r>
      <w:r>
        <w:t xml:space="preserve">rows to the date-level return that can be interpreted as</w:t>
      </w:r>
      <w:r>
        <w:t xml:space="preserve"> </w:t>
      </w:r>
      <w:r>
        <w:t xml:space="preserve">portfolio-performance evidence?</w:t>
      </w:r>
      <w:bookmarkEnd w:id="25"/>
      <w:r/>
    </w:p>
    <w:p>
      <w:pPr>
        <w:pStyle w:val="697"/>
        <w:pBdr/>
        <w:spacing/>
        <w:ind/>
        <w:rPr/>
      </w:pPr>
      <w:r/>
      <w:bookmarkStart w:id="29" w:name="sec:method"/>
      <w:r>
        <w:rPr>
          <w:rStyle w:val="729"/>
        </w:rPr>
        <w:t xml:space="preserve">3</w:t>
      </w:r>
      <w:r>
        <w:tab/>
      </w:r>
      <w:r>
        <w:t xml:space="preserve">Data and empirical design</w:t>
      </w:r>
      <w:r/>
    </w:p>
    <w:p>
      <w:pPr>
        <w:pStyle w:val="686"/>
        <w:pBdr/>
        <w:spacing/>
        <w:ind/>
        <w:rPr/>
      </w:pPr>
      <w:r>
        <w:t xml:space="preserve">The empirical design uses public Kenneth French momentum and</w:t>
      </w:r>
      <w:r>
        <w:t xml:space="preserve"> </w:t>
      </w:r>
      <w:r>
        <w:t xml:space="preserve">Size/book-to-market portfolio panels as row-level applications, and</w:t>
      </w:r>
      <w:r>
        <w:t xml:space="preserve"> </w:t>
      </w:r>
      <w:r>
        <w:t xml:space="preserve">public AQR factor series as pre-aggregated time-series benchmarks. The</w:t>
      </w:r>
      <w:r>
        <w:t xml:space="preserve"> </w:t>
      </w:r>
      <w:r>
        <w:t xml:space="preserve">French row-level panels allow same-date row aggregation, selected-count</w:t>
      </w:r>
      <w:r>
        <w:t xml:space="preserve"> </w:t>
      </w:r>
      <w:r>
        <w:t xml:space="preserve">diagnostics, and same-date placebo checks. The AQR series are useful</w:t>
      </w:r>
      <w:r>
        <w:t xml:space="preserve"> </w:t>
      </w:r>
      <w:r>
        <w:t xml:space="preserve">factor-return benchmarks, but they do not contain constituent</w:t>
      </w:r>
      <w:r>
        <w:t xml:space="preserve"> </w:t>
      </w:r>
      <w:r>
        <w:t xml:space="preserve">signal-return rows and are therefore reported as time-series evidence</w:t>
      </w:r>
      <w:r>
        <w:t xml:space="preserve"> </w:t>
      </w:r>
      <w:r>
        <w:t xml:space="preserve">only. These public applications are benchmark illustrations of the</w:t>
      </w:r>
      <w:r>
        <w:t xml:space="preserve"> </w:t>
      </w:r>
      <w:r>
        <w:t xml:space="preserve">method, not a survey of all asset-pricing anomalies.</w:t>
      </w:r>
      <w:r/>
    </w:p>
    <w:p>
      <w:pPr>
        <w:pStyle w:val="685"/>
        <w:pBdr/>
        <w:spacing/>
        <w:ind/>
        <w:rPr/>
      </w:pPr>
      <w:r>
        <w:t xml:space="preserve">The registry records all source URLs, source frequencies, annualization</w:t>
      </w:r>
      <w:r>
        <w:t xml:space="preserve"> </w:t>
      </w:r>
      <w:r>
        <w:t xml:space="preserve">factors, and sample windows. The two French momentum-decile daily</w:t>
      </w:r>
      <w:r>
        <w:t xml:space="preserve"> </w:t>
      </w:r>
      <w:r>
        <w:t xml:space="preserve">panels run from 1926-11-03 to 2026-04-29 with 26,131 active dates. The</w:t>
      </w:r>
      <w:r>
        <w:t xml:space="preserve"> </w:t>
      </w:r>
      <w:r>
        <w:t xml:space="preserve">French 25 Size/BM stress case uses the trailing daily window</w:t>
      </w:r>
      <w:r>
        <w:t xml:space="preserve"> </w:t>
      </w:r>
      <w:r>
        <w:t xml:space="preserve">2012-06-29 to 2026-04-29 with 3,477 active dates. The AQR daily</w:t>
      </w:r>
      <w:r>
        <w:t xml:space="preserve"> </w:t>
      </w:r>
      <w:r>
        <w:t xml:space="preserve">factor-series benchmarks end on 2026-03-31, with start dates determined</w:t>
      </w:r>
      <w:r>
        <w:t xml:space="preserve"> </w:t>
      </w:r>
      <w:r>
        <w:t xml:space="preserve">by the public source series, and the monthly AQR value-and-momentum</w:t>
      </w:r>
      <w:r>
        <w:t xml:space="preserve"> </w:t>
      </w:r>
      <w:r>
        <w:t xml:space="preserve">series runs from 1972-01-31 to 2026-03-31 with annualization factor 12.</w:t>
      </w:r>
      <w:r>
        <w:t xml:space="preserve"> </w:t>
      </w:r>
      <w:r>
        <w:t xml:space="preserve">Daily sources use annualization factor 252.</w:t>
      </w:r>
      <w:r/>
    </w:p>
    <w:p>
      <w:pPr>
        <w:pStyle w:val="685"/>
        <w:pBdr/>
        <w:spacing/>
        <w:ind/>
        <w:rPr/>
      </w:pPr>
      <w:r>
        <w:t xml:space="preserve">The method is a dependence-aware inference design rather than a single</w:t>
      </w:r>
      <w:r>
        <w:t xml:space="preserve"> </w:t>
      </w:r>
      <w:r>
        <w:t xml:space="preserve">test. Its first channel is cross-sectional: all evidence is translated</w:t>
      </w:r>
      <w:r>
        <w:t xml:space="preserve"> </w:t>
      </w:r>
      <w:r>
        <w:t xml:space="preserve">from selected asset-date rows into one economically interpretable</w:t>
      </w:r>
      <w:r>
        <w:t xml:space="preserve"> </w:t>
      </w:r>
      <w:r>
        <w:t xml:space="preserve">date-level portfolio return, so same-date clusters cannot create sample</w:t>
      </w:r>
      <w:r>
        <w:t xml:space="preserve"> </w:t>
      </w:r>
      <w:r>
        <w:t xml:space="preserve">size by row multiplication. Its second channel is serial: all Sharpe</w:t>
      </w:r>
      <w:r>
        <w:t xml:space="preserve"> </w:t>
      </w:r>
      <w:r>
        <w:t xml:space="preserve">decisions are made on the date-return series using HAC-delta and</w:t>
      </w:r>
      <w:r>
        <w:t xml:space="preserve"> </w:t>
      </w:r>
      <w:r>
        <w:t xml:space="preserve">dependent-bootstrap procedures. For panel candidates with row-level</w:t>
      </w:r>
      <w:r>
        <w:t xml:space="preserve"> </w:t>
      </w:r>
      <w:r>
        <w:t xml:space="preserve">signal-return pairs, the empirical implementation reports both channels</w:t>
      </w:r>
      <w:r>
        <w:t xml:space="preserve"> </w:t>
      </w:r>
      <w:r>
        <w:t xml:space="preserve">before adding researcher-menu, placebo, factor-alpha, and turnover-cost</w:t>
      </w:r>
      <w:r>
        <w:t xml:space="preserve"> </w:t>
      </w:r>
      <w:r>
        <w:t xml:space="preserve">sensitivity diagnostics.</w:t>
      </w:r>
      <w:r/>
    </w:p>
    <w:p>
      <w:pPr>
        <w:pStyle w:val="685"/>
        <w:pBdr/>
        <w:spacing/>
        <w:ind/>
        <w:rPr/>
      </w:pPr>
      <w:r>
        <w:t xml:space="preserve">Each panel candidate is reported at three levels: the row-naive</w:t>
      </w:r>
      <w:r>
        <w:t xml:space="preserve"> </w:t>
      </w:r>
      <w:r>
        <w:t xml:space="preserve">baseline, the date-level confirmatory estimate, and the UVIF diagnostic</w:t>
      </w:r>
      <w:r>
        <w:t xml:space="preserve"> </w:t>
      </w:r>
      <w:r>
        <w:t xml:space="preserve">gap between them.</w:t>
      </w:r>
      <w:r>
        <w:t xml:space="preserve"> </w:t>
      </w:r>
      <w:r>
        <w:t xml:space="preserve">Figure 1 summarizes the workflow. The top row shows</w:t>
      </w:r>
      <w:r>
        <w:t xml:space="preserve"> </w:t>
      </w:r>
      <w:r>
        <w:t xml:space="preserve">the maintained empirical path: selected entity-date rows are first</w:t>
      </w:r>
      <w:r>
        <w:t xml:space="preserve"> </w:t>
      </w:r>
      <w:r>
        <w:t xml:space="preserve">aggregated to one return per date and then evaluated with date-return</w:t>
      </w:r>
      <w:r>
        <w:t xml:space="preserve"> </w:t>
      </w:r>
      <w:r>
        <w:t xml:space="preserve">inference. The bottom row shows the diagnostic path: the row-pooled IID</w:t>
      </w:r>
      <w:r>
        <w:t xml:space="preserve"> </w:t>
      </w:r>
      <w:r>
        <w:t xml:space="preserve">report is retained only to measure the sampling-boundary gap and to</w:t>
      </w:r>
      <w:r>
        <w:t xml:space="preserve"> </w:t>
      </w:r>
      <w:r>
        <w:t xml:space="preserve">organize supplementary checks.</w:t>
      </w:r>
      <w:r/>
    </w:p>
    <w:tbl>
      <w:tblPr>
        <w:jc w:val="center"/>
        <w:tblW w:w="0" w:type="auto"/>
        <w:tblBorders/>
        <w:tblLook w:val="0000" w:firstRow="0" w:lastRow="0" w:firstColumn="0" w:lastColumn="0" w:noHBand="0" w:noVBand="0"/>
      </w:tblPr>
      <w:tblGrid>
        <w:gridCol w:w="3960"/>
        <w:gridCol w:w="396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/>
            </w:pPr>
            <w:r/>
            <w:bookmarkStart w:id="26" w:name="fig:workflow"/>
            <w:r/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/>
            <w:r/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/>
            </w:pPr>
            <w:r/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/>
            <w:r/>
          </w:p>
        </w:tc>
      </w:tr>
    </w:tbl>
    <w:p>
      <w:pPr>
        <w:pStyle w:val="724"/>
        <w:pBdr/>
        <w:spacing/>
        <w:ind/>
        <w:rPr/>
      </w:pPr>
      <w:r>
        <w:t xml:space="preserve">Inference workflow. Selected asset-date rows are first</w:t>
      </w:r>
      <w:r>
        <w:t xml:space="preserve"> </w:t>
      </w:r>
      <w:r>
        <w:t xml:space="preserve">aggregated into one portfolio return per date, and Sharpe inference is</w:t>
      </w:r>
      <w:r>
        <w:t xml:space="preserve"> </w:t>
      </w:r>
      <w:r>
        <w:t xml:space="preserve">then conducted on that date-return series. The row-pooled IID path is</w:t>
      </w:r>
      <w:r>
        <w:t xml:space="preserve"> </w:t>
      </w:r>
      <w:r>
        <w:t xml:space="preserve">retained only as a comparator for Sharpe UVIF and for organizing</w:t>
      </w:r>
      <w:r>
        <w:t xml:space="preserve"> </w:t>
      </w:r>
      <w:r>
        <w:t xml:space="preserve">supplementary menu, placebo, alpha, and turnover-cost checks.</w:t>
      </w:r>
      <w:bookmarkEnd w:id="26"/>
      <w:r/>
    </w:p>
    <w:p>
      <w:pPr>
        <w:pStyle w:val="698"/>
        <w:pBdr/>
        <w:spacing/>
        <w:ind/>
        <w:rPr/>
      </w:pPr>
      <w:r/>
      <w:bookmarkStart w:id="27" w:name="date-aggregation-as-the-target-boundary"/>
      <w:r>
        <w:rPr>
          <w:rStyle w:val="729"/>
        </w:rPr>
        <w:t xml:space="preserve">3.1</w:t>
      </w:r>
      <w:r>
        <w:tab/>
      </w:r>
      <w:r>
        <w:t xml:space="preserve">Date aggregation as the target boundary</w:t>
      </w:r>
      <w:r/>
    </w:p>
    <w:p>
      <w:pPr>
        <w:pStyle w:val="686"/>
        <w:pBdr/>
        <w:spacing/>
        <w:ind/>
        <w:rPr/>
      </w:pPr>
      <w:r>
        <w:t xml:space="preserve">Let</w:t>
      </w:r>
      <w:r>
        <w:t xml:space="preserve"> </w:t>
      </w:r>
      <m:oMath>
        <m:sSub>
          <m:sSubPr>
            <m:ctrlPr/>
          </m:sSubPr>
          <m:e>
            <m:r>
              <m:rPr/>
              <m:t>S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t xml:space="preserve">denote the selected entities on date</w:t>
      </w:r>
      <w:r>
        <w:t xml:space="preserve"> </w:t>
      </w:r>
      <m:oMath>
        <m:r>
          <m:rPr/>
          <m:t>t</m:t>
        </m:r>
      </m:oMath>
      <w:r>
        <w:t xml:space="preserve">, let</w:t>
      </w:r>
      <w:r>
        <w:t xml:space="preserve"> </w:t>
      </w:r>
      <m:oMath>
        <m:sSub>
          <m:sSubPr>
            <m:ctrlPr/>
          </m:sSubPr>
          <m:e>
            <m:r>
              <m:rPr/>
              <m:t>Y</m:t>
            </m:r>
          </m:e>
          <m:sub>
            <m:r>
              <m:rPr/>
              <m:t>t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be the signed one-period row return, and let</w:t>
      </w:r>
      <w:r>
        <w:t xml:space="preserve"> </w:t>
      </w:r>
      <m:oMath>
        <m:sSub>
          <m:sSubPr>
            <m:ctrlPr/>
          </m:sSubPr>
          <m:e>
            <m:r>
              <m:rPr/>
              <m:t>w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be the economic</w:t>
      </w:r>
      <w:r>
        <w:t xml:space="preserve"> </w:t>
      </w:r>
      <w:r>
        <w:t xml:space="preserve">weight assigned to selected row</w:t>
      </w:r>
      <w:r>
        <w:t xml:space="preserve"> </w:t>
      </w:r>
      <m:oMath>
        <m:r>
          <m:rPr/>
          <m:t>i</m:t>
        </m:r>
      </m:oMath>
      <w:r>
        <w:t xml:space="preserve">. The portfolio return used for</w:t>
      </w:r>
      <w:r>
        <w:t xml:space="preserve"> </w:t>
      </w:r>
      <w:r>
        <w:t xml:space="preserve">Sharpe inference is the date-level object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/>
                <m:t>R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grow m:val="off"/>
              <m:limLoc m:val="undOvr"/>
              <m:supHide m:val="on"/>
              <m:ctrlPr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>
                  <m:ctrlPr/>
                </m:sSubPr>
                <m:e>
                  <m:r>
                    <m:rPr/>
                    <m:t>S</m:t>
                  </m:r>
                </m:e>
                <m:sub>
                  <m:r>
                    <m:rPr/>
                    <m:t>t</m:t>
                  </m:r>
                </m:sub>
              </m:sSub>
            </m:sub>
            <m:sup/>
            <m:e>
              <m:sSub>
                <m:sSubPr>
                  <m:ctrlPr/>
                </m:sSubPr>
                <m:e>
                  <m:r>
                    <m:rPr/>
                    <m:t>w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</m:e>
          </m:nary>
          <m:sSub>
            <m:sSubPr>
              <m:ctrlPr/>
            </m:sSubPr>
            <m:e>
              <m:r>
                <m:rPr/>
                <m:t>Y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nary>
            <m:naryPr>
              <m:chr m:val="∑"/>
              <m:grow m:val="off"/>
              <m:limLoc m:val="undOvr"/>
              <m:supHide m:val="on"/>
              <m:ctrlPr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>
                  <m:ctrlPr/>
                </m:sSubPr>
                <m:e>
                  <m:r>
                    <m:rPr/>
                    <m:t>S</m:t>
                  </m:r>
                </m:e>
                <m:sub>
                  <m:r>
                    <m:rPr/>
                    <m:t>t</m:t>
                  </m:r>
                </m:sub>
              </m:sSub>
            </m:sub>
            <m:sup/>
            <m:e>
              <m:r>
                <m:rPr>
                  <m:sty m:val="p"/>
                </m:rPr>
                <m:t>|</m:t>
              </m:r>
            </m:e>
          </m:nary>
          <m:sSub>
            <m:sSubPr>
              <m:ctrlPr/>
            </m:sSubPr>
            <m:e>
              <m:r>
                <m:rPr/>
                <m:t>w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/>
            <m:t>1</m:t>
          </m:r>
          <m:r>
            <m:rPr/>
            <m:t> </m:t>
          </m:r>
          <m:r>
            <m:rPr>
              <m:nor m:val="on"/>
              <m:sty m:val="p"/>
            </m:rPr>
            <m:t>on active public-panel dates</m:t>
          </m:r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This is the target boundary. A row-pooled analysis estimates uncertainty</w:t>
      </w:r>
      <w:r>
        <w:t xml:space="preserve"> </w:t>
      </w:r>
      <w:r>
        <w:t xml:space="preserve">as though the selected</w:t>
      </w:r>
      <w:r>
        <w:t xml:space="preserve"> </w:t>
      </w:r>
      <m:oMath>
        <m:sSub>
          <m:sSubPr>
            <m:ctrlPr/>
          </m:sSubPr>
          <m:e>
            <m:r>
              <m:rPr/>
              <m:t>Y</m:t>
            </m:r>
          </m:e>
          <m:sub>
            <m:r>
              <m:rPr/>
              <m:t>t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were independent observations, while</w:t>
      </w:r>
      <w:r>
        <w:t xml:space="preserve"> </w:t>
      </w:r>
      <w:r>
        <w:t xml:space="preserve">the confirmatory analysis estimates uncertainty for the realized</w:t>
      </w:r>
      <w:r>
        <w:t xml:space="preserve"> </w:t>
      </w:r>
      <w:r>
        <w:t xml:space="preserve">date-return series</w:t>
      </w:r>
      <w:r>
        <w:t xml:space="preserve"> </w:t>
      </w:r>
      <m:oMath>
        <m:r>
          <m:rPr>
            <m:sty m:val="p"/>
          </m:rPr>
          <m:t>{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}</m:t>
        </m:r>
      </m:oMath>
      <w:r>
        <w:t xml:space="preserve">. In the empirical implementation,</w:t>
      </w:r>
      <w:r>
        <w:t xml:space="preserve"> </w:t>
      </w:r>
      <w:r>
        <w:t xml:space="preserve">weights are normalized to the declared gross-exposure convention before</w:t>
      </w:r>
      <w:r>
        <w:t xml:space="preserve"> </w:t>
      </w:r>
      <w:r>
        <w:t xml:space="preserve">returns are computed. Unless otherwise stated, rendered public panel</w:t>
      </w:r>
      <w:r>
        <w:t xml:space="preserve"> </w:t>
      </w:r>
      <w:r>
        <w:t xml:space="preserve">tables use unit gross exposure within the selected signed-return set.</w:t>
      </w:r>
      <w:r>
        <w:t xml:space="preserve"> </w:t>
      </w:r>
      <w:r>
        <w:t xml:space="preserve">For signed long-short rows, the selected positive and negative signs are</w:t>
      </w:r>
      <w:r>
        <w:t xml:space="preserve"> </w:t>
      </w:r>
      <w:r>
        <w:t xml:space="preserve">combined into one unit-gross portfolio on each active date; dates with no</w:t>
      </w:r>
      <w:r>
        <w:t xml:space="preserve"> </w:t>
      </w:r>
      <w:r>
        <w:t xml:space="preserve">selected row receive no active portfolio return. Sharpe calculations use</w:t>
      </w:r>
      <w:r>
        <w:t xml:space="preserve"> </w:t>
      </w:r>
      <w:r>
        <w:t xml:space="preserve">active dates only unless otherwise stated.</w:t>
      </w:r>
      <w:r/>
    </w:p>
    <w:p>
      <w:pPr>
        <w:pStyle w:val="685"/>
        <w:pBdr/>
        <w:spacing/>
        <w:ind/>
        <w:rPr/>
      </w:pPr>
      <w:r>
        <w:t xml:space="preserve">In the public equal-weight threshold implementation, optional</w:t>
      </w:r>
      <w:r>
        <w:t xml:space="preserve"> </w:t>
      </w:r>
      <w:r>
        <w:t xml:space="preserve">non-negative weights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are normalized within the selected set</w:t>
      </w:r>
      <w:r>
        <w:t xml:space="preserve"> </w:t>
      </w:r>
      <m:oMath>
        <m:sSub>
          <m:sSubPr>
            <m:ctrlPr/>
          </m:sSubPr>
          <m:e>
            <m:r>
              <m:rPr>
                <m:scr m:val="script"/>
                <m:sty m:val="p"/>
              </m:rPr>
              <m:t>S</m:t>
            </m:r>
          </m:e>
          <m:sub>
            <m:r>
              <m:rPr/>
              <m:t>t</m:t>
            </m:r>
          </m:sub>
        </m:sSub>
      </m:oMath>
      <w:r>
        <w:t xml:space="preserve">, where</w:t>
      </w:r>
      <w:r>
        <w:t xml:space="preserve"> </w:t>
      </w:r>
      <m:oMath>
        <m:sSub>
          <m:sSubPr>
            <m:ctrlPr/>
          </m:sSubPr>
          <m:e>
            <m:r>
              <m:rPr>
                <m:scr m:val="script"/>
                <m:sty m:val="p"/>
              </m:rPr>
              <m:t>S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t xml:space="preserve">is produced by the declared</w:t>
      </w:r>
      <w:r>
        <w:t xml:space="preserve"> </w:t>
      </w:r>
      <w:r>
        <w:t xml:space="preserve">lookback</w:t>
      </w:r>
      <w:r>
        <w:t xml:space="preserve"> </w:t>
      </w:r>
      <m:oMath>
        <m:r>
          <m:rPr/>
          <m:t>L</m:t>
        </m:r>
      </m:oMath>
      <w:r>
        <w:t xml:space="preserve">, skip</w:t>
      </w:r>
      <w:r>
        <w:t xml:space="preserve"> </w:t>
      </w:r>
      <m:oMath>
        <m:r>
          <m:rPr/>
          <m:t>q</m:t>
        </m:r>
      </m:oMath>
      <w:r>
        <w:t xml:space="preserve">, and signal threshold</w:t>
      </w:r>
      <w:r>
        <w:t xml:space="preserve"> </w:t>
      </w:r>
      <m:oMath>
        <m:r>
          <m:rPr/>
          <m:t>τ</m:t>
        </m:r>
      </m:oMath>
      <w:r>
        <w:t xml:space="preserve">. The resulting</w:t>
      </w:r>
      <w:r>
        <w:t xml:space="preserve"> </w:t>
      </w:r>
      <w:r>
        <w:t xml:space="preserve">date return is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acc>
                <m:accPr>
                  <m:chr m:val="‾"/>
                  <m:ctrlPr/>
                </m:accPr>
                <m:e>
                  <m:r>
                    <m:rPr/>
                    <m:t>r</m:t>
                  </m:r>
                </m:e>
              </m:acc>
            </m:e>
            <m:sub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q</m:t>
          </m:r>
          <m:r>
            <m:rPr>
              <m:sty m:val="p"/>
            </m:rPr>
            <m:t>,</m:t>
          </m:r>
          <m:r>
            <m:rPr/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ctrlPr/>
            </m:fPr>
            <m:num>
              <m:nary>
                <m:naryPr>
                  <m:chr m:val="∑"/>
                  <m:grow m:val="off"/>
                  <m:limLoc m:val="undOvr"/>
                  <m:supHide m:val="on"/>
                  <m:ctrlPr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sSubPr>
                      <m:ctrlPr/>
                    </m:sSubPr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sub>
                <m:sup/>
                <m:e>
                  <m:sSub>
                    <m:sSubPr>
                      <m:ctrlPr/>
                    </m:sSubPr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</m:e>
              </m:nary>
              <m:sSubSup>
                <m:sSubSupPr>
                  <m:alnScr m:val="off"/>
                  <m:ctrlPr/>
                </m:sSubSupPr>
                <m:e>
                  <m:r>
                    <m:rPr/>
                    <m:t>y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nary>
                <m:naryPr>
                  <m:chr m:val="∑"/>
                  <m:grow m:val="off"/>
                  <m:limLoc m:val="undOvr"/>
                  <m:supHide m:val="on"/>
                  <m:ctrlPr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sSubPr>
                      <m:ctrlPr/>
                    </m:sSubPr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sub>
                <m:sup/>
                <m:e>
                  <m:sSub>
                    <m:sSubPr>
                      <m:ctrlPr/>
                    </m:sSubPr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The denominator is the total active economic weight on date</w:t>
      </w:r>
      <w:r>
        <w:t xml:space="preserve"> </w:t>
      </w:r>
      <m:oMath>
        <m:r>
          <m:rPr/>
          <m:t>t</m:t>
        </m:r>
      </m:oMath>
      <w:r>
        <w:t xml:space="preserve">, not a</w:t>
      </w:r>
      <w:r>
        <w:t xml:space="preserve"> </w:t>
      </w:r>
      <w:r>
        <w:t xml:space="preserve">generic row count. Under the primary equal-weighted evaluation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, it reduces to the number of selected rows. Confidence-weighted</w:t>
      </w:r>
      <w:r>
        <w:t xml:space="preserve"> </w:t>
      </w:r>
      <w:r>
        <w:t xml:space="preserve">and signal-magnitude-weighted returns are sensitivity checks.</w:t>
      </w:r>
      <w:bookmarkEnd w:id="27"/>
      <w:r/>
    </w:p>
    <w:p>
      <w:pPr>
        <w:pStyle w:val="698"/>
        <w:pBdr/>
        <w:spacing/>
        <w:ind/>
        <w:rPr/>
      </w:pPr>
      <w:r/>
      <w:bookmarkStart w:id="28" w:name="sharpe-inference"/>
      <w:r>
        <w:rPr>
          <w:rStyle w:val="729"/>
        </w:rPr>
        <w:t xml:space="preserve">3.2</w:t>
      </w:r>
      <w:r>
        <w:tab/>
      </w:r>
      <w:r>
        <w:t xml:space="preserve">Sharpe inference</w:t>
      </w:r>
      <w:r/>
    </w:p>
    <w:p>
      <w:pPr>
        <w:pStyle w:val="686"/>
        <w:pBdr/>
        <w:spacing/>
        <w:ind/>
        <w:rPr/>
      </w:pPr>
      <w:r>
        <w:t xml:space="preserve">The Sharpe ratio throughout is annualized mean excess return divided by</w:t>
      </w:r>
      <w:r>
        <w:t xml:space="preserve"> </w:t>
      </w:r>
      <w:r>
        <w:t xml:space="preserve">period return volatility, with the source-specific annualization factor</w:t>
      </w:r>
      <w:r>
        <w:t xml:space="preserve"> </w:t>
      </w:r>
      <w:r>
        <w:t xml:space="preserve">applied after the period mean and variance are computed. The inference</w:t>
      </w:r>
      <w:r>
        <w:t xml:space="preserve"> </w:t>
      </w:r>
      <w:r>
        <w:t xml:space="preserve">design separates estimation from testing. It reports two-sided</w:t>
      </w:r>
      <w:r>
        <w:t xml:space="preserve"> </w:t>
      </w:r>
      <w:r>
        <w:t xml:space="preserve">95 percent intervals for</w:t>
      </w:r>
      <w:r>
        <w:t xml:space="preserve"> </w:t>
      </w:r>
      <m:oMath>
        <m:acc>
          <m:accPr>
            <m:chr m:val="̂"/>
            <m:ctrlPr/>
          </m:acc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</m:acc>
      </m:oMath>
      <w:r>
        <w:t xml:space="preserve"> </w:t>
      </w:r>
      <w:r>
        <w:t xml:space="preserve">and one-sided positive-edge</w:t>
      </w:r>
      <w:r>
        <w:t xml:space="preserve"> </w:t>
      </w:r>
      <m:oMath>
        <m:r>
          <m:rPr/>
          <m:t>p</m:t>
        </m:r>
      </m:oMath>
      <w:r>
        <w:t xml:space="preserve">-values for</w:t>
      </w:r>
      <w:r>
        <w:t xml:space="preserve"> </w:t>
      </w:r>
      <m:oMath>
        <m:sSub>
          <m:sSubPr>
            <m:ctrlPr/>
          </m:sSubPr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rPr/>
          <m:t>0</m:t>
        </m:r>
      </m:oMath>
      <w:r>
        <w:t xml:space="preserve">. For a fixed return series with</w:t>
      </w:r>
      <w:r>
        <w:t xml:space="preserve"> </w:t>
      </w:r>
      <w:r>
        <w:t xml:space="preserve">positive volatility, this is equivalent to a nonpositive mean excess</w:t>
      </w:r>
      <w:r>
        <w:t xml:space="preserve"> </w:t>
      </w:r>
      <w:r>
        <w:t xml:space="preserve">return null. Bootstrap inference resamples the date-return series by</w:t>
      </w:r>
      <w:r>
        <w:t xml:space="preserve"> </w:t>
      </w:r>
      <w:r>
        <w:t xml:space="preserve">IID date, moving block, or stationary bootstrap. The date-IID bootstrap</w:t>
      </w:r>
      <w:r>
        <w:t xml:space="preserve"> </w:t>
      </w:r>
      <w:r>
        <w:t xml:space="preserve">is reported only as a comparator; dependence-aware conclusions rely on</w:t>
      </w:r>
      <w:r>
        <w:t xml:space="preserve"> </w:t>
      </w:r>
      <w:r>
        <w:t xml:space="preserve">HAC, moving-block, and stationary-bootstrap procedures.</w:t>
      </w:r>
      <w:r>
        <w:t xml:space="preserve"> </w:t>
      </w:r>
      <w:r>
        <w:t xml:space="preserve">The positive-edge bootstrap</w:t>
      </w:r>
      <w:r>
        <w:t xml:space="preserve"> </w:t>
      </w:r>
      <m:oMath>
        <m:r>
          <m:rPr/>
          <m:t>p</m:t>
        </m:r>
      </m:oMath>
      <w:r>
        <w:t xml:space="preserve">-value uses one-draw smoothing: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p>
            <m:sSupPr>
              <m:ctrlPr/>
            </m:sSupPr>
            <m:e>
              <m:r>
                <m:rPr/>
                <m:t>p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f>
            <m:fPr>
              <m:ctrlPr/>
            </m:fPr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sSubSup>
                <m:sSubSupPr>
                  <m:alnScr m:val="off"/>
                  <m:ctrlPr/>
                </m:sSubSupPr>
                <m:e>
                  <m:acc>
                    <m:accPr>
                      <m:chr m:val="̂"/>
                      <m:ctrlPr/>
                    </m:acc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acc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rPr/>
                <m:t>0</m:t>
              </m:r>
              <m:r>
                <m:rPr>
                  <m:sty m:val="p"/>
                </m:rPr>
                <m:t>}</m:t>
              </m:r>
            </m:num>
            <m:den>
              <m:r>
                <m:rPr/>
                <m:t>B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For HAC inference, reindex the finite realized date-return observations</w:t>
      </w:r>
      <w:r>
        <w:t xml:space="preserve"> </w:t>
      </w:r>
      <w:r>
        <w:t xml:space="preserve">as</w:t>
      </w:r>
      <w:r>
        <w:t xml:space="preserve"> </w:t>
      </w:r>
      <m:oMath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u</m:t>
            </m:r>
          </m:sub>
        </m:sSub>
      </m:oMath>
      <w:r>
        <w:t xml:space="preserve">,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R</m:t>
            </m:r>
          </m:sub>
        </m:sSub>
      </m:oMath>
      <w:r>
        <w:t xml:space="preserve">, where</w:t>
      </w:r>
      <w:r>
        <w:t xml:space="preserve"> </w:t>
      </w:r>
      <m:oMath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u</m:t>
            </m:r>
          </m:sub>
        </m:sSub>
      </m:oMath>
      <w:r>
        <w:t xml:space="preserve"> </w:t>
      </w:r>
      <w:r>
        <w:t xml:space="preserve">is the strategy excess</w:t>
      </w:r>
      <w:r>
        <w:t xml:space="preserve"> </w:t>
      </w:r>
      <w:r>
        <w:t xml:space="preserve">return for the decision date after subtracting the applicable risk-free</w:t>
      </w:r>
      <w:r>
        <w:t xml:space="preserve"> </w:t>
      </w:r>
      <w:r>
        <w:t xml:space="preserve">rate when the source is not already a long-short excess-return series.</w:t>
      </w:r>
      <w:r>
        <w:t xml:space="preserve"> </w:t>
      </w:r>
      <w:r>
        <w:t xml:space="preserve">Let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t xml:space="preserve">denote the source-specific annualization factor: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252</m:t>
        </m:r>
      </m:oMath>
      <w:r>
        <w:t xml:space="preserve"> </w:t>
      </w:r>
      <w:r>
        <w:t xml:space="preserve">for daily sources and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12</m:t>
        </m:r>
      </m:oMath>
      <w:r>
        <w:t xml:space="preserve"> </w:t>
      </w:r>
      <w:r>
        <w:t xml:space="preserve">for monthly sources in the public</w:t>
      </w:r>
      <w:r>
        <w:t xml:space="preserve"> </w:t>
      </w:r>
      <w:r>
        <w:t xml:space="preserve">configuration.</w:t>
      </w:r>
      <w:r>
        <w:t xml:space="preserve"> </w:t>
      </w:r>
      <w:r>
        <w:t xml:space="preserve">Let</w:t>
      </w:r>
      <w:r>
        <w:t xml:space="preserve"> </w:t>
      </w:r>
      <m:oMath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,</m:t>
        </m:r>
        <m:sSubSup>
          <m:sSubSupPr>
            <m:alnScr m:val="off"/>
            <m:ctrlPr/>
          </m:sSubSupPr>
          <m:e>
            <m:r>
              <m:rPr/>
              <m:t>R</m:t>
            </m:r>
          </m:e>
          <m:sub>
            <m:r>
              <m:rPr/>
              <m:t>u</m:t>
            </m:r>
          </m:sub>
          <m:sup>
            <m:r>
              <m:rPr/>
              <m:t>2</m:t>
            </m:r>
          </m:sup>
        </m:sSubSup>
        <m:sSup>
          <m:sSupPr>
            <m:ctrlPr/>
          </m:sSupPr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  <m:ctrlPr/>
          </m:accPr>
          <m:e>
            <m:r>
              <m:rPr/>
              <m:t>μ</m:t>
            </m:r>
          </m:e>
        </m:acc>
        <m:r>
          <m:rPr>
            <m:sty m:val="p"/>
          </m:rPr>
          <m:t>=</m:t>
        </m:r>
        <m:sSubSup>
          <m:sSubSupPr>
            <m:alnScr m:val="off"/>
            <m:ctrlPr/>
          </m:sSubSupPr>
          <m:e>
            <m:r>
              <m:rPr/>
              <m:t>T</m:t>
            </m:r>
          </m:e>
          <m:sub>
            <m:r>
              <m:rPr/>
              <m:t>R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nary>
          <m:naryPr>
            <m:chr m:val="∑"/>
            <m:grow m:val="off"/>
            <m:limLoc m:val="undOvr"/>
            <m:supHide m:val="on"/>
            <m:ctrlPr/>
          </m:naryPr>
          <m:sub>
            <m:r>
              <m:rPr/>
              <m:t>u</m:t>
            </m:r>
          </m:sub>
          <m:sup/>
          <m:e>
            <m:sSub>
              <m:sSubPr>
                <m:ctrlPr/>
              </m:sSubPr>
              <m:e>
                <m:r>
                  <m:rPr/>
                  <m:t>R</m:t>
                </m:r>
              </m:e>
              <m:sub>
                <m:r>
                  <m:rPr/>
                  <m:t>u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sSubPr>
            <m:ctrlPr/>
          </m:sSubPr>
          <m:e>
            <m:acc>
              <m:accPr>
                <m:chr m:val="̂"/>
                <m:ctrlPr/>
              </m:accPr>
              <m:e>
                <m:r>
                  <m:rPr/>
                  <m:t>m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Sup>
          <m:sSubSupPr>
            <m:alnScr m:val="off"/>
            <m:ctrlPr/>
          </m:sSubSupPr>
          <m:e>
            <m:r>
              <m:rPr/>
              <m:t>T</m:t>
            </m:r>
          </m:e>
          <m:sub>
            <m:r>
              <m:rPr/>
              <m:t>R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nary>
          <m:naryPr>
            <m:chr m:val="∑"/>
            <m:grow m:val="off"/>
            <m:limLoc m:val="undOvr"/>
            <m:supHide m:val="on"/>
            <m:ctrlPr/>
          </m:naryPr>
          <m:sub>
            <m:r>
              <m:rPr/>
              <m:t>u</m:t>
            </m:r>
          </m:sub>
          <m:sup/>
          <m:e>
            <m:sSubSup>
              <m:sSubSupPr>
                <m:alnScr m:val="off"/>
                <m:ctrlPr/>
              </m:sSubSupPr>
              <m:e>
                <m:r>
                  <m:rPr/>
                  <m:t>R</m:t>
                </m:r>
              </m:e>
              <m:sub>
                <m:r>
                  <m:rPr/>
                  <m:t>u</m:t>
                </m:r>
              </m:sub>
              <m:sup>
                <m:r>
                  <m:rPr/>
                  <m:t>2</m:t>
                </m:r>
              </m:sup>
            </m:sSubSup>
          </m:e>
        </m:nary>
      </m:oMath>
      <w:r>
        <w:t xml:space="preserve">, and</w:t>
      </w:r>
      <w:r>
        <w:t xml:space="preserve"> </w:t>
      </w:r>
      <m:oMath>
        <m:acc>
          <m:accPr>
            <m:chr m:val="̂"/>
            <m:ctrlPr/>
          </m:accPr>
          <m:e>
            <m:r>
              <m:rPr/>
              <m:t>v</m:t>
            </m:r>
          </m:e>
        </m:acc>
        <m:r>
          <m:rPr>
            <m:sty m:val="p"/>
          </m:rPr>
          <m:t>=</m:t>
        </m:r>
        <m:sSub>
          <m:sSubPr>
            <m:ctrlPr/>
          </m:sSubPr>
          <m:e>
            <m:acc>
              <m:accPr>
                <m:chr m:val="̂"/>
                <m:ctrlPr/>
              </m:accPr>
              <m:e>
                <m:r>
                  <m:rPr/>
                  <m:t>m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p>
          <m:sSupPr>
            <m:ctrlPr/>
          </m:sSupPr>
          <m:e>
            <m:acc>
              <m:accPr>
                <m:chr m:val="̂"/>
                <m:ctrlPr/>
              </m:accPr>
              <m:e>
                <m:r>
                  <m:rPr/>
                  <m:t>μ</m:t>
                </m:r>
              </m:e>
            </m:acc>
          </m:e>
          <m:sup>
            <m:r>
              <m:rPr/>
              <m:t>2</m:t>
            </m:r>
          </m:sup>
        </m:sSup>
      </m:oMath>
      <w:r>
        <w:t xml:space="preserve">. The denominator uses the</w:t>
      </w:r>
      <w:r>
        <w:t xml:space="preserve"> </w:t>
      </w:r>
      <m:oMath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R</m:t>
            </m:r>
          </m:sub>
        </m:sSub>
      </m:oMath>
      <w:r>
        <w:t xml:space="preserve">-moment</w:t>
      </w:r>
      <w:r>
        <w:t xml:space="preserve"> </w:t>
      </w:r>
      <w:r>
        <w:t xml:space="preserve">variance, not the</w:t>
      </w:r>
      <w:r>
        <w:t xml:space="preserve"> </w:t>
      </w:r>
      <m:oMath>
        <m:r>
          <m:rPr/>
          <m:t>T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t xml:space="preserve">bias correction, because it is the plug-in</w:t>
      </w:r>
      <w:r>
        <w:t xml:space="preserve"> </w:t>
      </w:r>
      <w:r>
        <w:t xml:space="preserve">moment entering the smooth functional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μ</m:t>
          </m:r>
          <m:r>
            <m:rPr>
              <m:sty m:val="p"/>
            </m:rPr>
            <m:t>,</m:t>
          </m:r>
          <m:sSub>
            <m:sSubPr>
              <m:ctrlPr/>
            </m:sSubPr>
            <m:e>
              <m:r>
                <m:rPr/>
                <m:t>m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  <m:ctrlPr/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sSub>
                <m:sSubPr>
                  <m:ctrlPr/>
                </m:sSubPr>
                <m:e>
                  <m:r>
                    <m:rPr/>
                    <m:t>A</m:t>
                  </m:r>
                </m:e>
                <m:sub>
                  <m:r>
                    <m:rPr/>
                    <m:t>f</m:t>
                  </m:r>
                </m:sub>
              </m:sSub>
            </m:e>
          </m:rad>
          <m:f>
            <m:fPr>
              <m:ctrlPr/>
            </m:fPr>
            <m:num>
              <m:r>
                <m:rPr/>
                <m:t>μ</m:t>
              </m:r>
            </m:num>
            <m:den>
              <m: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sSupPr>
                  <m:ctrlPr/>
                </m:sSupPr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>
                  <m:ctrlPr/>
                </m:sSupPr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This convention only changes finite-sample scaling and is kept</w:t>
      </w:r>
      <w:r>
        <w:t xml:space="preserve"> </w:t>
      </w:r>
      <w:r>
        <w:t xml:space="preserve">consistent across the plug-in variance calculations.</w:t>
      </w:r>
      <w:r>
        <w:t xml:space="preserve"> </w:t>
      </w:r>
      <w:r>
        <w:t xml:space="preserve">Following Ledoit and Wolf (2008), the Sharpe ratio is treated as a</w:t>
      </w:r>
      <w:r>
        <w:t xml:space="preserve"> </w:t>
      </w:r>
      <w:r>
        <w:t xml:space="preserve">smooth functional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moment vector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]</m:t>
        </m:r>
      </m:oMath>
      <w:r>
        <w:t xml:space="preserve">. On sets where</w:t>
      </w:r>
      <w:r>
        <w:t xml:space="preserve"> </w:t>
      </w:r>
      <m:oMath>
        <m:sSub>
          <m:sSubPr>
            <m:ctrlPr/>
          </m:sSubPr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p>
          <m:sSupPr>
            <m:ctrlPr/>
          </m:sSupPr>
          <m:e>
            <m:r>
              <m:rPr/>
              <m:t>μ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t xml:space="preserve">is bounded away from</w:t>
      </w:r>
      <w:r>
        <w:t xml:space="preserve"> </w:t>
      </w:r>
      <w:r>
        <w:t xml:space="preserve">zero, this map is Hadamard differentiable. The asymptotic normality of</w:t>
      </w:r>
      <w:r>
        <w:t xml:space="preserve"> </w:t>
      </w:r>
      <m:oMath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sSub>
              <m:sSubPr>
                <m:ctrlPr/>
              </m:sSubPr>
              <m:e>
                <m:r>
                  <m:rPr/>
                  <m:t>T</m:t>
                </m:r>
              </m:e>
              <m:sub>
                <m:r>
                  <m:rPr/>
                  <m:t>R</m:t>
                </m:r>
              </m:sub>
            </m:sSub>
          </m:e>
        </m:rad>
        <m:r>
          <m:rPr>
            <m:sty m:val="p"/>
          </m:rPr>
          <m:t>(</m:t>
        </m:r>
        <m:acc>
          <m:accPr>
            <m:chr m:val="̂"/>
            <m:ctrlPr/>
          </m:acc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</m:acc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follows from the functional delta method</w:t>
      </w:r>
      <w:r>
        <w:t xml:space="preserve"> </w:t>
      </w:r>
      <w:r>
        <w:t xml:space="preserve">provided the long-run covariance matrix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consistently</w:t>
      </w:r>
      <w:r>
        <w:t xml:space="preserve"> </w:t>
      </w:r>
      <w:r>
        <w:t xml:space="preserve">estimated by a kernel-based HAC estimator.</w:t>
      </w:r>
      <w:r>
        <w:t xml:space="preserve"> </w:t>
      </w:r>
      <w:r>
        <w:t xml:space="preserve">For the HAC and dependent-bootstrap validity statements, assume the</w:t>
      </w:r>
      <w:r>
        <w:t xml:space="preserve"> </w:t>
      </w:r>
      <w:r>
        <w:t xml:space="preserve">date-level process is strongly mixing, or near-epoch dependent on a</w:t>
      </w:r>
      <w:r>
        <w:t xml:space="preserve"> </w:t>
      </w:r>
      <w:r>
        <w:t xml:space="preserve">strongly mixing process, with mixing and moment conditions sufficient</w:t>
      </w:r>
      <w:r>
        <w:t xml:space="preserve"> </w:t>
      </w:r>
      <w:r>
        <w:t xml:space="preserve">for a functional central limit theorem for</w:t>
      </w:r>
      <w:r>
        <w:t xml:space="preserve"> </w:t>
      </w:r>
      <m:oMath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,</m:t>
        </m:r>
        <m:sSubSup>
          <m:sSubSupPr>
            <m:alnScr m:val="off"/>
            <m:ctrlPr/>
          </m:sSubSupPr>
          <m:e>
            <m:r>
              <m:rPr/>
              <m:t>R</m:t>
            </m:r>
          </m:e>
          <m:sub>
            <m:r>
              <m:rPr/>
              <m:t>t</m:t>
            </m:r>
          </m:sub>
          <m:sup>
            <m:r>
              <m:rPr/>
              <m:t>2</m:t>
            </m:r>
          </m:sup>
        </m:sSubSup>
        <m:sSup>
          <m:sSupPr>
            <m:ctrlPr/>
          </m:sSupPr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The</w:t>
      </w:r>
      <w:r>
        <w:t xml:space="preserve"> </w:t>
      </w:r>
      <w:r>
        <w:t xml:space="preserve">HAC bandwidth satisfies</w:t>
      </w:r>
      <w:r>
        <w:t xml:space="preserve"> </w:t>
      </w:r>
      <m:oMath>
        <m:sSub>
          <m:sSubPr>
            <m:ctrlPr/>
          </m:sSubPr>
          <m:e>
            <m:r>
              <m:rPr/>
              <m:t>K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sSubPr>
            <m:ctrlPr/>
          </m:sSubPr>
          <m:e>
            <m:r>
              <m:rPr/>
              <m:t>K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→</m:t>
        </m:r>
        <m:r>
          <m:rPr/>
          <m:t>0</m:t>
        </m:r>
      </m:oMath>
      <w:r>
        <w:t xml:space="preserve">; block</w:t>
      </w:r>
      <w:r>
        <w:t xml:space="preserve"> </w:t>
      </w:r>
      <w:r>
        <w:t xml:space="preserve">lengths satisfy</w:t>
      </w:r>
      <w:r>
        <w:t xml:space="preserve"> </w:t>
      </w:r>
      <m:oMath>
        <m:r>
          <m:rPr/>
          <m:t>ℓ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/>
          <m:t>ℓ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→</m:t>
        </m:r>
        <m:r>
          <m:rPr/>
          <m:t>0</m:t>
        </m:r>
      </m:oMath>
      <w:r>
        <w:t xml:space="preserve">.</w:t>
      </w:r>
      <w:r>
        <w:t xml:space="preserve"> </w:t>
      </w:r>
      <w:r>
        <w:t xml:space="preserve">Evaluated at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̂"/>
            <m:ctrlPr/>
          </m:accPr>
          <m:e>
            <m:r>
              <m:rPr/>
              <m:t>μ</m:t>
            </m:r>
          </m:e>
        </m:acc>
        <m:r>
          <m:rPr>
            <m:sty m:val="p"/>
          </m:rPr>
          <m:t>,</m:t>
        </m:r>
        <m:sSub>
          <m:sSubPr>
            <m:ctrlPr/>
          </m:sSubPr>
          <m:e>
            <m:acc>
              <m:accPr>
                <m:chr m:val="̂"/>
                <m:ctrlPr/>
              </m:accPr>
              <m:e>
                <m:r>
                  <m:rPr/>
                  <m:t>m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acc>
            <m:accPr>
              <m:chr m:val="̂"/>
              <m:ctrlPr/>
            </m:acc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  <m:ctrlPr/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sSub>
                <m:sSubPr>
                  <m:ctrlPr/>
                </m:sSubPr>
                <m:e>
                  <m:r>
                    <m:rPr/>
                    <m:t>A</m:t>
                  </m:r>
                </m:e>
                <m:sub>
                  <m:r>
                    <m:rPr/>
                    <m:t>f</m:t>
                  </m:r>
                </m:sub>
              </m:sSub>
            </m:e>
          </m:rad>
          <m:f>
            <m:fPr>
              <m:ctrlPr/>
            </m:fPr>
            <m:num>
              <m:acc>
                <m:accPr>
                  <m:chr m:val="̂"/>
                  <m:ctrlPr/>
                </m:accPr>
                <m:e>
                  <m:r>
                    <m:rPr/>
                    <m:t>μ</m:t>
                  </m:r>
                </m:e>
              </m:acc>
            </m:num>
            <m:den>
              <m:rad>
                <m:radPr>
                  <m:degHide m:val="on"/>
                  <m:ctrlPr/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acc>
                    <m:accPr>
                      <m:chr m:val="̂"/>
                      <m:ctrlPr/>
                    </m:accPr>
                    <m:e>
                      <m:r>
                        <m:rPr/>
                        <m:t>v</m:t>
                      </m:r>
                    </m:e>
                  </m:acc>
                </m:e>
              </m:rad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∇</m:t>
          </m:r>
          <m:r>
            <m:rPr/>
            <m:t>f</m:t>
          </m:r>
          <m:r>
            <m:rPr>
              <m:sty m:val="p"/>
            </m:rPr>
            <m:t>(</m:t>
          </m:r>
          <m:acc>
            <m:accPr>
              <m:chr m:val="̂"/>
              <m:ctrlPr/>
            </m:accPr>
            <m:e>
              <m:r>
                <m:rPr/>
                <m:t>μ</m:t>
              </m:r>
            </m:e>
          </m:acc>
          <m:r>
            <m:rPr>
              <m:sty m:val="p"/>
            </m:rPr>
            <m:t>,</m:t>
          </m:r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m:rPr/>
                    <m:t>m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>
              <m:ctrlPr/>
            </m:sSupPr>
            <m:e>
              <m:d>
                <m:dPr>
                  <m:begChr m:val="("/>
                  <m:endChr m:val=")"/>
                  <m:sepChr m:val=""/>
                  <m:ctrlPr/>
                </m:dPr>
                <m:e>
                  <m:rad>
                    <m:radPr>
                      <m:degHide m:val="on"/>
                      <m:ctrlPr/>
                    </m:radPr>
                    <m:deg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/>
                      </m:r>
                    </m:deg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e>
                  </m:rad>
                  <m:f>
                    <m:fPr>
                      <m:ctrlPr/>
                    </m:fPr>
                    <m:num>
                      <m:sSub>
                        <m:sSubPr>
                          <m:ctrlPr/>
                        </m:sSubPr>
                        <m:e>
                          <m:acc>
                            <m:accPr>
                              <m:chr m:val="̂"/>
                              <m:ctrlPr/>
                            </m:accPr>
                            <m:e>
                              <m:r>
                                <m:rPr/>
                                <m:t>m</m:t>
                              </m:r>
                            </m:e>
                          </m:acc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/>
                        </m:sSupPr>
                        <m:e>
                          <m:acc>
                            <m:accPr>
                              <m:chr m:val="̂"/>
                              <m:ctrlPr/>
                            </m:accPr>
                            <m:e>
                              <m:r>
                                <m:rPr/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/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ctrlPr/>
                    </m:fPr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rad>
                    <m:radPr>
                      <m:degHide m:val="on"/>
                      <m:ctrlPr/>
                    </m:radPr>
                    <m:deg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/>
                      </m:r>
                    </m:deg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e>
                  </m:rad>
                  <m:f>
                    <m:fPr>
                      <m:ctrlPr/>
                    </m:fPr>
                    <m:num>
                      <m:acc>
                        <m:accPr>
                          <m:chr m:val="̂"/>
                          <m:ctrlPr/>
                        </m:accPr>
                        <m:e>
                          <m:r>
                            <m:rPr/>
                            <m:t>μ</m:t>
                          </m:r>
                        </m:e>
                      </m:acc>
                    </m:num>
                    <m:den>
                      <m:sSup>
                        <m:sSupPr>
                          <m:ctrlPr/>
                        </m:sSupPr>
                        <m:e>
                          <m:acc>
                            <m:accPr>
                              <m:chr m:val="̂"/>
                              <m:ctrlPr/>
                            </m:accPr>
                            <m:e>
                              <m:r>
                                <m:rPr/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/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With</w:t>
      </w:r>
      <w:r>
        <w:t xml:space="preserve"> </w:t>
      </w:r>
      <m:oMath>
        <m:acc>
          <m:accPr>
            <m:chr m:val="̂"/>
            <m:ctrlPr/>
          </m:accPr>
          <m:e>
            <m:r>
              <m:rPr>
                <m:sty m:val="p"/>
              </m:rPr>
              <m:t>Ω</m:t>
            </m:r>
          </m:e>
        </m:acc>
      </m:oMath>
      <w:r>
        <w:t xml:space="preserve"> </w:t>
      </w:r>
      <w:r>
        <w:t xml:space="preserve">the Bartlett-kernel HAC estimate of the</w:t>
      </w:r>
      <w:r>
        <w:t xml:space="preserve"> </w:t>
      </w:r>
      <w:r>
        <w:t xml:space="preserve">long-run covariance of</w:t>
      </w:r>
      <w:r>
        <w:t xml:space="preserve"> </w:t>
      </w:r>
      <m:oMath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u</m:t>
            </m:r>
          </m:sub>
        </m:sSub>
      </m:oMath>
      <w:r>
        <w:t xml:space="preserve">, the HAC-delta variance is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acc>
            <m:accPr>
              <m:chr m:val="̂"/>
              <m:ctrlPr/>
            </m:accPr>
            <m:e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  <m:ctrlPr/>
            </m:acc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/>
            <m:t>f</m:t>
          </m:r>
          <m:r>
            <m:rPr>
              <m:sty m:val="p"/>
            </m:rPr>
            <m:t>(</m:t>
          </m:r>
          <m:acc>
            <m:accPr>
              <m:chr m:val="̂"/>
              <m:ctrlPr/>
            </m:accPr>
            <m:e>
              <m:r>
                <m:rPr/>
                <m:t>μ</m:t>
              </m:r>
            </m:e>
          </m:acc>
          <m:r>
            <m:rPr>
              <m:sty m:val="p"/>
            </m:rPr>
            <m:t>,</m:t>
          </m:r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m:rPr/>
                    <m:t>m</m:t>
                  </m:r>
                </m:e>
              </m:acc>
            </m:e>
            <m:sub>
              <m:r>
                <m:rPr/>
                <m:t>2</m:t>
              </m:r>
            </m:sub>
          </m:sSub>
          <m:sSup>
            <m:sSupPr>
              <m:ctrlPr/>
            </m:sSupPr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acc>
            <m:accPr>
              <m:chr m:val="̂"/>
              <m:ctrlPr/>
            </m:accPr>
            <m:e>
              <m:r>
                <m:rPr>
                  <m:sty m:val="p"/>
                </m:rPr>
                <m:t>Ω</m:t>
              </m:r>
            </m:e>
          </m:acc>
          <m:r>
            <m:rPr>
              <m:sty m:val="p"/>
            </m:rPr>
            <m:t>∇</m:t>
          </m:r>
          <m:r>
            <m:rPr/>
            <m:t>f</m:t>
          </m:r>
          <m:r>
            <m:rPr>
              <m:sty m:val="p"/>
            </m:rPr>
            <m:t>(</m:t>
          </m:r>
          <m:acc>
            <m:accPr>
              <m:chr m:val="̂"/>
              <m:ctrlPr/>
            </m:accPr>
            <m:e>
              <m:r>
                <m:rPr/>
                <m:t>μ</m:t>
              </m:r>
            </m:e>
          </m:acc>
          <m:r>
            <m:rPr>
              <m:sty m:val="p"/>
            </m:rPr>
            <m:t>,</m:t>
          </m:r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m:rPr/>
                    <m:t>m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b>
            <m:sSubPr>
              <m:ctrlPr/>
            </m:sSubPr>
            <m:e>
              <m:r>
                <m:rPr/>
                <m:t>T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Explicitly, for centered moments</w:t>
      </w:r>
      <w:r>
        <w:t xml:space="preserve"> </w:t>
      </w:r>
      <m:oMath>
        <m:sSub>
          <m:sSubPr>
            <m:ctrlPr/>
          </m:sSubPr>
          <m:e>
            <m:acc>
              <m:accPr>
                <m:chr m:val="̃"/>
                <m:ctrlPr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u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−</m:t>
        </m:r>
        <m:acc>
          <m:accPr>
            <m:chr m:val="‾"/>
            <m:ctrlPr/>
          </m:accPr>
          <m:e>
            <m:r>
              <m:rPr/>
              <m:t>g</m:t>
            </m:r>
          </m:e>
        </m:acc>
      </m:oMath>
      <w:r>
        <w:t xml:space="preserve">,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m:rPr>
                      <m:sty m:val="p"/>
                    </m:rPr>
                    <m:t>Γ</m:t>
                  </m:r>
                </m:e>
              </m:acc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sSubSup>
            <m:sSubSupPr>
              <m:alnScr m:val="off"/>
              <m:ctrlPr/>
            </m:sSubSupPr>
            <m:e>
              <m:r>
                <m:rPr/>
                <m:t>T</m:t>
              </m:r>
            </m:e>
            <m:sub>
              <m:r>
                <m:rPr/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nary>
            <m:naryPr>
              <m:chr m:val="∑"/>
              <m:grow m:val="off"/>
              <m:limLoc m:val="undOvr"/>
              <m:ctrlPr/>
            </m:naryPr>
            <m:sub>
              <m:r>
                <m:rPr/>
                <m:t>u</m:t>
              </m:r>
              <m:r>
                <m:rPr>
                  <m:sty m:val="p"/>
                </m:rPr>
                <m:t>=</m:t>
              </m:r>
              <m:r>
                <m:rPr/>
                <m:t>k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  <m:sup>
              <m:sSub>
                <m:sSubPr>
                  <m:ctrlPr/>
                </m:sSubPr>
                <m:e>
                  <m:r>
                    <m:rPr/>
                    <m:t>T</m:t>
                  </m:r>
                </m:e>
                <m:sub>
                  <m:r>
                    <m:rPr/>
                    <m:t>R</m:t>
                  </m:r>
                </m:sub>
              </m:sSub>
            </m:sup>
            <m:e>
              <m:sSub>
                <m:sSubPr>
                  <m:ctrlPr/>
                </m:sSubPr>
                <m:e>
                  <m:acc>
                    <m:accPr>
                      <m:chr m:val="̃"/>
                      <m:ctrlPr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u</m:t>
                  </m:r>
                </m:sub>
              </m:sSub>
            </m:e>
          </m:nary>
          <m:sSub>
            <m:sSubPr>
              <m:ctrlPr/>
            </m:sSubPr>
            <m:e>
              <m:acc>
                <m:accPr>
                  <m:chr m:val="̃"/>
                  <m:ctrlPr/>
                </m:accPr>
                <m:e>
                  <m:r>
                    <m:rPr/>
                    <m:t>g</m:t>
                  </m:r>
                </m:e>
              </m:acc>
            </m:e>
            <m:sub>
              <m:sSup>
                <m:sSupPr>
                  <m:ctrlPr/>
                </m:sSupPr>
                <m:e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,</m:t>
          </m:r>
          <m:r>
            <m:rPr/>
            <m:t>  </m:t>
          </m:r>
          <m:acc>
            <m:accPr>
              <m:chr m:val="̂"/>
              <m:ctrlPr/>
            </m:accPr>
            <m:e>
              <m:r>
                <m:rPr>
                  <m:sty m:val="p"/>
                </m:rPr>
                <m:t>Ω</m:t>
              </m:r>
            </m:e>
          </m:acc>
          <m:r>
            <m:rPr>
              <m:sty m:val="p"/>
            </m:rPr>
            <m:t>=</m:t>
          </m:r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m:rPr>
                      <m:sty m:val="p"/>
                    </m:rPr>
                    <m:t>Γ</m:t>
                  </m:r>
                </m:e>
              </m:acc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grow m:val="off"/>
              <m:limLoc m:val="undOvr"/>
              <m:ctrlPr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>
                  <m:ctrlPr/>
                </m:sSubPr>
                <m:e>
                  <m:r>
                    <m:rPr/>
                    <m:t>K</m:t>
                  </m:r>
                </m:e>
                <m:sub>
                  <m:r>
                    <m:rPr/>
                    <m:t>T</m:t>
                  </m:r>
                </m:sub>
              </m:sSub>
            </m:sup>
            <m:e>
              <m:d>
                <m:dPr>
                  <m:begChr m:val="("/>
                  <m:endChr m:val=")"/>
                  <m:sepChr m:val=""/>
                  <m:ctrlPr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ctrlPr/>
                    </m:fPr>
                    <m:num>
                      <m:r>
                        <m:rPr/>
                        <m:t>k</m:t>
                      </m:r>
                    </m:num>
                    <m:den>
                      <m:sSub>
                        <m:sSubPr>
                          <m:ctrlPr/>
                        </m:sSubPr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den>
                  </m:f>
                </m:e>
              </m:d>
            </m:e>
          </m:nary>
          <m:d>
            <m:dPr>
              <m:begChr m:val="("/>
              <m:endChr m:val=")"/>
              <m:sepChr m:val=""/>
              <m:ctrlPr/>
            </m:dPr>
            <m:e>
              <m:sSub>
                <m:sSubPr>
                  <m:ctrlPr/>
                </m:sSubPr>
                <m:e>
                  <m:acc>
                    <m:accPr>
                      <m:chr m:val="̂"/>
                      <m:ctrlPr/>
                    </m:accPr>
                    <m:e>
                      <m:r>
                        <m:rPr>
                          <m:sty m:val="p"/>
                        </m:rPr>
                        <m:t>Γ</m:t>
                      </m:r>
                    </m:e>
                  </m:acc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>
                  <m:ctrlPr/>
                </m:sSubPr>
                <m:e>
                  <m:acc>
                    <m:accPr>
                      <m:chr m:val="̂"/>
                      <m:ctrlPr/>
                    </m:accPr>
                    <m:e>
                      <m:r>
                        <m:rPr>
                          <m:sty m:val="p"/>
                        </m:rPr>
                        <m:t>Γ</m:t>
                      </m:r>
                    </m:e>
                  </m:acc>
                </m:e>
                <m:sub>
                  <m:sSup>
                    <m:sSupPr>
                      <m:ctrlPr/>
                    </m:sSupPr>
                    <m:e>
                      <m:r>
                        <m:rPr/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e>
          </m:d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This is the standard Newey-West/Andrews Bartlett-kernel construction</w:t>
      </w:r>
      <w:r>
        <w:t xml:space="preserve"> </w:t>
      </w:r>
      <w:r>
        <w:t xml:space="preserve">(Newey and West, 1987; Andrews, 1991) applied to the</w:t>
      </w:r>
      <w:r>
        <w:t xml:space="preserve"> </w:t>
      </w:r>
      <w:r>
        <w:t xml:space="preserve">joint process</w:t>
      </w:r>
      <w:r>
        <w:t xml:space="preserve"> </w:t>
      </w:r>
      <m:oMath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,</m:t>
        </m:r>
        <m:sSubSup>
          <m:sSubSupPr>
            <m:alnScr m:val="off"/>
            <m:ctrlPr/>
          </m:sSubSupPr>
          <m:e>
            <m:r>
              <m:rPr/>
              <m:t>R</m:t>
            </m:r>
          </m:e>
          <m:sub>
            <m:r>
              <m:rPr/>
              <m:t>u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</m:oMath>
      <w:r>
        <w:t xml:space="preserve">, so the off-diagonal terms carry the</w:t>
      </w:r>
      <w:r>
        <w:t xml:space="preserve"> </w:t>
      </w:r>
      <w:r>
        <w:t xml:space="preserve">long-run covariance between the sample mean and second moment into the</w:t>
      </w:r>
      <w:r>
        <w:t xml:space="preserve"> </w:t>
      </w:r>
      <w:r>
        <w:t xml:space="preserve">Sharpe-ratio delta method.</w:t>
      </w:r>
      <w:r>
        <w:t xml:space="preserve"> </w:t>
      </w:r>
      <w:r>
        <w:t xml:space="preserve">The bandwidth</w:t>
      </w:r>
      <w:r>
        <w:t xml:space="preserve"> </w:t>
      </w:r>
      <m:oMath>
        <m:sSub>
          <m:sSubPr>
            <m:ctrlPr/>
          </m:sSubPr>
          <m:e>
            <m:r>
              <m:rPr/>
              <m:t>K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t xml:space="preserve">is a tuning choice and may depend on</w:t>
      </w:r>
      <w:r>
        <w:t xml:space="preserve"> </w:t>
      </w:r>
      <m:oMath>
        <m:r>
          <m:rPr/>
          <m:t>T</m:t>
        </m:r>
      </m:oMath>
      <w:r>
        <w:t xml:space="preserve">. The</w:t>
      </w:r>
      <w:r>
        <w:t xml:space="preserve"> </w:t>
      </w:r>
      <w:r>
        <w:t xml:space="preserve">default HAC bandwidth uses the Andrews automatic Bartlett rule, with</w:t>
      </w:r>
      <w:r>
        <w:t xml:space="preserve"> </w:t>
      </w:r>
      <w:r>
        <w:t xml:space="preserve">fixed-lag and prewhitened sensitivities reported in the appendix.</w:t>
      </w:r>
      <w:r>
        <w:t xml:space="preserve"> </w:t>
      </w:r>
      <w:r>
        <w:t xml:space="preserve">Important empirical claims should be checked against reported nearby</w:t>
      </w:r>
      <w:r>
        <w:t xml:space="preserve"> </w:t>
      </w:r>
      <w:r>
        <w:t xml:space="preserve">bandwidths and against the block-bootstrap intervals rather than relying</w:t>
      </w:r>
      <w:r>
        <w:t xml:space="preserve"> </w:t>
      </w:r>
      <w:r>
        <w:t xml:space="preserve">on a single HAC lag choice.</w:t>
      </w:r>
      <w:r>
        <w:t xml:space="preserve"> </w:t>
      </w:r>
      <w:r>
        <w:t xml:space="preserve">The technical appendix reports prewhitened HAC and fixed-fraction HAC</w:t>
      </w:r>
      <w:r>
        <w:t xml:space="preserve"> </w:t>
      </w:r>
      <w:r>
        <w:t xml:space="preserve">sensitivity checks.</w:t>
      </w:r>
      <w:r/>
    </w:p>
    <w:p>
      <w:pPr>
        <w:pStyle w:val="685"/>
        <w:pBdr/>
        <w:spacing/>
        <w:ind/>
        <w:rPr/>
      </w:pPr>
      <w:r>
        <w:t xml:space="preserve">Because financial date returns can be heavy-tailed, HAC-delta evidence</w:t>
      </w:r>
      <w:r>
        <w:t xml:space="preserve"> </w:t>
      </w:r>
      <w:r>
        <w:t xml:space="preserve">is reported alongside bootstrap</w:t>
      </w:r>
      <w:r>
        <w:t xml:space="preserve"> </w:t>
      </w:r>
      <m:oMath>
        <m:r>
          <m:rPr/>
          <m:t>p</m:t>
        </m:r>
      </m:oMath>
      <w:r>
        <w:t xml:space="preserve">-values and intervals. When HAC</w:t>
      </w:r>
      <w:r>
        <w:t xml:space="preserve"> </w:t>
      </w:r>
      <w:r>
        <w:t xml:space="preserve">and dependent-bootstrap conclusions disagree, the result is reported as</w:t>
      </w:r>
      <w:r>
        <w:t xml:space="preserve"> </w:t>
      </w:r>
      <w:r>
        <w:t xml:space="preserve">robustness-fragile rather than summarized as a positive-edge finding.</w:t>
      </w:r>
      <w:bookmarkEnd w:id="28"/>
      <w:bookmarkEnd w:id="29"/>
      <w:r/>
    </w:p>
    <w:p>
      <w:pPr>
        <w:pStyle w:val="697"/>
        <w:pBdr/>
        <w:spacing/>
        <w:ind/>
        <w:rPr/>
      </w:pPr>
      <w:r/>
      <w:bookmarkStart w:id="34" w:name="implementation-and-decision-rules"/>
      <w:r>
        <w:rPr>
          <w:rStyle w:val="729"/>
        </w:rPr>
        <w:t xml:space="preserve">4</w:t>
      </w:r>
      <w:r>
        <w:tab/>
      </w:r>
      <w:r>
        <w:t xml:space="preserve">Implementation and decision rules</w:t>
      </w:r>
      <w:r/>
    </w:p>
    <w:p>
      <w:pPr>
        <w:pStyle w:val="698"/>
        <w:pBdr/>
        <w:spacing/>
        <w:ind/>
        <w:rPr/>
      </w:pPr>
      <w:r/>
      <w:bookmarkStart w:id="30" w:name="public-panel-momentum-implementation"/>
      <w:r>
        <w:rPr>
          <w:rStyle w:val="729"/>
        </w:rPr>
        <w:t xml:space="preserve">4.1</w:t>
      </w:r>
      <w:r>
        <w:tab/>
      </w:r>
      <w:r>
        <w:t xml:space="preserve">Public-panel momentum implementation</w:t>
      </w:r>
      <w:r/>
    </w:p>
    <w:p>
      <w:pPr>
        <w:pStyle w:val="686"/>
        <w:pBdr/>
        <w:spacing/>
        <w:ind/>
        <w:rPr/>
      </w:pPr>
      <w:r>
        <w:t xml:space="preserve">For the public French panel illustrations, the empirical implementation</w:t>
      </w:r>
      <w:r>
        <w:t xml:space="preserve"> </w:t>
      </w:r>
      <w:r>
        <w:t xml:space="preserve">uses a skipped-momentum signal, within-date percentile thresholds, and</w:t>
      </w:r>
      <w:r>
        <w:t xml:space="preserve"> </w:t>
      </w:r>
      <w:r>
        <w:t xml:space="preserve">equal-weighted signed returns. The construction is intentionally simple:</w:t>
      </w:r>
      <w:r>
        <w:t xml:space="preserve"> </w:t>
      </w:r>
      <w:r>
        <w:t xml:space="preserve">it supplies a transparent panel example for the sampling-boundary</w:t>
      </w:r>
      <w:r>
        <w:t xml:space="preserve"> </w:t>
      </w:r>
      <w:r>
        <w:t xml:space="preserve">diagnostic rather than an optimized trading rule. Detailed formulas for</w:t>
      </w:r>
      <w:r>
        <w:t xml:space="preserve"> </w:t>
      </w:r>
      <w:r>
        <w:t xml:space="preserve">the skipped signal, selected set, tie handling, and selected-count</w:t>
      </w:r>
      <w:r>
        <w:t xml:space="preserve"> </w:t>
      </w:r>
      <w:r>
        <w:t xml:space="preserve">granularity are reported in the technical appendix and replication files.</w:t>
      </w:r>
      <w:r>
        <w:t xml:space="preserve"> </w:t>
      </w:r>
      <w:r>
        <w:t xml:space="preserve">In brief, for lookback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t xml:space="preserve">and skip</w:t>
      </w:r>
      <w:r>
        <w:t xml:space="preserve"> </w:t>
      </w:r>
      <m:oMath>
        <m:r>
          <m:rPr/>
          <m:t>q</m:t>
        </m:r>
      </m:oMath>
      <w:r>
        <w:t xml:space="preserve">, the signal compounds prior</w:t>
      </w:r>
      <w:r>
        <w:t xml:space="preserve"> </w:t>
      </w:r>
      <w:r>
        <w:t xml:space="preserve">returns through date</w:t>
      </w:r>
      <w:r>
        <w:t xml:space="preserve"> </w:t>
      </w:r>
      <m:oMath>
        <m:r>
          <m:rPr/>
          <m:t>t</m:t>
        </m:r>
        <m:r>
          <m:rPr>
            <m:sty m:val="p"/>
          </m:rPr>
          <m:t>−</m:t>
        </m:r>
        <m:r>
          <m:rPr/>
          <m:t>q</m:t>
        </m:r>
      </m:oMath>
      <w:r>
        <w:t xml:space="preserve">, excluding the outcome return; selected</w:t>
      </w:r>
      <w:r>
        <w:t xml:space="preserve"> </w:t>
      </w:r>
      <w:r>
        <w:t xml:space="preserve">rows then receive signed one-period returns according to the signal</w:t>
      </w:r>
      <w:r>
        <w:t xml:space="preserve"> </w:t>
      </w:r>
      <w:r>
        <w:t xml:space="preserve">sign.</w:t>
      </w:r>
      <w:bookmarkEnd w:id="30"/>
      <w:r/>
    </w:p>
    <w:p>
      <w:pPr>
        <w:pStyle w:val="698"/>
        <w:pBdr/>
        <w:spacing/>
        <w:ind/>
        <w:rPr/>
      </w:pPr>
      <w:r/>
      <w:bookmarkStart w:id="31" w:name="Xe0983221eea031d4e3f3d49f3c16eff5afc81a8"/>
      <w:r>
        <w:rPr>
          <w:rStyle w:val="729"/>
        </w:rPr>
        <w:t xml:space="preserve">4.2</w:t>
      </w:r>
      <w:r>
        <w:tab/>
      </w:r>
      <w:r>
        <w:t xml:space="preserve">Researcher menus, placebos, and factor alpha</w:t>
      </w:r>
      <w:r/>
    </w:p>
    <w:p>
      <w:pPr>
        <w:pStyle w:val="686"/>
        <w:pBdr/>
        <w:spacing/>
        <w:ind/>
        <w:rPr/>
      </w:pPr>
      <w:r>
        <w:t xml:space="preserve">For a fixed menu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of lookbacks and thresholds, the primary</w:t>
      </w:r>
      <w:r>
        <w:t xml:space="preserve"> </w:t>
      </w:r>
      <w:r>
        <w:t xml:space="preserve">joint adjustment is Romano-Wolf stepdown max-</w:t>
      </w:r>
      <m:oMath>
        <m:r>
          <m:rPr/>
          <m:t>t</m:t>
        </m:r>
      </m:oMath>
      <w:r>
        <w:t xml:space="preserve"> </w:t>
      </w:r>
      <w:r>
        <w:t xml:space="preserve">resampling over</w:t>
      </w:r>
      <w:r>
        <w:t xml:space="preserve"> </w:t>
      </w:r>
      <m:oMath>
        <m:r>
          <m:rPr>
            <m:sty m:val="p"/>
          </m:rPr>
          <m:t>{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/>
          <m:t>m</m:t>
        </m:r>
        <m:r>
          <m:rPr>
            <m:sty m:val="p"/>
          </m:rPr>
          <m:t>∈</m:t>
        </m:r>
        <m:r>
          <m:rPr>
            <m:scr m:val="script"/>
            <m:sty m:val="p"/>
          </m:rPr>
          <m:t>M</m:t>
        </m:r>
        <m:r>
          <m:rPr>
            <m:sty m:val="p"/>
          </m:rPr>
          <m:t>}</m:t>
        </m:r>
      </m:oMath>
      <w:r>
        <w:t xml:space="preserve">. Holm-adjusted marginal bootstrap</w:t>
      </w:r>
      <w:r>
        <w:t xml:space="preserve"> </w:t>
      </w:r>
      <m:oMath>
        <m:r>
          <m:rPr/>
          <m:t>p</m:t>
        </m:r>
      </m:oMath>
      <w:r>
        <w:t xml:space="preserve">-values, White’s Reality Check, and the Deflated Sharpe Ratio</w:t>
      </w:r>
      <w:r>
        <w:t xml:space="preserve"> </w:t>
      </w:r>
      <w:r>
        <w:t xml:space="preserve">diagnostic of Bailey et al. (2014) are implemented in the</w:t>
      </w:r>
      <w:r>
        <w:t xml:space="preserve"> </w:t>
      </w:r>
      <w:r>
        <w:t xml:space="preserve">replication package as secondary checks. The manuscript reports</w:t>
      </w:r>
      <w:r>
        <w:t xml:space="preserve"> </w:t>
      </w:r>
      <w:r>
        <w:t xml:space="preserve">Romano-Wolf stepdown as the primary fixed-menu adjustment.</w:t>
      </w:r>
      <w:r>
        <w:t xml:space="preserve"> </w:t>
      </w:r>
      <w:r>
        <w:t xml:space="preserve">In the public implementation, the menu is the finite pre-specified set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,</m:t>
          </m:r>
          <m:sSub>
            <m:sSubPr>
              <m:ctrlPr/>
            </m:sSubPr>
            <m:e>
              <m:r>
                <m:rPr/>
                <m:t>θ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rPr/>
            <m:t>c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,</m:t>
          </m:r>
          <m:r>
            <m:rPr/>
            <m:t> </m:t>
          </m:r>
          <m:r>
            <m:rPr/>
            <m:t>τ</m:t>
          </m:r>
          <m:r>
            <m:rPr>
              <m:sty m:val="p"/>
            </m:rPr>
            <m:t>∈</m:t>
          </m:r>
          <m:sSub>
            <m:sSubPr>
              <m:ctrlPr/>
            </m:sSubPr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where</w:t>
      </w:r>
      <w:r>
        <w:t xml:space="preserve"> </w:t>
      </w:r>
      <m:oMath>
        <m:sSub>
          <m:sSubPr>
            <m:ctrlPr/>
          </m:sSubPr>
          <m:e>
            <m:r>
              <m:rPr/>
              <m:t>θ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t xml:space="preserve">denotes the candidate’s fixed signal definition.</w:t>
      </w:r>
      <w:r>
        <w:t xml:space="preserve"> </w:t>
      </w:r>
      <w:r>
        <w:t xml:space="preserve">For panel candidates,</w:t>
      </w:r>
      <w:r>
        <w:t xml:space="preserve"> </w:t>
      </w:r>
      <m:oMath>
        <m:sSub>
          <m:sSubPr>
            <m:ctrlPr/>
          </m:sSubPr>
          <m:e>
            <m:r>
              <m:rPr>
                <m:scr m:val="script"/>
                <m:sty m:val="p"/>
              </m:rPr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/>
          <m:t>0.0</m:t>
        </m:r>
        <m:r>
          <m:rPr>
            <m:sty m:val="p"/>
          </m:rPr>
          <m:t>,</m:t>
        </m:r>
        <m:r>
          <m:rPr/>
          <m:t>0.3</m:t>
        </m:r>
        <m:r>
          <m:rPr>
            <m:sty m:val="p"/>
          </m:rPr>
          <m:t>,</m:t>
        </m:r>
        <m:r>
          <m:rPr/>
          <m:t>0.5</m:t>
        </m:r>
        <m:r>
          <m:rPr>
            <m:sty m:val="p"/>
          </m:rPr>
          <m:t>,</m:t>
        </m:r>
        <m:r>
          <m:rPr/>
          <m:t>0.7</m:t>
        </m:r>
        <m:r>
          <m:rPr>
            <m:sty m:val="p"/>
          </m:rPr>
          <m:t>,</m:t>
        </m:r>
        <m:r>
          <m:rPr/>
          <m:t>0.9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any lookback and skip values are fixed before the confirmatory run</w:t>
      </w:r>
      <w:r>
        <w:t xml:space="preserve"> </w:t>
      </w:r>
      <w:r>
        <w:t xml:space="preserve">rather than selected after seeing results. Pre-aggregated AQR factor-series</w:t>
      </w:r>
      <w:r>
        <w:t xml:space="preserve"> </w:t>
      </w:r>
      <w:r>
        <w:t xml:space="preserve">candidates use the singleton threshold menu</w:t>
      </w:r>
      <w:r>
        <w:t xml:space="preserve"> </w:t>
      </w:r>
      <m:oMath>
        <m:sSub>
          <m:sSubPr>
            <m:ctrlPr/>
          </m:sSubPr>
          <m:e>
            <m:r>
              <m:rPr>
                <m:scr m:val="script"/>
                <m:sty m:val="p"/>
              </m:rPr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/>
          <m:t>0.0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because they do not contain row-level constituent signals, same-date</w:t>
      </w:r>
      <w:r>
        <w:t xml:space="preserve"> </w:t>
      </w:r>
      <w:r>
        <w:t xml:space="preserve">panel permutation is not applicable to them.</w:t>
      </w:r>
      <w:r>
        <w:t xml:space="preserve"> </w:t>
      </w:r>
      <w:r>
        <w:t xml:space="preserve">Real researcher menus are usually correlated rather than independent, so</w:t>
      </w:r>
      <w:r>
        <w:t xml:space="preserve"> </w:t>
      </w:r>
      <w:r>
        <w:t xml:space="preserve">the procedure uses Romano-Wolf stepdown to control familywise error while</w:t>
      </w:r>
      <w:r>
        <w:t xml:space="preserve"> </w:t>
      </w:r>
      <w:r>
        <w:t xml:space="preserve">preserving the joint dependence among menu elements.</w:t>
      </w:r>
      <w:r/>
    </w:p>
    <w:p>
      <w:pPr>
        <w:pStyle w:val="685"/>
        <w:pBdr/>
        <w:spacing/>
        <w:ind/>
        <w:rPr/>
      </w:pPr>
      <w:r>
        <w:t xml:space="preserve">The fixed-menu condition is a confirmatory convention, not a claim that</w:t>
      </w:r>
      <w:r>
        <w:t xml:space="preserve"> </w:t>
      </w:r>
      <w:r>
        <w:t xml:space="preserve">research is never iterative. In practice, exploratory work should be</w:t>
      </w:r>
      <w:r>
        <w:t xml:space="preserve"> </w:t>
      </w:r>
      <w:r>
        <w:t xml:space="preserve">separated from the final evaluation by freezing the signal definitions,</w:t>
      </w:r>
      <w:r>
        <w:t xml:space="preserve"> </w:t>
      </w:r>
      <w:r>
        <w:t xml:space="preserve">lookbacks, thresholds, filters, cost assumptions, and benchmark model</w:t>
      </w:r>
      <w:r>
        <w:t xml:space="preserve"> </w:t>
      </w:r>
      <w:r>
        <w:t xml:space="preserve">before the confirmatory run. If discarded variants influenced the final</w:t>
      </w:r>
      <w:r>
        <w:t xml:space="preserve"> </w:t>
      </w:r>
      <w:r>
        <w:t xml:space="preserve">choice, they belong in the researcher menu or the exercise should be</w:t>
      </w:r>
      <w:r>
        <w:t xml:space="preserve"> </w:t>
      </w:r>
      <w:r>
        <w:t xml:space="preserve">reported as exploratory. A stronger design uses a locked holdout period</w:t>
      </w:r>
      <w:r>
        <w:t xml:space="preserve"> </w:t>
      </w:r>
      <w:r>
        <w:t xml:space="preserve">or an independently refreshed sample after the menu is frozen.</w:t>
      </w:r>
      <w:r/>
    </w:p>
    <w:p>
      <w:pPr>
        <w:pStyle w:val="685"/>
        <w:pBdr/>
        <w:spacing/>
        <w:ind/>
        <w:rPr/>
      </w:pPr>
      <w:r>
        <w:t xml:space="preserve">The public placebo is a same-date permutation design. For each date,</w:t>
      </w:r>
      <w:r>
        <w:t xml:space="preserve"> </w:t>
      </w:r>
      <w:r>
        <w:t xml:space="preserve">the vector of signals is randomly permuted across portfolios, preserving</w:t>
      </w:r>
      <w:r>
        <w:t xml:space="preserve"> </w:t>
      </w:r>
      <w:r>
        <w:t xml:space="preserve">the date’s cross-sectional signal distribution and missingness while</w:t>
      </w:r>
      <w:r>
        <w:t xml:space="preserve"> </w:t>
      </w:r>
      <w:r>
        <w:t xml:space="preserve">breaking the signal-return pairing. The signed next-day returns,</w:t>
      </w:r>
      <w:r>
        <w:t xml:space="preserve"> </w:t>
      </w:r>
      <w:r>
        <w:t xml:space="preserve">confidence ranks, selected counts, turnover, and date aggregation are</w:t>
      </w:r>
      <w:r>
        <w:t xml:space="preserve"> </w:t>
      </w:r>
      <w:r>
        <w:t xml:space="preserve">then recomputed. Repeating this procedure gives a permutation null for</w:t>
      </w:r>
      <w:r>
        <w:t xml:space="preserve"> </w:t>
      </w:r>
      <w:r>
        <w:t xml:space="preserve">the observed public momentum panel.</w:t>
      </w:r>
      <w:r/>
    </w:p>
    <w:p>
      <w:pPr>
        <w:pStyle w:val="685"/>
        <w:pBdr/>
        <w:spacing/>
        <w:ind/>
        <w:rPr/>
      </w:pPr>
      <w:r>
        <w:t xml:space="preserve">This placebo is a test under a within-date exchangeability hypothesis:</w:t>
      </w:r>
      <w:r>
        <w:t xml:space="preserve"> </w:t>
      </w:r>
      <w:r>
        <w:t xml:space="preserve">under the null, the assignment of signals</w:t>
      </w:r>
      <w:r>
        <w:t xml:space="preserve"> </w:t>
      </w:r>
      <m:oMath>
        <m:sSub>
          <m:sSubPr>
            <m:ctrlPr/>
          </m:sSubPr>
          <m:e>
            <m:r>
              <m:rPr/>
              <m:t>s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to next-period</w:t>
      </w:r>
      <w:r>
        <w:t xml:space="preserve"> </w:t>
      </w:r>
      <w:r>
        <w:t xml:space="preserve">returns</w:t>
      </w:r>
      <w:r>
        <w:t xml:space="preserve"> </w:t>
      </w:r>
      <m:oMath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t xml:space="preserve"> </w:t>
      </w:r>
      <w:r>
        <w:t xml:space="preserve">is exchangeable within each date</w:t>
      </w:r>
      <w:r>
        <w:t xml:space="preserve"> </w:t>
      </w:r>
      <m:oMath>
        <m:r>
          <m:rPr/>
          <m:t>t</m:t>
        </m:r>
      </m:oMath>
      <w:r>
        <w:t xml:space="preserve">. If signals</w:t>
      </w:r>
      <w:r>
        <w:t xml:space="preserve"> </w:t>
      </w:r>
      <w:r>
        <w:t xml:space="preserve">are structurally tied to size, sector, liquidity, country, exchange,</w:t>
      </w:r>
      <w:r>
        <w:t xml:space="preserve"> </w:t>
      </w:r>
      <w:r>
        <w:t xml:space="preserve">beta, or other common-factor state variables, an unrestricted same-date</w:t>
      </w:r>
      <w:r>
        <w:t xml:space="preserve"> </w:t>
      </w:r>
      <w:r>
        <w:t xml:space="preserve">permutation can break the wrong null. In those cases the analysis should</w:t>
      </w:r>
      <w:r>
        <w:t xml:space="preserve"> </w:t>
      </w:r>
      <w:r>
        <w:t xml:space="preserve">permute within pre-specified blocks, residualize returns against the</w:t>
      </w:r>
      <w:r>
        <w:t xml:space="preserve"> </w:t>
      </w:r>
      <w:r>
        <w:t xml:space="preserve">structural variables before permutation, or mark the placebo as not</w:t>
      </w:r>
      <w:r>
        <w:t xml:space="preserve"> </w:t>
      </w:r>
      <w:r>
        <w:t xml:space="preserve">applicable. The permutation check is therefore a design-specific</w:t>
      </w:r>
      <w:r>
        <w:t xml:space="preserve"> </w:t>
      </w:r>
      <w:r>
        <w:t xml:space="preserve">diagnostic rather than a universal validity guarantee.</w:t>
      </w:r>
      <w:r>
        <w:t xml:space="preserve"> </w:t>
      </w:r>
      <w:r>
        <w:t xml:space="preserve">If the permutation null has near-zero dispersion, the placebo is treated</w:t>
      </w:r>
      <w:r>
        <w:t xml:space="preserve"> </w:t>
      </w:r>
      <w:r>
        <w:t xml:space="preserve">as uninformative for that threshold rather than as calibrated evidence</w:t>
      </w:r>
      <w:r>
        <w:t xml:space="preserve"> </w:t>
      </w:r>
      <w:r>
        <w:t xml:space="preserve">for or against predictability. Such a diagnostic is reported as N/A: it</w:t>
      </w:r>
      <w:r>
        <w:t xml:space="preserve"> </w:t>
      </w:r>
      <w:r>
        <w:t xml:space="preserve">is not counted as a permutation failure, and it is not sufficient for a</w:t>
      </w:r>
      <w:r>
        <w:t xml:space="preserve"> </w:t>
      </w:r>
      <w:r>
        <w:t xml:space="preserve">full panel-rule pass.</w:t>
      </w:r>
      <w:r/>
    </w:p>
    <w:p>
      <w:pPr>
        <w:pStyle w:val="685"/>
        <w:pBdr/>
        <w:spacing/>
        <w:ind/>
        <w:rPr/>
      </w:pPr>
      <w:r>
        <w:t xml:space="preserve">The factor-alpha test estimates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α</m:t>
          </m:r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β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/>
            <m:t>K</m:t>
          </m:r>
          <m:sSub>
            <m:sSubPr>
              <m:ctrlPr/>
            </m:sSubPr>
            <m:e>
              <m:r>
                <m:rPr/>
                <m:t>T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−</m:t>
          </m:r>
          <m:r>
            <m:rPr/>
            <m:t>R</m:t>
          </m:r>
          <m:sSub>
            <m:sSubPr>
              <m:ctrlPr/>
            </m:sSubPr>
            <m:e>
              <m:r>
                <m:rPr/>
                <m:t>F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β</m:t>
              </m:r>
            </m:e>
            <m:sub>
              <m:r>
                <m:rPr/>
                <m:t>S</m:t>
              </m:r>
            </m:sub>
          </m:sSub>
          <m:r>
            <m:rPr/>
            <m:t>S</m:t>
          </m:r>
          <m:r>
            <m:rPr/>
            <m:t>M</m:t>
          </m:r>
          <m:sSub>
            <m:sSubPr>
              <m:ctrlPr/>
            </m:sSubPr>
            <m:e>
              <m:r>
                <m:rPr/>
                <m:t>B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β</m:t>
              </m:r>
            </m:e>
            <m:sub>
              <m:r>
                <m:rPr/>
                <m:t>H</m:t>
              </m:r>
            </m:sub>
          </m:sSub>
          <m:r>
            <m:rPr/>
            <m:t>H</m:t>
          </m:r>
          <m:r>
            <m:rPr/>
            <m:t>M</m:t>
          </m:r>
          <m:sSub>
            <m:sSubPr>
              <m:ctrlPr/>
            </m:sSubPr>
            <m:e>
              <m:r>
                <m:rPr/>
                <m:t>L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β</m:t>
              </m:r>
            </m:e>
            <m:sub>
              <m:r>
                <m:rPr/>
                <m:t>U</m:t>
              </m:r>
            </m:sub>
          </m:sSub>
          <m:r>
            <m:rPr/>
            <m:t>M</m:t>
          </m:r>
          <m:r>
            <m:rPr/>
            <m:t>O</m:t>
          </m:r>
          <m:sSub>
            <m:sSubPr>
              <m:ctrlPr/>
            </m:sSubPr>
            <m:e>
              <m:r>
                <m:rPr/>
                <m:t>M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ε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,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using HAC standard errors. The null is</w:t>
      </w:r>
      <w:r>
        <w:t xml:space="preserve"> </w:t>
      </w:r>
      <m:oMath>
        <m:sSub>
          <m:sSubPr>
            <m:ctrlPr/>
          </m:sSubPr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:</m:t>
        </m:r>
        <m:r>
          <m:rPr/>
          <m:t>α</m:t>
        </m:r>
        <m:r>
          <m:rPr>
            <m:sty m:val="p"/>
          </m:rPr>
          <m:t>≤</m:t>
        </m:r>
        <m:r>
          <m:rPr/>
          <m:t>0</m:t>
        </m:r>
      </m:oMath>
      <w:r>
        <w:t xml:space="preserve">. Including</w:t>
      </w:r>
      <w:r>
        <w:t xml:space="preserve"> </w:t>
      </w:r>
      <w:r>
        <w:t xml:space="preserve">momentum is essential because the public signal is itself momentum-like.</w:t>
      </w:r>
      <w:r>
        <w:t xml:space="preserve"> </w:t>
      </w:r>
      <w:r>
        <w:t xml:space="preserve">The factor-alpha regression uses frequency-matched public factor returns</w:t>
      </w:r>
      <w:r>
        <w:t xml:space="preserve"> </w:t>
      </w:r>
      <w:r>
        <w:t xml:space="preserve">and the same HAC lag rule as the main Sharpe analysis. The alpha table</w:t>
      </w:r>
      <w:r>
        <w:t xml:space="preserve"> </w:t>
      </w:r>
      <w:r>
        <w:t xml:space="preserve">is a diagnostic rather than the main test for canonical benchmark</w:t>
      </w:r>
      <w:r>
        <w:t xml:space="preserve"> </w:t>
      </w:r>
      <w:r>
        <w:t xml:space="preserve">validation.</w:t>
      </w:r>
      <w:bookmarkEnd w:id="31"/>
      <w:r/>
    </w:p>
    <w:p>
      <w:pPr>
        <w:pStyle w:val="698"/>
        <w:pBdr/>
        <w:spacing/>
        <w:ind/>
        <w:rPr/>
      </w:pPr>
      <w:r/>
      <w:bookmarkStart w:id="32" w:name="turnover-scaled-costs"/>
      <w:r>
        <w:rPr>
          <w:rStyle w:val="729"/>
        </w:rPr>
        <w:t xml:space="preserve">4.3</w:t>
      </w:r>
      <w:r>
        <w:tab/>
      </w:r>
      <w:r>
        <w:t xml:space="preserve">Turnover-scaled costs</w:t>
      </w:r>
      <w:r/>
    </w:p>
    <w:p>
      <w:pPr>
        <w:pStyle w:val="686"/>
        <w:pBdr/>
        <w:spacing/>
        <w:ind/>
        <w:rPr/>
      </w:pPr>
      <w:r>
        <w:t xml:space="preserve">For the equal-weighted threshold portfolio, define target weights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/>
                <m:t>w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rPr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r>
                    <m:rPr/>
                    <m:t>s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{</m:t>
              </m:r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>
                  <m:ctrlPr/>
                </m:sSubPr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|</m:t>
              </m:r>
              <m:sSub>
                <m:sSubPr>
                  <m:ctrlPr/>
                </m:sSubPr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>
              <m:ctrlPr/>
            </m:sSubPr>
            <m:e>
              <m:r>
                <m:rPr/>
                <m:t>w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nor m:val="on"/>
              <m:sty m:val="p"/>
            </m:rPr>
            <m:t> if </m:t>
          </m:r>
          <m:r>
            <m:rPr>
              <m:sty m:val="p"/>
            </m:rPr>
            <m:t>|</m:t>
          </m:r>
          <m:sSub>
            <m:sSubPr>
              <m:ctrlPr/>
            </m:sSubPr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Daily turnover is the half-</w:t>
      </w:r>
      <m:oMath>
        <m:sSup>
          <m:sSupPr>
            <m:ctrlPr/>
          </m:sSupPr>
          <m:e>
            <m:r>
              <m:rPr/>
              <m:t>L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t xml:space="preserve">distance between adjacent target</w:t>
      </w:r>
      <w:r>
        <w:t xml:space="preserve"> </w:t>
      </w:r>
      <w:r>
        <w:t xml:space="preserve">weight vectors,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r>
            <m:rPr/>
            <m:t>T</m:t>
          </m:r>
          <m:sSub>
            <m:sSubPr>
              <m:ctrlPr/>
            </m:sSubPr>
            <m:e>
              <m:r>
                <m:rPr/>
                <m:t>O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grow m:val="off"/>
              <m:limLoc m:val="undOvr"/>
              <m:supHide m:val="on"/>
              <m:ctrlPr/>
            </m:naryPr>
            <m:sub>
              <m:r>
                <m:rPr/>
                <m:t>i</m:t>
              </m:r>
            </m:sub>
            <m:sup/>
            <m:e>
              <m:r>
                <m:rPr>
                  <m:sty m:val="p"/>
                </m:rPr>
                <m:t>|</m:t>
              </m:r>
            </m:e>
          </m:nary>
          <m:sSub>
            <m:sSubPr>
              <m:ctrlPr/>
            </m:sSubPr>
            <m:e>
              <m:r>
                <m:rPr/>
                <m:t>w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>
              <m:ctrlPr/>
            </m:sSubPr>
            <m:e>
              <m:r>
                <m:rPr/>
                <m:t>w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/>
            <m:t>  </m:t>
          </m:r>
          <m:acc>
            <m:accPr>
              <m:chr m:val="̂"/>
              <m:ctrlPr/>
            </m:accPr>
            <m:e>
              <m:r>
                <m:rPr/>
                <m:t>T</m:t>
              </m:r>
              <m:r>
                <m:rPr/>
                <m:t>O</m:t>
              </m:r>
            </m:e>
          </m:acc>
          <m:r>
            <m:rPr>
              <m:sty m:val="p"/>
            </m:rPr>
            <m:t>=</m:t>
          </m:r>
          <m:sSubSup>
            <m:sSubSupPr>
              <m:alnScr m:val="off"/>
              <m:ctrlPr/>
            </m:sSubSupPr>
            <m:e>
              <m:r>
                <m:rPr/>
                <m:t>T</m:t>
              </m:r>
            </m:e>
            <m:sub>
              <m:r>
                <m:rPr/>
                <m:t>T</m:t>
              </m:r>
              <m:r>
                <m:rPr/>
                <m:t>O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nary>
            <m:naryPr>
              <m:chr m:val="∑"/>
              <m:grow m:val="off"/>
              <m:limLoc m:val="undOvr"/>
              <m:supHide m:val="on"/>
              <m:ctrlPr/>
            </m:naryPr>
            <m:sub>
              <m:r>
                <m:rPr/>
                <m:t>t</m:t>
              </m:r>
            </m:sub>
            <m:sup/>
            <m:e>
              <m:r>
                <m:rPr/>
                <m:t>T</m:t>
              </m:r>
            </m:e>
          </m:nary>
          <m:sSub>
            <m:sSubPr>
              <m:ctrlPr/>
            </m:sSubPr>
            <m:e>
              <m:r>
                <m:rPr/>
                <m:t>O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,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where the average is over adjacent dates with at least one active side.</w:t>
      </w:r>
      <w:r>
        <w:t xml:space="preserve"> </w:t>
      </w:r>
      <w:r>
        <w:t xml:space="preserve">For cost</w:t>
      </w:r>
      <w:r>
        <w:t xml:space="preserve"> </w:t>
      </w:r>
      <m:oMath>
        <m:r>
          <m:rPr/>
          <m:t>c</m:t>
        </m:r>
      </m:oMath>
      <w:r>
        <w:t xml:space="preserve"> </w:t>
      </w:r>
      <w:r>
        <w:t xml:space="preserve">per full rebalance in decimal units, the cost-adjusted</w:t>
      </w:r>
      <w:r>
        <w:t xml:space="preserve"> </w:t>
      </w:r>
      <w:r>
        <w:t xml:space="preserve">Sharpe ratio is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</m:e>
              </m:acc>
            </m:e>
            <m:sub>
              <m:r>
                <m:rPr/>
                <m:t>n</m:t>
              </m:r>
              <m:r>
                <m:rPr/>
                <m:t>e</m:t>
              </m:r>
              <m:r>
                <m:rPr/>
                <m:t>t</m:t>
              </m:r>
            </m:sub>
          </m:sSub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ctrlPr/>
            </m:fPr>
            <m:num>
              <m:acc>
                <m:accPr>
                  <m:chr m:val="̂"/>
                  <m:ctrlPr/>
                </m:accPr>
                <m:e>
                  <m:r>
                    <m:rPr/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  <m:ctrlPr/>
                </m:accPr>
                <m:e>
                  <m:r>
                    <m:rPr/>
                    <m:t>T</m:t>
                  </m:r>
                  <m:r>
                    <m:rPr/>
                    <m:t>O</m:t>
                  </m:r>
                </m:e>
              </m:acc>
              <m:r>
                <m:rPr/>
                <m:t> </m:t>
              </m:r>
              <m:r>
                <m:rPr/>
                <m:t>c</m:t>
              </m:r>
            </m:num>
            <m:den>
              <m:acc>
                <m:accPr>
                  <m:chr m:val="̂"/>
                  <m:ctrlPr/>
                </m:accPr>
                <m:e>
                  <m:r>
                    <m:rPr/>
                    <m:t>σ</m:t>
                  </m:r>
                </m:e>
              </m:acc>
            </m:den>
          </m:f>
          <m:rad>
            <m:radPr>
              <m:degHide m:val="on"/>
              <m:ctrlPr/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sSub>
                <m:sSubPr>
                  <m:ctrlPr/>
                </m:sSubPr>
                <m:e>
                  <m:r>
                    <m:rPr/>
                    <m:t>A</m:t>
                  </m:r>
                </m:e>
                <m:sub>
                  <m:r>
                    <m:rPr/>
                    <m:t>f</m:t>
                  </m:r>
                </m:sub>
              </m:sSub>
            </m:e>
          </m:rad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The cost term</w:t>
      </w:r>
      <w:r>
        <w:t xml:space="preserve"> </w:t>
      </w:r>
      <m:oMath>
        <m:acc>
          <m:accPr>
            <m:chr m:val="̂"/>
            <m:ctrlPr/>
          </m:accPr>
          <m:e>
            <m:r>
              <m:rPr/>
              <m:t>T</m:t>
            </m:r>
            <m:r>
              <m:rPr/>
              <m:t>O</m:t>
            </m:r>
          </m:e>
        </m:acc>
        <m:r>
          <m:rPr/>
          <m:t>c</m:t>
        </m:r>
      </m:oMath>
      <w:r>
        <w:t xml:space="preserve"> </w:t>
      </w:r>
      <w:r>
        <w:t xml:space="preserve">is subtracted from the period mean return</w:t>
      </w:r>
      <w:r>
        <w:t xml:space="preserve"> </w:t>
      </w:r>
      <w:r>
        <w:t xml:space="preserve">before annualization;</w:t>
      </w:r>
      <w:r>
        <w:t xml:space="preserve"> </w:t>
      </w:r>
      <m:oMath>
        <m:acc>
          <m:accPr>
            <m:chr m:val="̂"/>
            <m:ctrlPr/>
          </m:accPr>
          <m:e>
            <m:r>
              <m:rPr/>
              <m:t>T</m:t>
            </m:r>
            <m:r>
              <m:rPr/>
              <m:t>O</m:t>
            </m:r>
          </m:e>
        </m:acc>
      </m:oMath>
      <w:r>
        <w:t xml:space="preserve"> </w:t>
      </w:r>
      <w:r>
        <w:t xml:space="preserve">is averaged at the source</w:t>
      </w:r>
      <w:r>
        <w:t xml:space="preserve"> </w:t>
      </w:r>
      <w:r>
        <w:t xml:space="preserve">frequency, daily for the public panel sources used here.</w:t>
      </w:r>
      <w:r>
        <w:t xml:space="preserve"> </w:t>
      </w:r>
      <w:r>
        <w:t xml:space="preserve">This is a first-order cost stress. It assumes linear cost per unit of</w:t>
      </w:r>
      <w:r>
        <w:t xml:space="preserve"> </w:t>
      </w:r>
      <w:r>
        <w:t xml:space="preserve">turnover and holds the return volatility fixed after subtracting costs.</w:t>
      </w:r>
      <w:r>
        <w:t xml:space="preserve"> </w:t>
      </w:r>
      <w:r>
        <w:t xml:space="preserve">These assumptions are deliberately simple and are used only as a</w:t>
      </w:r>
      <w:r>
        <w:t xml:space="preserve"> </w:t>
      </w:r>
      <w:r>
        <w:t xml:space="preserve">screening stress. The resulting cost drag may understate</w:t>
      </w:r>
      <w:r>
        <w:t xml:space="preserve"> </w:t>
      </w:r>
      <w:r>
        <w:t xml:space="preserve">implementation costs when liquidity demand is material. They are not a</w:t>
      </w:r>
      <w:r>
        <w:t xml:space="preserve"> </w:t>
      </w:r>
      <w:r>
        <w:t xml:space="preserve">full execution model for high-turnover or illiquid strategies. Such</w:t>
      </w:r>
      <w:r>
        <w:t xml:space="preserve"> </w:t>
      </w:r>
      <w:r>
        <w:t xml:space="preserve">applications require spread, latency, borrow, and position-size</w:t>
      </w:r>
      <w:r>
        <w:t xml:space="preserve"> </w:t>
      </w:r>
      <w:r>
        <w:t xml:space="preserve">models before any implementation claim. This is a conservative</w:t>
      </w:r>
      <w:r>
        <w:t xml:space="preserve"> </w:t>
      </w:r>
      <w:r>
        <w:t xml:space="preserve">cost-stress screen, not an execution model.</w:t>
      </w:r>
      <w:r>
        <w:t xml:space="preserve"> </w:t>
      </w:r>
      <w:r>
        <w:t xml:space="preserve">The empirical tables also report the break-even cost in basis points,</w:t>
      </w:r>
      <w:r>
        <w:t xml:space="preserve"> </w:t>
      </w:r>
      <w:r>
        <w:t xml:space="preserve">defined by</w:t>
      </w:r>
      <w:r>
        <w:t xml:space="preserve"> </w:t>
      </w:r>
      <m:oMath>
        <m:acc>
          <m:accPr>
            <m:chr m:val="̂"/>
            <m:ctrlPr/>
          </m:accPr>
          <m:e>
            <m:r>
              <m:rPr/>
              <m:t>μ</m:t>
            </m:r>
          </m:e>
        </m:acc>
        <m:r>
          <m:rPr>
            <m:sty m:val="p"/>
          </m:rPr>
          <m:t>−</m:t>
        </m:r>
        <m:acc>
          <m:accPr>
            <m:chr m:val="̂"/>
            <m:ctrlPr/>
          </m:accPr>
          <m:e>
            <m:r>
              <m:rPr/>
              <m:t>T</m:t>
            </m:r>
            <m:r>
              <m:rPr/>
              <m:t>O</m:t>
            </m:r>
          </m:e>
        </m:acc>
        <m:r>
          <m:rPr/>
          <m:t>c</m:t>
        </m:r>
        <m:r>
          <m:rPr>
            <m:sty m:val="p"/>
          </m:rPr>
          <m:t>=</m:t>
        </m:r>
        <m:r>
          <m:rPr/>
          <m:t>0</m:t>
        </m:r>
      </m:oMath>
      <w:r>
        <w:t xml:space="preserve">. The public sorted-portfolio</w:t>
      </w:r>
      <w:r>
        <w:t xml:space="preserve"> </w:t>
      </w:r>
      <w:r>
        <w:t xml:space="preserve">examples do not contain average daily volume or order-size information,</w:t>
      </w:r>
      <w:r>
        <w:t xml:space="preserve"> </w:t>
      </w:r>
      <w:r>
        <w:t xml:space="preserve">so they do not support an execution-scale claim.</w:t>
      </w:r>
      <w:bookmarkEnd w:id="32"/>
      <w:r/>
    </w:p>
    <w:p>
      <w:pPr>
        <w:pStyle w:val="698"/>
        <w:pBdr/>
        <w:spacing/>
        <w:ind/>
        <w:rPr/>
      </w:pPr>
      <w:r/>
      <w:bookmarkStart w:id="33" w:name="X47fbe913459eb64d325f776503820a1293f7fb8"/>
      <w:r>
        <w:rPr>
          <w:rStyle w:val="729"/>
        </w:rPr>
        <w:t xml:space="preserve">4.4</w:t>
      </w:r>
      <w:r>
        <w:tab/>
      </w:r>
      <w:r>
        <w:t xml:space="preserve">Decision rule for reported panel candidates</w:t>
      </w:r>
      <w:r/>
    </w:p>
    <w:p>
      <w:pPr>
        <w:pStyle w:val="686"/>
        <w:pBdr/>
        <w:spacing/>
        <w:ind/>
        <w:rPr/>
      </w:pPr>
      <w:r>
        <w:t xml:space="preserve">The implementation reports component diagnostics, and the pre-specified</w:t>
      </w:r>
      <w:r>
        <w:t xml:space="preserve"> </w:t>
      </w:r>
      <w:r>
        <w:t xml:space="preserve">summary rule is deliberately stricter than any single statistic. A</w:t>
      </w:r>
      <w:r>
        <w:t xml:space="preserve"> </w:t>
      </w:r>
      <w:r>
        <w:t xml:space="preserve">candidate is reported as passing the full panel evaluation only if all</w:t>
      </w:r>
      <w:r>
        <w:t xml:space="preserve"> </w:t>
      </w:r>
      <w:r>
        <w:t xml:space="preserve">applicable diagnostics are informative and it clears the pre-specified</w:t>
      </w:r>
      <w:r>
        <w:t xml:space="preserve"> </w:t>
      </w:r>
      <w:r>
        <w:t xml:space="preserve">thresholds: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≤</m:t>
          </m:r>
          <m:r>
            <m:rPr/>
            <m:t>α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>
              <m:ctrlPr/>
            </m:sSubPr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≤</m:t>
          </m:r>
          <m:r>
            <m:rPr/>
            <m:t>α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>
              <m:ctrlPr/>
            </m:sSubPr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≤</m:t>
          </m:r>
          <m:r>
            <m:rPr/>
            <m:t>α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>
              <m:ctrlPr/>
            </m:sSubPr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≤</m:t>
          </m:r>
          <m:r>
            <m:rPr/>
            <m:t>α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</m:e>
              </m:acc>
            </m:e>
            <m:sub>
              <m:r>
                <m:rPr/>
                <m:t>n</m:t>
              </m:r>
              <m:r>
                <m:rPr/>
                <m:t>e</m:t>
              </m:r>
              <m:r>
                <m:rPr/>
                <m:t>t</m:t>
              </m:r>
            </m:sub>
          </m:sSub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In the reported tables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r>
          <m:rPr/>
          <m:t>0.05</m:t>
        </m:r>
      </m:oMath>
      <w:r>
        <w:t xml:space="preserve">. Here</w:t>
      </w:r>
      <w:r>
        <w:t xml:space="preserve"> </w:t>
      </w:r>
      <m:oMath>
        <m:sSub>
          <m:sSubPr>
            <m:ctrlPr/>
          </m:sSubPr>
          <m:e>
            <m:r>
              <m:rPr/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 one-sided dependent-bootstrap Sharpe</w:t>
      </w:r>
      <w:r>
        <w:t xml:space="preserve"> </w:t>
      </w:r>
      <m:oMath>
        <m:r>
          <m:rPr/>
          <m:t>p</m:t>
        </m:r>
      </m:oMath>
      <w:r>
        <w:t xml:space="preserve">-value,</w:t>
      </w:r>
      <w:r>
        <w:t xml:space="preserve"> </w:t>
      </w:r>
      <m:oMath>
        <m:sSub>
          <m:sSubPr>
            <m:ctrlPr/>
          </m:sSubPr>
          <m:e>
            <m:r>
              <m:rPr/>
              <m:t>p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is the same-date signal-permutation</w:t>
      </w:r>
      <w:r>
        <w:t xml:space="preserve"> </w:t>
      </w:r>
      <m:oMath>
        <m:r>
          <m:rPr/>
          <m:t>p</m:t>
        </m:r>
      </m:oMath>
      <w:r>
        <w:t xml:space="preserve">-value,</w:t>
      </w:r>
      <w:r>
        <w:t xml:space="preserve"> </w:t>
      </w:r>
      <m:oMath>
        <m:sSub>
          <m:sSubPr>
            <m:ctrlPr/>
          </m:sSubPr>
          <m:e>
            <m:r>
              <m:rPr/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is the HAC-delta positive-edge</w:t>
      </w:r>
      <w:r>
        <w:t xml:space="preserve"> </w:t>
      </w:r>
      <m:oMath>
        <m:r>
          <m:rPr/>
          <m:t>p</m:t>
        </m:r>
      </m:oMath>
      <w:r>
        <w:t xml:space="preserve">-value, and</w:t>
      </w:r>
      <w:r>
        <w:t xml:space="preserve"> </w:t>
      </w:r>
      <m:oMath>
        <m:sSub>
          <m:sSubPr>
            <m:ctrlPr/>
          </m:sSubPr>
          <m:e>
            <m:r>
              <m:rPr/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is the Romano-Wolf familywise adjusted</w:t>
      </w:r>
      <w:r>
        <w:t xml:space="preserve"> </w:t>
      </w:r>
      <m:oMath>
        <m:r>
          <m:rPr/>
          <m:t>p</m:t>
        </m:r>
      </m:oMath>
      <w:r>
        <w:t xml:space="preserve">-value</w:t>
      </w:r>
      <w:r>
        <w:t xml:space="preserve"> </w:t>
      </w:r>
      <w:r>
        <w:t xml:space="preserve">over the fixed researcher menu. The final condition requires the</w:t>
      </w:r>
      <w:r>
        <w:t xml:space="preserve"> </w:t>
      </w:r>
      <w:r>
        <w:t xml:space="preserve">turnover-cost-adjusted Sharpe to remain positive at the specified cost</w:t>
      </w:r>
      <w:r>
        <w:t xml:space="preserve"> </w:t>
      </w:r>
      <w:r>
        <w:t xml:space="preserve">stress</w:t>
      </w:r>
      <w:r>
        <w:t xml:space="preserve"> </w:t>
      </w:r>
      <m:oMath>
        <m:r>
          <m:rPr/>
          <m:t>c</m:t>
        </m:r>
      </m:oMath>
      <w:r>
        <w:t xml:space="preserve">.</w:t>
      </w:r>
      <w:r>
        <w:t xml:space="preserve"> </w:t>
      </w:r>
      <w:r>
        <w:t xml:space="preserve">If the same-date permutation null is degenerate or otherwise</w:t>
      </w:r>
      <w:r>
        <w:t xml:space="preserve"> </w:t>
      </w:r>
      <w:r>
        <w:t xml:space="preserve">uninformative, the candidate is reported separately as passing or failing</w:t>
      </w:r>
      <w:r>
        <w:t xml:space="preserve"> </w:t>
      </w:r>
      <w:r>
        <w:t xml:space="preserve">the remaining applicable checks; it is not classified as a full pass.</w:t>
      </w:r>
      <w:r>
        <w:t xml:space="preserve"> </w:t>
      </w:r>
      <w:r>
        <w:t xml:space="preserve">This is a conservative reporting policy, not a uniformly most powerful</w:t>
      </w:r>
      <w:r>
        <w:t xml:space="preserve"> </w:t>
      </w:r>
      <w:r>
        <w:t xml:space="preserve">test, an optimal weighted test, or a claim that the diagnostics exhaust</w:t>
      </w:r>
      <w:r>
        <w:t xml:space="preserve"> </w:t>
      </w:r>
      <w:r>
        <w:t xml:space="preserve">all possible failure modes. The component diagnostics are reported so</w:t>
      </w:r>
      <w:r>
        <w:t xml:space="preserve"> </w:t>
      </w:r>
      <w:r>
        <w:t xml:space="preserve">readers can apply less conservative rules.</w:t>
      </w:r>
      <w:r>
        <w:t xml:space="preserve"> </w:t>
      </w:r>
      <w:r>
        <w:t xml:space="preserve">The same-date permutation check is a panel placebo: it is applicable only</w:t>
      </w:r>
      <w:r>
        <w:t xml:space="preserve"> </w:t>
      </w:r>
      <w:r>
        <w:t xml:space="preserve">when row-level signals can be permuted within date. Pre-aggregated</w:t>
      </w:r>
      <w:r>
        <w:t xml:space="preserve"> </w:t>
      </w:r>
      <w:r>
        <w:t xml:space="preserve">factor series can still be economically interesting and can pass</w:t>
      </w:r>
      <w:r>
        <w:t xml:space="preserve"> </w:t>
      </w:r>
      <w:r>
        <w:t xml:space="preserve">HAC-delta or Romano-Wolf tests, but they do not contain the row-level</w:t>
      </w:r>
      <w:r>
        <w:t xml:space="preserve"> </w:t>
      </w:r>
      <w:r>
        <w:t xml:space="preserve">signal panel needed for this placebo. Such cases are reported as not</w:t>
      </w:r>
      <w:r>
        <w:t xml:space="preserve"> </w:t>
      </w:r>
      <w:r>
        <w:t xml:space="preserve">applicable for the permutation check rather than as passed panel evaluations.</w:t>
      </w:r>
      <w:r/>
    </w:p>
    <w:p>
      <w:pPr>
        <w:pStyle w:val="685"/>
        <w:pBdr/>
        <w:spacing/>
        <w:ind/>
        <w:rPr/>
      </w:pPr>
      <w:r>
        <w:t xml:space="preserve">The stages have different interpretations. The permutation diagnostic asks</w:t>
      </w:r>
      <w:r>
        <w:t xml:space="preserve"> </w:t>
      </w:r>
      <w:r>
        <w:t xml:space="preserve">whether the signal-return pairing beats a same-date placebo. The HAC</w:t>
      </w:r>
      <w:r>
        <w:t xml:space="preserve"> </w:t>
      </w:r>
      <w:r>
        <w:t xml:space="preserve">diagnostic asks whether the resulting date-return Sharpe is positive after</w:t>
      </w:r>
      <w:r>
        <w:t xml:space="preserve"> </w:t>
      </w:r>
      <w:r>
        <w:t xml:space="preserve">serial dependence and heteroskedasticity are accounted for. The</w:t>
      </w:r>
      <w:r>
        <w:t xml:space="preserve"> </w:t>
      </w:r>
      <w:r>
        <w:t xml:space="preserve">bootstrap diagnostic asks whether that conclusion survives resampling of</w:t>
      </w:r>
      <w:r>
        <w:t xml:space="preserve"> </w:t>
      </w:r>
      <w:r>
        <w:t xml:space="preserve">the date-return series. The Romano-Wolf diagnostic asks whether the</w:t>
      </w:r>
      <w:r>
        <w:t xml:space="preserve"> </w:t>
      </w:r>
      <w:r>
        <w:t xml:space="preserve">claim survives the fixed researcher menu. The cost diagnostic reports</w:t>
      </w:r>
      <w:r>
        <w:t xml:space="preserve"> </w:t>
      </w:r>
      <w:r>
        <w:t xml:space="preserve">whether net Sharpe remains positive after turnover-scaled frictions.</w:t>
      </w:r>
      <w:r>
        <w:t xml:space="preserve"> </w:t>
      </w:r>
      <w:r>
        <w:t xml:space="preserve">Factor-alpha, holdout, subperiod, and stationarity diagnostics are</w:t>
      </w:r>
      <w:r>
        <w:t xml:space="preserve"> </w:t>
      </w:r>
      <w:r>
        <w:t xml:space="preserve">reported alongside these checks to prevent a single favorable statistic</w:t>
      </w:r>
      <w:r>
        <w:t xml:space="preserve"> </w:t>
      </w:r>
      <w:r>
        <w:t xml:space="preserve">from becoming the claim.</w:t>
      </w:r>
      <w:bookmarkEnd w:id="33"/>
      <w:bookmarkEnd w:id="34"/>
      <w:r/>
    </w:p>
    <w:p>
      <w:pPr>
        <w:pStyle w:val="697"/>
        <w:pBdr/>
        <w:spacing/>
        <w:ind/>
        <w:rPr/>
      </w:pPr>
      <w:r/>
      <w:bookmarkStart w:id="40" w:name="sampling-boundary-methodology"/>
      <w:r>
        <w:rPr>
          <w:rStyle w:val="729"/>
        </w:rPr>
        <w:t xml:space="preserve">5</w:t>
      </w:r>
      <w:r>
        <w:tab/>
      </w:r>
      <w:r>
        <w:t xml:space="preserve">Sampling-boundary methodology</w:t>
      </w:r>
      <w:r/>
    </w:p>
    <w:p>
      <w:pPr>
        <w:pStyle w:val="698"/>
        <w:pBdr/>
        <w:spacing/>
        <w:ind/>
        <w:rPr/>
      </w:pPr>
      <w:r/>
      <w:bookmarkStart w:id="35" w:name="sec:theory"/>
      <w:r>
        <w:rPr>
          <w:rStyle w:val="729"/>
        </w:rPr>
        <w:t xml:space="preserve">5.1</w:t>
      </w:r>
      <w:r>
        <w:tab/>
      </w:r>
      <w:r>
        <w:t xml:space="preserve">Mean-return special case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Assumption 1</w:t>
      </w:r>
      <w:r>
        <w:t xml:space="preserve"> </w:t>
      </w:r>
      <w:r>
        <w:t xml:space="preserve">(Equicorrelated row model).</w:t>
      </w:r>
      <w:r>
        <w:t xml:space="preserve"> </w:t>
      </w:r>
      <w:r>
        <w:t xml:space="preserve"> </w:t>
      </w:r>
      <w:r>
        <w:rPr>
          <w:i/>
          <w:iCs/>
        </w:rPr>
        <w:t xml:space="preserve">For each date</w:t>
      </w:r>
      <w:r>
        <w:rPr>
          <w:i/>
          <w:iCs/>
        </w:rPr>
        <w:t xml:space="preserve"> </w:t>
      </w:r>
      <m:oMath>
        <m:r>
          <m:rPr/>
          <m:t>t</m:t>
        </m:r>
      </m:oMath>
      <w:r>
        <w:rPr>
          <w:i/>
          <w:iCs/>
        </w:rPr>
        <w:t xml:space="preserve">, selected row returns satisfy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y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μ</m:t>
        </m:r>
        <m:r>
          <m:rPr>
            <m:sty m:val="p"/>
          </m:rPr>
          <m:t>+</m:t>
        </m:r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+</m:t>
        </m:r>
        <m:sSub>
          <m:sSubPr>
            <m:ctrlPr/>
          </m:sSubPr>
          <m:e>
            <m:r>
              <m:rPr/>
              <m:t>ϵ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,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 common date shock,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ϵ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idiosyncratic,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uncorrelated with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ϵ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λ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sSubSupPr>
            <m:alnScr m:val="off"/>
            <m:ctrlPr/>
          </m:sSubSupPr>
          <m:e>
            <m:r>
              <m:rPr/>
              <m:t>σ</m:t>
            </m:r>
          </m:e>
          <m:sub>
            <m:r>
              <m:rPr/>
              <m:t>λ</m:t>
            </m:r>
          </m:sub>
          <m:sup>
            <m:r>
              <m:rPr/>
              <m:t>2</m:t>
            </m:r>
          </m:sup>
        </m:sSubSup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ϵ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sSubSupPr>
            <m:alnScr m:val="off"/>
            <m:ctrlPr/>
          </m:sSubSupPr>
          <m:e>
            <m:r>
              <m:rPr/>
              <m:t>σ</m:t>
            </m:r>
          </m:e>
          <m:sub>
            <m:r>
              <m:rPr/>
              <m:t>ϵ</m:t>
            </m:r>
          </m:sub>
          <m:sup>
            <m:r>
              <m:rPr/>
              <m:t>2</m:t>
            </m:r>
          </m:sup>
        </m:sSubSup>
      </m:oMath>
      <w:r>
        <w:rPr>
          <w:i/>
          <w:iCs/>
        </w:rPr>
        <w:t xml:space="preserve">. The selected count is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n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acc>
          <m:accPr>
            <m:chr m:val="‾"/>
            <m:ctrlPr/>
          </m:accPr>
          <m:e>
            <m:r>
              <m:rPr/>
              <m:t>n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for the displayed derivation, and dates are independent.</w:t>
      </w:r>
      <w:r/>
    </w:p>
    <w:p>
      <w:pPr>
        <w:pStyle w:val="686"/>
        <w:pBdr/>
        <w:spacing/>
        <w:ind/>
        <w:rPr/>
      </w:pPr>
      <w:r>
        <w:t xml:space="preserve">Under this model,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p>
            <m:sSupPr>
              <m:ctrlPr/>
            </m:sSupPr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sSubPr>
              <m:ctrlPr/>
            </m:sSubPr>
            <m:e>
              <m:r>
                <m:rPr/>
                <m:t>y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sSubSupPr>
              <m:alnScr m:val="off"/>
              <m:ctrlPr/>
            </m:sSubSupPr>
            <m:e>
              <m:r>
                <m:rPr/>
                <m:t>σ</m:t>
              </m:r>
            </m:e>
            <m:sub>
              <m:r>
                <m:rPr/>
                <m:t>λ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>
              <m:alnScr m:val="off"/>
              <m:ctrlPr/>
            </m:sSubSupPr>
            <m:e>
              <m:r>
                <m:rPr/>
                <m:t>σ</m:t>
              </m:r>
            </m:e>
            <m:sub>
              <m:r>
                <m:rPr/>
                <m:t>ϵ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r>
            <m:rPr/>
            <m:t>ρ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sSubPr>
              <m:ctrlPr/>
            </m:sSubPr>
            <m:e>
              <m:r>
                <m:rPr/>
                <m:t>y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sSub>
            <m:sSubPr>
              <m:ctrlPr/>
            </m:sSubPr>
            <m:e>
              <m:r>
                <m:rPr/>
                <m:t>y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ctrlPr/>
            </m:fPr>
            <m:num>
              <m:sSubSup>
                <m:sSubSupPr>
                  <m:alnScr m:val="off"/>
                  <m:ctrlPr/>
                </m:sSubSupPr>
                <m:e>
                  <m:r>
                    <m:rPr/>
                    <m:t>σ</m:t>
                  </m:r>
                </m:e>
                <m:sub>
                  <m:r>
                    <m:rPr/>
                    <m:t>λ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>
                  <m:alnScr m:val="off"/>
                  <m:ctrlPr/>
                </m:sSubSupPr>
                <m:e>
                  <m:r>
                    <m:rPr/>
                    <m:t>σ</m:t>
                  </m:r>
                </m:e>
                <m:sub>
                  <m:r>
                    <m:rPr/>
                    <m:t>λ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>
                  <m:alnScr m:val="off"/>
                  <m:ctrlPr/>
                </m:sSubSupPr>
                <m:e>
                  <m:r>
                    <m:rPr/>
                    <m:t>σ</m:t>
                  </m:r>
                </m:e>
                <m:sub>
                  <m:r>
                    <m:rPr/>
                    <m:t>ϵ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 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≠</m:t>
          </m:r>
          <m:r>
            <m:rPr/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Thus</w:t>
      </w:r>
      <w:r>
        <w:t xml:space="preserve"> </w:t>
      </w:r>
      <m:oMath>
        <m:r>
          <m:rPr/>
          <m:t>ρ</m:t>
        </m:r>
      </m:oMath>
      <w:r>
        <w:t xml:space="preserve"> </w:t>
      </w:r>
      <w:r>
        <w:t xml:space="preserve">is the intraclass correlation induced by the common date</w:t>
      </w:r>
      <w:r>
        <w:t xml:space="preserve"> </w:t>
      </w:r>
      <w:r>
        <w:t xml:space="preserve">shock; economically, it is the fraction of row-return variance explained</w:t>
      </w:r>
      <w:r>
        <w:t xml:space="preserve"> </w:t>
      </w:r>
      <w:r>
        <w:t xml:space="preserve">by shocks shared by same-date selections.</w:t>
      </w:r>
      <w:r>
        <w:t xml:space="preserve"> </w:t>
      </w:r>
      <w:r>
        <w:t xml:space="preserve">In empirical diagnostics,</w:t>
      </w:r>
      <w:r>
        <w:t xml:space="preserve"> </w:t>
      </w:r>
      <m:oMath>
        <m:r>
          <m:rPr/>
          <m:t>ρ</m:t>
        </m:r>
      </m:oMath>
      <w:r>
        <w:t xml:space="preserve"> </w:t>
      </w:r>
      <w:r>
        <w:t xml:space="preserve">is estimated after the candidate</w:t>
      </w:r>
      <w:r>
        <w:t xml:space="preserve"> </w:t>
      </w:r>
      <w:r>
        <w:t xml:space="preserve">threshold is fixed. For each panel candidate, the selected signed row</w:t>
      </w:r>
      <w:r>
        <w:t xml:space="preserve"> </w:t>
      </w:r>
      <w:r>
        <w:t xml:space="preserve">returns are aligned by date and asset or portfolio, and</w:t>
      </w:r>
      <w:r>
        <w:t xml:space="preserve"> </w:t>
      </w:r>
      <m:oMath>
        <m:acc>
          <m:accPr>
            <m:chr m:val="̂"/>
            <m:ctrlPr/>
          </m:accPr>
          <m:e>
            <m:r>
              <m:rPr/>
              <m:t>ρ</m:t>
            </m:r>
          </m:e>
        </m:acc>
      </m:oMath>
      <w:r>
        <w:t xml:space="preserve"> </w:t>
      </w:r>
      <w:r>
        <w:t xml:space="preserve">is the average off-diagonal sample correlation among active</w:t>
      </w:r>
      <w:r>
        <w:t xml:space="preserve"> </w:t>
      </w:r>
      <w:r>
        <w:t xml:space="preserve">row-return series with overlapping dates;</w:t>
      </w:r>
      <w:r>
        <w:t xml:space="preserve"> </w:t>
      </w:r>
      <m:oMath>
        <m:acc>
          <m:accPr>
            <m:chr m:val="‾"/>
            <m:ctrlPr/>
          </m:accPr>
          <m:e>
            <m:r>
              <m:rPr/>
              <m:t>n</m:t>
            </m:r>
          </m:e>
        </m:acc>
      </m:oMath>
      <w:r>
        <w:t xml:space="preserve"> </w:t>
      </w:r>
      <w:r>
        <w:t xml:space="preserve">is the average</w:t>
      </w:r>
      <w:r>
        <w:t xml:space="preserve"> </w:t>
      </w:r>
      <w:r>
        <w:t xml:space="preserve">selected count across active dates. When the selected set varies over</w:t>
      </w:r>
      <w:r>
        <w:t xml:space="preserve"> </w:t>
      </w:r>
      <w:r>
        <w:t xml:space="preserve">time, this equicorrelation estimate is a descriptive compression of the</w:t>
      </w:r>
      <w:r>
        <w:t xml:space="preserve"> </w:t>
      </w:r>
      <w:r>
        <w:t xml:space="preserve">same-date covariance structure, not an identifying assumption for the</w:t>
      </w:r>
      <w:r>
        <w:t xml:space="preserve"> </w:t>
      </w:r>
      <w:r>
        <w:t xml:space="preserve">confirmatory HAC or bootstrap tests.</w:t>
      </w:r>
      <w:r/>
    </w:p>
    <w:p>
      <w:pPr>
        <w:pStyle w:val="685"/>
        <w:pBdr/>
        <w:spacing/>
        <w:ind/>
        <w:rPr/>
      </w:pPr>
      <w:r>
        <w:t xml:space="preserve">Under the equicorrelated row model, the corresponding mean-return</w:t>
      </w:r>
      <w:r>
        <w:t xml:space="preserve"> </w:t>
      </w:r>
      <w:r>
        <w:t xml:space="preserve">design-effect calculation gives the ratio of the naive row-pooled</w:t>
      </w:r>
      <w:r>
        <w:t xml:space="preserve"> </w:t>
      </w:r>
      <w:r>
        <w:t xml:space="preserve">reported standard error of the mean to the date-level standard error: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f>
            <m:fPr>
              <m:ctrlPr/>
            </m:fPr>
            <m:num>
              <m:r>
                <m:rPr/>
                <m:t>s</m:t>
              </m:r>
              <m:sSub>
                <m:sSubPr>
                  <m:ctrlPr/>
                </m:sSubPr>
                <m:e>
                  <m:r>
                    <m:rPr/>
                    <m:t>e</m:t>
                  </m:r>
                </m:e>
                <m:sub>
                  <m:r>
                    <m:rPr/>
                    <m:t>r</m:t>
                  </m:r>
                  <m:r>
                    <m:rPr/>
                    <m:t>o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</m:t>
                  </m:r>
                  <m:r>
                    <m:rPr/>
                    <m:t>a</m:t>
                  </m:r>
                  <m:r>
                    <m:rPr/>
                    <m:t>i</m:t>
                  </m:r>
                  <m:r>
                    <m:rPr/>
                    <m:t>v</m:t>
                  </m:r>
                  <m:r>
                    <m:rPr/>
                    <m:t>e</m:t>
                  </m:r>
                </m:sub>
              </m:sSub>
            </m:num>
            <m:den>
              <m:r>
                <m:rPr/>
                <m:t>s</m:t>
              </m:r>
              <m:sSub>
                <m:sSubPr>
                  <m:ctrlPr/>
                </m:sSubPr>
                <m:e>
                  <m:r>
                    <m:rPr/>
                    <m:t>e</m:t>
                  </m:r>
                </m:e>
                <m:sub>
                  <m:r>
                    <m:rPr/>
                    <m:t>d</m:t>
                  </m:r>
                  <m:r>
                    <m:rPr/>
                    <m:t>a</m:t>
                  </m:r>
                  <m:r>
                    <m:rPr/>
                    <m:t>t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t</m:t>
                  </m:r>
                  <m:r>
                    <m:rPr/>
                    <m:t>r</m:t>
                  </m:r>
                  <m:r>
                    <m:rPr/>
                    <m:t>u</m:t>
                  </m:r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sSupPr>
              <m:ctrlPr/>
            </m:sSupPr>
            <m:e>
              <m:d>
                <m:dPr>
                  <m:begChr m:val="{"/>
                  <m:endChr m:val="}"/>
                  <m:sepChr m:val=""/>
                  <m:ctrlPr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  <m:ctrlPr/>
                    </m:accPr>
                    <m:e>
                      <m:r>
                        <m:rPr/>
                        <m:t>n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ρ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For</w:t>
      </w:r>
      <w:r>
        <w:t xml:space="preserve"> </w:t>
      </w:r>
      <m:oMath>
        <m:r>
          <m:rPr/>
          <m:t>ρ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  <m:ctrlPr/>
          </m:accPr>
          <m:e>
            <m:r>
              <m:rPr/>
              <m:t>n</m:t>
            </m:r>
          </m:e>
        </m:acc>
        <m:r>
          <m:rPr>
            <m:sty m:val="p"/>
          </m:rPr>
          <m:t>&gt;</m:t>
        </m:r>
        <m:r>
          <m:rPr/>
          <m:t>1</m:t>
        </m:r>
      </m:oMath>
      <w:r>
        <w:t xml:space="preserve">, the naive row-level standard-error</w:t>
      </w:r>
      <w:r>
        <w:t xml:space="preserve"> </w:t>
      </w:r>
      <w:r>
        <w:t xml:space="preserve">report is too small.</w:t>
      </w:r>
      <w:r/>
    </w:p>
    <w:p>
      <w:pPr>
        <w:pStyle w:val="685"/>
        <w:pBdr/>
        <w:spacing/>
        <w:ind/>
        <w:rPr/>
      </w:pPr>
      <w:r>
        <w:t xml:space="preserve">This calculation is not new as a sampling result; it is the</w:t>
      </w:r>
      <w:r>
        <w:t xml:space="preserve"> </w:t>
      </w:r>
      <w:r>
        <w:t xml:space="preserve">Moulton-like special case of the paper’s UVIF logic, written for signed</w:t>
      </w:r>
      <w:r>
        <w:t xml:space="preserve"> </w:t>
      </w:r>
      <w:r>
        <w:t xml:space="preserve">trading-panel rows and date-level portfolio returns. To avoid conflict</w:t>
      </w:r>
      <w:r>
        <w:t xml:space="preserve"> </w:t>
      </w:r>
      <w:r>
        <w:t xml:space="preserve">with the researcher menu notation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, write the</w:t>
      </w:r>
      <w:r>
        <w:t xml:space="preserve"> </w:t>
      </w:r>
      <w:r>
        <w:t xml:space="preserve">cross-sectional variance design effect as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rPr/>
                <m:t>μ</m:t>
              </m:r>
              <m:r>
                <m:rPr>
                  <m:sty m:val="p"/>
                </m:rPr>
                <m:t>,</m:t>
              </m:r>
              <m:r>
                <m:rPr/>
                <m:t>x</m:t>
              </m:r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  <m:ctrlPr/>
            </m:accPr>
            <m:e>
              <m:r>
                <m:rPr/>
                <m:t>n</m:t>
              </m:r>
            </m:e>
          </m:acc>
          <m:r>
            <m:rPr>
              <m:sty m:val="p"/>
            </m:rPr>
            <m:t>,</m:t>
          </m:r>
          <m:r>
            <m:rPr/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acc>
            <m:accPr>
              <m:chr m:val="‾"/>
              <m:ctrlPr/>
            </m:accPr>
            <m:e>
              <m:r>
                <m:rPr/>
                <m:t>n</m:t>
              </m:r>
            </m:e>
          </m:acc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</m:t>
          </m:r>
          <m:r>
            <m:rPr/>
            <m:t>ρ</m:t>
          </m:r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The square root is reported when the object is a standard-error or</w:t>
      </w:r>
      <w:r>
        <w:t xml:space="preserve"> </w:t>
      </w:r>
      <m:oMath>
        <m:r>
          <m:rPr/>
          <m:t>t</m:t>
        </m:r>
      </m:oMath>
      <w:r>
        <w:t xml:space="preserve">-statistic adjustment: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Sup>
            <m:sSubSupPr>
              <m:alnScr m:val="off"/>
              <m:ctrlPr/>
            </m:sSubSupPr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rPr/>
                <m:t>μ</m:t>
              </m:r>
              <m:r>
                <m:rPr>
                  <m:sty m:val="p"/>
                </m:rPr>
                <m:t>,</m:t>
              </m:r>
              <m:r>
                <m:rPr/>
                <m:t>x</m:t>
              </m:r>
              <m:r>
                <m:rPr/>
                <m:t>s</m:t>
              </m:r>
            </m:sub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acc>
            <m:accPr>
              <m:chr m:val="‾"/>
              <m:ctrlPr/>
            </m:accPr>
            <m:e>
              <m:r>
                <m:rPr/>
                <m:t>n</m:t>
              </m:r>
            </m:e>
          </m:acc>
          <m:r>
            <m:rPr>
              <m:sty m:val="p"/>
            </m:rPr>
            <m:t>,</m:t>
          </m:r>
          <m:r>
            <m:rPr/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  <m:ctrlPr/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  <m:ctrlPr/>
                </m:accPr>
                <m:e>
                  <m:r>
                    <m:rPr/>
                    <m:t>n</m:t>
                  </m:r>
                </m:e>
              </m:acc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  <m:r>
                <m:rPr/>
                <m:t>ρ</m:t>
              </m:r>
            </m:e>
          </m:rad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Thus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F</m:t>
        </m:r>
      </m:oMath>
      <w:r>
        <w:t xml:space="preserve"> </w:t>
      </w:r>
      <w:r>
        <w:t xml:space="preserve">denotes a variance ratio, while</w:t>
      </w:r>
      <w:r>
        <w:t xml:space="preserve"> </w:t>
      </w:r>
      <m:oMath>
        <m:sSup>
          <m:sSupPr>
            <m:ctrlPr/>
          </m:sSupPr>
          <m:e>
            <m:r>
              <m:rPr>
                <m:sty m:val="p"/>
              </m:rPr>
              <m:t>U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t xml:space="preserve"> </w:t>
      </w:r>
      <w:r>
        <w:t xml:space="preserve">denotes</w:t>
      </w:r>
      <w:r>
        <w:t xml:space="preserve"> </w:t>
      </w:r>
      <w:r>
        <w:t xml:space="preserve">the associated standard-error multiplier. This mean-return calculation</w:t>
      </w:r>
      <w:r>
        <w:t xml:space="preserve"> </w:t>
      </w:r>
      <w:r>
        <w:t xml:space="preserve">is expository: it makes the scale of understatement visible before the</w:t>
      </w:r>
      <w:r>
        <w:t xml:space="preserve"> </w:t>
      </w:r>
      <w:r>
        <w:t xml:space="preserve">paper turns to HAC and dependent-bootstrap decisions on the realised date-return</w:t>
      </w:r>
      <w:r>
        <w:t xml:space="preserve"> </w:t>
      </w:r>
      <w:r>
        <w:t xml:space="preserve">series.</w:t>
      </w:r>
      <w:r>
        <w:t xml:space="preserve"> </w:t>
      </w:r>
      <w:r>
        <w:t xml:space="preserve">The magnitude can be economically large. The relevant inflation factor</w:t>
      </w:r>
      <w:r>
        <w:t xml:space="preserve"> </w:t>
      </w:r>
      <w:r>
        <w:t xml:space="preserve">for the true standard error relative to the naive row report is</w:t>
      </w:r>
      <w:r>
        <w:t xml:space="preserve"> </w:t>
      </w:r>
      <m:oMath>
        <m:sSubSup>
          <m:sSubSupPr>
            <m:alnScr m:val="off"/>
            <m:ctrlPr/>
          </m:sSubSupPr>
          <m:e>
            <m:r>
              <m:rPr>
                <m:sty m:val="p"/>
              </m:rPr>
              <m:t>U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rPr/>
              <m:t>μ</m:t>
            </m:r>
            <m:r>
              <m:rPr>
                <m:sty m:val="p"/>
              </m:rPr>
              <m:t>,</m:t>
            </m:r>
            <m:r>
              <m:rPr/>
              <m:t>x</m:t>
            </m:r>
            <m:r>
              <m:rPr/>
              <m:t>s</m:t>
            </m:r>
          </m:sub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bSup>
        <m:r>
          <m:rPr>
            <m:sty m:val="p"/>
          </m:rPr>
          <m:t>(</m:t>
        </m:r>
        <m:acc>
          <m:accPr>
            <m:chr m:val="‾"/>
            <m:ctrlPr/>
          </m:accPr>
          <m:e>
            <m:r>
              <m:rPr/>
              <m:t>n</m:t>
            </m:r>
          </m:e>
        </m:acc>
        <m:r>
          <m:rPr>
            <m:sty m:val="p"/>
          </m:rPr>
          <m:t>,</m:t>
        </m:r>
        <m:r>
          <m:rPr/>
          <m:t>ρ</m:t>
        </m:r>
        <m:r>
          <m:rPr>
            <m:sty m:val="p"/>
          </m:rPr>
          <m:t>)</m:t>
        </m:r>
      </m:oMath>
      <w:r>
        <w:t xml:space="preserve">. With</w:t>
      </w:r>
      <w:r>
        <w:t xml:space="preserve"> </w:t>
      </w:r>
      <m:oMath>
        <m:acc>
          <m:accPr>
            <m:chr m:val="‾"/>
            <m:ctrlPr/>
          </m:accPr>
          <m:e>
            <m:r>
              <m:rPr/>
              <m:t>n</m:t>
            </m:r>
          </m:e>
        </m:acc>
        <m:r>
          <m:rPr>
            <m:sty m:val="p"/>
          </m:rPr>
          <m:t>=</m:t>
        </m:r>
        <m:r>
          <m:rPr/>
          <m:t>50</m:t>
        </m:r>
      </m:oMath>
      <w:r>
        <w:t xml:space="preserve">, increasing same-date</w:t>
      </w:r>
      <w:r>
        <w:t xml:space="preserve"> </w:t>
      </w:r>
      <w:r>
        <w:t xml:space="preserve">correlation from</w:t>
      </w:r>
      <w:r>
        <w:t xml:space="preserve"> </w:t>
      </w:r>
      <m:oMath>
        <m:r>
          <m:rPr/>
          <m:t>ρ</m:t>
        </m:r>
        <m:r>
          <m:rPr>
            <m:sty m:val="p"/>
          </m:rPr>
          <m:t>=</m:t>
        </m:r>
        <m:r>
          <m:rPr/>
          <m:t>0.10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/>
          <m:t>ρ</m:t>
        </m:r>
        <m:r>
          <m:rPr>
            <m:sty m:val="p"/>
          </m:rPr>
          <m:t>=</m:t>
        </m:r>
        <m:r>
          <m:rPr/>
          <m:t>0.60</m:t>
        </m:r>
      </m:oMath>
      <w:r>
        <w:t xml:space="preserve"> </w:t>
      </w:r>
      <w:r>
        <w:t xml:space="preserve">raises this factor from</w:t>
      </w:r>
      <w:r>
        <w:t xml:space="preserve"> </w:t>
      </w:r>
      <w:r>
        <w:t xml:space="preserve">2.43 to 5.51. The inflation factor rises mechanically when selected</w:t>
      </w:r>
      <w:r>
        <w:t xml:space="preserve"> </w:t>
      </w:r>
      <w:r>
        <w:t xml:space="preserve">counts and same-date common-shock correlation rise.</w:t>
      </w:r>
      <w:r/>
    </w:p>
    <w:p>
      <w:pPr>
        <w:pStyle w:val="685"/>
        <w:pBdr/>
        <w:spacing/>
        <w:ind/>
        <w:rPr/>
      </w:pPr>
      <w:r>
        <w:t xml:space="preserve">The proof is given in the technical appendix.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Remark 1</w:t>
      </w:r>
      <w:r>
        <w:t xml:space="preserve"> </w:t>
      </w:r>
      <w:r>
        <w:t xml:space="preserve">(Heterogeneous factor covariance).</w:t>
      </w:r>
      <w:r>
        <w:t xml:space="preserve"> </w:t>
      </w:r>
      <w:r>
        <w:t xml:space="preserve"> </w:t>
      </w:r>
      <w:r>
        <w:rPr>
          <w:i/>
          <w:iCs/>
        </w:rPr>
        <w:t xml:space="preserve">The equicorrelated model is a closed-form illustration, not a restriction</w:t>
      </w:r>
      <w:r>
        <w:rPr>
          <w:i/>
          <w:iCs/>
        </w:rPr>
        <w:t xml:space="preserve"> </w:t>
      </w:r>
      <w:r>
        <w:rPr>
          <w:i/>
          <w:iCs/>
        </w:rPr>
        <w:t xml:space="preserve">imposed by the protocol. Let a same-date signed-return vector satisfy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y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μ</m:t>
        </m:r>
        <m:r>
          <m:rPr>
            <m:sty m:val="b"/>
          </m:rPr>
          <m:t>1</m:t>
        </m:r>
        <m:r>
          <m:rPr>
            <m:sty m:val="p"/>
          </m:rPr>
          <m:t>+</m:t>
        </m:r>
        <m:r>
          <m:rPr/>
          <m:t>B</m:t>
        </m:r>
        <m:sSub>
          <m:sSubPr>
            <m:ctrlPr/>
          </m:sSubPr>
          <m:e>
            <m:r>
              <m:rPr/>
              <m:t>f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+</m:t>
        </m:r>
        <m:sSub>
          <m:sSubPr>
            <m:ctrlPr/>
          </m:sSubPr>
          <m:e>
            <m:r>
              <m:rPr/>
              <m:t>u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,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rPr/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contains asset-specific loadings,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f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>
                <m:sty m:val="p"/>
              </m:rPr>
              <m:t>Σ</m:t>
            </m:r>
          </m:e>
          <m:sub>
            <m:r>
              <m:rPr/>
              <m:t>f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u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t</m:t>
            </m:r>
          </m:sub>
        </m:sSub>
      </m:oMath>
      <w:r>
        <w:rPr>
          <w:i/>
          <w:iCs/>
        </w:rPr>
        <w:t xml:space="preserve">. Then the same-date covariance matrix is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Σ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B</m:t>
        </m:r>
        <m:sSub>
          <m:sSubPr>
            <m:ctrlPr/>
          </m:sSubPr>
          <m:e>
            <m:r>
              <m:rPr>
                <m:sty m:val="p"/>
              </m:rPr>
              <m:t>Σ</m:t>
            </m:r>
          </m:e>
          <m:sub>
            <m:r>
              <m:rPr/>
              <m:t>f</m:t>
            </m:r>
          </m:sub>
        </m:sSub>
        <m:sSup>
          <m:sSupPr>
            <m:ctrlPr/>
          </m:sSupPr>
          <m:e>
            <m:r>
              <m:rPr/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,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heterogeneous pairwise correlations whenever loadings or</w:t>
      </w:r>
      <w:r>
        <w:rPr>
          <w:i/>
          <w:iCs/>
        </w:rPr>
        <w:t xml:space="preserve"> </w:t>
      </w:r>
      <w:r>
        <w:rPr>
          <w:i/>
          <w:iCs/>
        </w:rPr>
        <w:t xml:space="preserve">idiosyncratic variances differ. For any displayed portfolio weights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w</m:t>
            </m:r>
          </m:e>
          <m:sub>
            <m:r>
              <m:rPr/>
              <m:t>t</m:t>
            </m:r>
          </m:sub>
        </m:sSub>
      </m:oMath>
      <w:r>
        <w:rPr>
          <w:i/>
          <w:iCs/>
        </w:rPr>
        <w:t xml:space="preserve">, the relevant one-date variance is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w</m:t>
            </m:r>
          </m:e>
          <m:sub>
            <m:sSup>
              <m:sSupPr>
                <m:ctrlPr/>
              </m:sSupPr>
              <m:e>
                <m:r>
                  <m:rPr/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sSubPr>
            <m:ctrlPr/>
          </m:sSubPr>
          <m:e>
            <m:r>
              <m:rPr>
                <m:sty m:val="p"/>
              </m:rPr>
              <m:t>Σ</m:t>
            </m:r>
          </m:e>
          <m:sub>
            <m:r>
              <m:rPr/>
              <m:t>t</m:t>
            </m:r>
          </m:sub>
        </m:sSub>
        <m:sSub>
          <m:sSubPr>
            <m:ctrlPr/>
          </m:sSubPr>
          <m:e>
            <m:r>
              <m:rPr/>
              <m:t>w</m:t>
            </m:r>
          </m:e>
          <m:sub>
            <m:r>
              <m:rPr/>
              <m:t>t</m:t>
            </m:r>
          </m:sub>
        </m:sSub>
      </m:oMath>
      <w:r>
        <w:rPr>
          <w:i/>
          <w:iCs/>
        </w:rPr>
        <w:t xml:space="preserve">, not the</w:t>
      </w:r>
      <w:r>
        <w:rPr>
          <w:i/>
          <w:iCs/>
        </w:rPr>
        <w:t xml:space="preserve"> </w:t>
      </w:r>
      <w:r>
        <w:rPr>
          <w:i/>
          <w:iCs/>
        </w:rPr>
        <w:t xml:space="preserve">row-independent variance. The method avoids estimating the full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Σ</m:t>
            </m:r>
          </m:e>
          <m:sub>
            <m:r>
              <m:rPr/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 a prerequisite for inference by moving the evidence to</w:t>
      </w:r>
      <w:r>
        <w:rPr>
          <w:i/>
          <w:iCs/>
        </w:rPr>
        <w:t xml:space="preserve"> </w:t>
      </w:r>
      <w:r>
        <w:rPr>
          <w:i/>
          <w:iCs/>
        </w:rPr>
        <w:t xml:space="preserve">the realised date-return series and then using HAC or dependent</w:t>
      </w:r>
      <w:r>
        <w:rPr>
          <w:i/>
          <w:iCs/>
        </w:rPr>
        <w:t xml:space="preserve"> </w:t>
      </w:r>
      <w:r>
        <w:rPr>
          <w:i/>
          <w:iCs/>
        </w:rPr>
        <w:t xml:space="preserve">bootstrap inference on that series. The design-effect calculation is therefore best read</w:t>
      </w:r>
      <w:r>
        <w:rPr>
          <w:i/>
          <w:iCs/>
        </w:rPr>
        <w:t xml:space="preserve"> </w:t>
      </w:r>
      <w:r>
        <w:rPr>
          <w:i/>
          <w:iCs/>
        </w:rPr>
        <w:t xml:space="preserve">as the transparent special case that explains why row pooling fails.</w:t>
      </w:r>
      <w:bookmarkEnd w:id="35"/>
      <w:r/>
    </w:p>
    <w:p>
      <w:pPr>
        <w:pStyle w:val="698"/>
        <w:pBdr/>
        <w:spacing/>
        <w:ind/>
        <w:rPr/>
      </w:pPr>
      <w:r/>
      <w:bookmarkStart w:id="37" w:name="Xe74da667a22caa88ad01f455c8923f4c7205d82"/>
      <w:r>
        <w:rPr>
          <w:rStyle w:val="729"/>
        </w:rPr>
        <w:t xml:space="preserve">5.2</w:t>
      </w:r>
      <w:r>
        <w:tab/>
      </w:r>
      <w:r>
        <w:t xml:space="preserve">Unified variance inflation for the Sharpe ratio</w:t>
      </w:r>
      <w:r/>
    </w:p>
    <w:p>
      <w:pPr>
        <w:pStyle w:val="686"/>
        <w:pBdr/>
        <w:spacing/>
        <w:ind/>
        <w:rPr/>
      </w:pPr>
      <w:r>
        <w:t xml:space="preserve">The mean-return design effect is useful but incomplete because the</w:t>
      </w:r>
      <w:r>
        <w:t xml:space="preserve"> </w:t>
      </w:r>
      <w:r>
        <w:t xml:space="preserve">reported performance metric is usually the Sharpe ratio. The Sharpe</w:t>
      </w:r>
      <w:r>
        <w:t xml:space="preserve"> </w:t>
      </w:r>
      <w:r>
        <w:t xml:space="preserve">ratio is a nonlinear functional of the first two moments, so its</w:t>
      </w:r>
      <w:r>
        <w:t xml:space="preserve"> </w:t>
      </w:r>
      <w:r>
        <w:t xml:space="preserve">variance inflation depends on the covariance of</w:t>
      </w:r>
      <w:r>
        <w:t xml:space="preserve"> </w:t>
      </w:r>
      <m:oMath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sSubSupPr>
            <m:alnScr m:val="off"/>
            <m:ctrlPr/>
          </m:sSubSupPr>
          <m:e>
            <m:r>
              <m:rPr/>
              <m:t>R</m:t>
            </m:r>
          </m:e>
          <m:sub>
            <m:r>
              <m:rPr/>
              <m:t>t</m:t>
            </m:r>
          </m:sub>
          <m:sup>
            <m:r>
              <m:rPr/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not only on the variance of</w:t>
      </w:r>
      <w:r>
        <w:t xml:space="preserve"> </w:t>
      </w:r>
      <m:oMath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</m:oMath>
      <w:r>
        <w:t xml:space="preserve">. This motivates the Unified</w:t>
      </w:r>
      <w:r>
        <w:t xml:space="preserve"> </w:t>
      </w:r>
      <w:r>
        <w:t xml:space="preserve">Variance Inflation Factor: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rPr>
                  <m:scr m:val="double-struck"/>
                  <m:sty m:val="p"/>
                </m:rPr>
                <m:t>V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/>
                    <m:t>L</m:t>
                  </m:r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acc>
                    <m:accPr>
                      <m:chr m:val="̂"/>
                      <m:ctrlPr/>
                    </m:acc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acc>
                </m:e>
                <m:sub>
                  <m:r>
                    <m:rPr/>
                    <m:t>p</m:t>
                  </m:r>
                  <m:r>
                    <m:rPr/>
                    <m:t>o</m:t>
                  </m:r>
                  <m:r>
                    <m:rPr/>
                    <m:t>r</m:t>
                  </m:r>
                  <m:r>
                    <m:rPr/>
                    <m:t>t</m:t>
                  </m:r>
                  <m:r>
                    <m:rPr/>
                    <m:t>f</m:t>
                  </m:r>
                  <m:r>
                    <m:rPr/>
                    <m:t>o</m:t>
                  </m:r>
                  <m:r>
                    <m:rPr/>
                    <m:t>l</m:t>
                  </m:r>
                  <m:r>
                    <m:rPr/>
                    <m:t>i</m:t>
                  </m:r>
                  <m:r>
                    <m:rPr/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V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/>
                    <m:t>I</m:t>
                  </m:r>
                  <m:r>
                    <m:rPr/>
                    <m:t>I</m:t>
                  </m:r>
                  <m:r>
                    <m:rPr/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r</m:t>
                  </m:r>
                  <m:r>
                    <m:rPr/>
                    <m:t>o</m:t>
                  </m:r>
                  <m:r>
                    <m:rPr/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acc>
                    <m:accPr>
                      <m:chr m:val="̂"/>
                      <m:ctrlPr/>
                    </m:acc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acc>
                </m:e>
                <m:sub>
                  <m:r>
                    <m:rPr/>
                    <m:t>r</m:t>
                  </m:r>
                  <m:r>
                    <m:rPr/>
                    <m:t>o</m:t>
                  </m:r>
                  <m:r>
                    <m:rPr/>
                    <m:t>w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The numerator is the long-run delta-method variance at the</w:t>
      </w:r>
      <w:r>
        <w:t xml:space="preserve"> </w:t>
      </w:r>
      <w:r>
        <w:t xml:space="preserve">date-return boundary. The denominator is the row-pooled delta-method</w:t>
      </w:r>
      <w:r>
        <w:t xml:space="preserve"> </w:t>
      </w:r>
      <w:r>
        <w:t xml:space="preserve">variance that would be reported if the selected rows were treated as</w:t>
      </w:r>
      <w:r>
        <w:t xml:space="preserve"> </w:t>
      </w:r>
      <w:r>
        <w:t xml:space="preserve">independent observations.</w:t>
      </w:r>
      <w:r>
        <w:t xml:space="preserve"> </w:t>
      </w:r>
      <w:r>
        <w:t xml:space="preserve">Equation (9) is therefore a reported-uncertainty</w:t>
      </w:r>
      <w:r>
        <w:t xml:space="preserve"> </w:t>
      </w:r>
      <w:r>
        <w:t xml:space="preserve">distortion ratio. It compares the uncertainty of the economically</w:t>
      </w:r>
      <w:r>
        <w:t xml:space="preserve"> </w:t>
      </w:r>
      <w:r>
        <w:t xml:space="preserve">relevant date-level Sharpe claim with the uncertainty that would be</w:t>
      </w:r>
      <w:r>
        <w:t xml:space="preserve"> </w:t>
      </w:r>
      <w:r>
        <w:t xml:space="preserve">reported under row-pooled IID analysis. Under exchangeability of the</w:t>
      </w:r>
      <w:r>
        <w:t xml:space="preserve"> </w:t>
      </w:r>
      <w:r>
        <w:t xml:space="preserve">linearized Sharpe influence function, and when the row-pooled and</w:t>
      </w:r>
      <w:r>
        <w:t xml:space="preserve"> </w:t>
      </w:r>
      <w:r>
        <w:t xml:space="preserve">date-level estimators target the same equal-weight Sharpe functional,</w:t>
      </w:r>
      <w:r>
        <w:t xml:space="preserve"> </w:t>
      </w:r>
      <w:r>
        <w:t xml:space="preserve">the cross-sectional part of this variance ratio reduces to the same</w:t>
      </w:r>
      <w:r>
        <w:t xml:space="preserve"> </w:t>
      </w:r>
      <m:oMath>
        <m:r>
          <m:rPr/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‾"/>
            <m:ctrlPr/>
          </m:accPr>
          <m:e>
            <m:r>
              <m:rPr/>
              <m:t>n</m:t>
            </m:r>
          </m:e>
        </m:acc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  <m:r>
          <m:rPr/>
          <m:t>ρ</m:t>
        </m:r>
      </m:oMath>
      <w:r>
        <w:t xml:space="preserve"> </w:t>
      </w:r>
      <w:r>
        <w:t xml:space="preserve">design effect shown above, with</w:t>
      </w:r>
      <w:r>
        <w:t xml:space="preserve"> </w:t>
      </w:r>
      <m:oMath>
        <m:r>
          <m:rPr/>
          <m:t>ρ</m:t>
        </m:r>
      </m:oMath>
      <w:r>
        <w:t xml:space="preserve"> </w:t>
      </w:r>
      <w:r>
        <w:t xml:space="preserve">applied to</w:t>
      </w:r>
      <w:r>
        <w:t xml:space="preserve"> </w:t>
      </w:r>
      <w:r>
        <w:t xml:space="preserve">the linearized Sharpe influence rather than to raw returns. Outside</w:t>
      </w:r>
      <w:r>
        <w:t xml:space="preserve"> </w:t>
      </w:r>
      <w:r>
        <w:t xml:space="preserve">that special case, Sharpe UVIF is target-aware: it measures the gap</w:t>
      </w:r>
      <w:r>
        <w:t xml:space="preserve"> </w:t>
      </w:r>
      <w:r>
        <w:t xml:space="preserve">between the row-level report and the date-level claim that can be</w:t>
      </w:r>
      <w:r>
        <w:t xml:space="preserve"> </w:t>
      </w:r>
      <w:r>
        <w:t xml:space="preserve">interpreted as portfolio-performance evidence.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Assumption 2</w:t>
      </w:r>
      <w:r>
        <w:t xml:space="preserve"> </w:t>
      </w:r>
      <w:r>
        <w:t xml:space="preserve">(Sharpe UVIF regularity).</w:t>
      </w:r>
      <w:r>
        <w:t xml:space="preserve"> </w:t>
      </w:r>
      <w:r>
        <w:t xml:space="preserve"> </w:t>
      </w:r>
      <w:r>
        <w:rPr>
          <w:i/>
          <w:iCs/>
        </w:rPr>
        <w:t xml:space="preserve">The date-level process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,</m:t>
        </m:r>
        <m:sSubSup>
          <m:sSubSupPr>
            <m:alnScr m:val="off"/>
            <m:ctrlPr/>
          </m:sSubSupPr>
          <m:e>
            <m:r>
              <m:rPr/>
              <m:t>R</m:t>
            </m:r>
          </m:e>
          <m:sub>
            <m:r>
              <m:rPr/>
              <m:t>t</m:t>
            </m:r>
          </m:sub>
          <m:sup>
            <m:r>
              <m:rPr/>
              <m:t>2</m:t>
            </m:r>
          </m:sup>
        </m:sSubSup>
        <m:sSup>
          <m:sSupPr>
            <m:ctrlPr/>
          </m:sSupPr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stationary with finite</w:t>
      </w:r>
      <w:r>
        <w:rPr>
          <w:i/>
          <w:iCs/>
        </w:rPr>
        <w:t xml:space="preserve"> </w:t>
      </w:r>
      <m:oMath>
        <m:r>
          <m:rPr/>
          <m:t>4</m:t>
        </m:r>
        <m:r>
          <m:rPr>
            <m:sty m:val="p"/>
          </m:rPr>
          <m:t>+</m:t>
        </m:r>
        <m:r>
          <m:rPr/>
          <m:t>δ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moments,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v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m</m:t>
            </m:r>
          </m:e>
          <m:sub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R</m:t>
            </m:r>
          </m:sub>
        </m:sSub>
        <m:r>
          <m:rPr>
            <m:sty m:val="p"/>
          </m:rPr>
          <m:t>−</m:t>
        </m:r>
        <m:sSubSup>
          <m:sSubSupPr>
            <m:alnScr m:val="off"/>
            <m:ctrlPr/>
          </m:sSubSupPr>
          <m:e>
            <m:r>
              <m:rPr/>
              <m:t>μ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≥</m:t>
        </m:r>
        <m:r>
          <m:rPr/>
          <m:t>η</m:t>
        </m:r>
        <m:r>
          <m:rPr>
            <m:sty m:val="p"/>
          </m:rPr>
          <m:t>&gt;</m:t>
        </m:r>
        <m:r>
          <m:rPr/>
          <m:t>0</m:t>
        </m:r>
      </m:oMath>
      <w:r>
        <w:rPr>
          <w:i/>
          <w:iCs/>
        </w:rPr>
        <w:t xml:space="preserve">, and finite</w:t>
      </w:r>
      <w:r>
        <w:rPr>
          <w:i/>
          <w:iCs/>
        </w:rPr>
        <w:t xml:space="preserve"> </w:t>
      </w:r>
      <w:r>
        <w:rPr>
          <w:i/>
          <w:iCs/>
        </w:rPr>
        <w:t xml:space="preserve">long-run covariance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Ω</m:t>
            </m:r>
          </m:e>
          <m:sub>
            <m:r>
              <m:rPr/>
              <m:t>R</m:t>
            </m:r>
          </m:sub>
        </m:sSub>
      </m:oMath>
      <w:r>
        <w:rPr>
          <w:i/>
          <w:iCs/>
        </w:rPr>
        <w:t xml:space="preserve">. The aggregation rule is fixed before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evaluation. The displayed decomposition uses a constant selected-count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approximation</w:t>
      </w:r>
      <w:r>
        <w:rPr>
          <w:i/>
          <w:iCs/>
        </w:rPr>
        <w:t xml:space="preserve"> </w:t>
      </w:r>
      <m:oMath>
        <m:acc>
          <m:accPr>
            <m:chr m:val="‾"/>
            <m:ctrlPr/>
          </m:accPr>
          <m:e>
            <m:r>
              <m:rPr/>
              <m:t>n</m:t>
            </m:r>
          </m:e>
        </m:acc>
      </m:oMath>
      <w:r>
        <w:rPr>
          <w:i/>
          <w:iCs/>
        </w:rPr>
        <w:t xml:space="preserve">, and the row-pooled IID denominator is a</w:t>
      </w:r>
      <w:r>
        <w:rPr>
          <w:i/>
          <w:iCs/>
        </w:rPr>
        <w:t xml:space="preserve"> </w:t>
      </w:r>
      <w:r>
        <w:rPr>
          <w:i/>
          <w:iCs/>
        </w:rPr>
        <w:t xml:space="preserve">counterfactual reporting benchmark rather than the maintained sampling</w:t>
      </w:r>
      <w:r>
        <w:rPr>
          <w:i/>
          <w:iCs/>
        </w:rPr>
        <w:t xml:space="preserve"> </w:t>
      </w:r>
      <w:r>
        <w:rPr>
          <w:i/>
          <w:iCs/>
        </w:rPr>
        <w:t xml:space="preserve">law.</w:t>
      </w:r>
      <w:r/>
    </w:p>
    <w:p>
      <w:pPr>
        <w:pStyle w:val="685"/>
        <w:pBdr/>
        <w:spacing/>
        <w:ind/>
        <w:rPr/>
      </w:pPr>
      <w:r/>
      <w:bookmarkStart w:id="36" w:name="prop:sharpe-uvif-decomposition"/>
      <w:r>
        <w:rPr>
          <w:b/>
          <w:bCs/>
        </w:rPr>
        <w:t xml:space="preserve">Proposition 1</w:t>
      </w:r>
      <w:r>
        <w:t xml:space="preserve"> </w:t>
      </w:r>
      <w:r>
        <w:t xml:space="preserve">(Sharpe UVIF decomposition).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the date-level portfolio excess return and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,</m:t>
        </m:r>
        <m:sSubSup>
          <m:sSubSupPr>
            <m:alnScr m:val="off"/>
            <m:ctrlPr/>
          </m:sSubSupPr>
          <m:e>
            <m:r>
              <m:rPr/>
              <m:t>R</m:t>
            </m:r>
          </m:e>
          <m:sub>
            <m:r>
              <m:rPr/>
              <m:t>t</m:t>
            </m:r>
          </m:sub>
          <m:sup>
            <m:r>
              <m:rPr/>
              <m:t>2</m:t>
            </m:r>
          </m:sup>
        </m:sSubSup>
        <m:sSup>
          <m:sSupPr>
            <m:ctrlPr/>
          </m:sSupPr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i/>
          <w:iCs/>
        </w:rPr>
        <w:t xml:space="preserve">. Define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θ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μ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m</m:t>
            </m:r>
          </m:e>
          <m:sub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R</m:t>
            </m:r>
          </m:sub>
        </m:sSub>
        <m:sSup>
          <m:sSupPr>
            <m:ctrlPr/>
          </m:sSupPr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]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v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m</m:t>
            </m:r>
          </m:e>
          <m:sub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R</m:t>
            </m:r>
          </m:sub>
        </m:sSub>
        <m:r>
          <m:rPr>
            <m:sty m:val="p"/>
          </m:rPr>
          <m:t>−</m:t>
        </m:r>
        <m:sSubSup>
          <m:sSubSupPr>
            <m:alnScr m:val="off"/>
            <m:ctrlPr/>
          </m:sSubSupPr>
          <m:e>
            <m:r>
              <m:rPr/>
              <m:t>μ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&gt;</m:t>
        </m:r>
        <m:r>
          <m:rPr/>
          <m:t>0</m:t>
        </m:r>
      </m:oMath>
      <w:r>
        <w:rPr>
          <w:i/>
          <w:iCs/>
        </w:rPr>
        <w:t xml:space="preserve">. For source-specific annualization</w:t>
      </w:r>
      <w:r>
        <w:rPr>
          <w:i/>
          <w:iCs/>
        </w:rPr>
        <w:t xml:space="preserve"> </w:t>
      </w:r>
      <w:r>
        <w:rPr>
          <w:i/>
          <w:iCs/>
        </w:rPr>
        <w:t xml:space="preserve">factor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f</m:t>
            </m:r>
          </m:sub>
        </m:sSub>
      </m:oMath>
      <w:r>
        <w:rPr>
          <w:i/>
          <w:iCs/>
        </w:rPr>
        <w:t xml:space="preserve">, define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r>
          <m:rPr/>
          <m:t>f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θ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sSupPr>
            <m:ctrlPr/>
          </m:sSupPr>
          <m:e>
            <m:d>
              <m:dPr>
                <m:begChr m:val="("/>
                <m:endChr m:val=")"/>
                <m:sepChr m:val=""/>
                <m:ctrlPr/>
              </m:dPr>
              <m:e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sSub>
                      <m:sSubPr>
                        <m:ctrlPr/>
                      </m:sSubPr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f</m:t>
                        </m:r>
                      </m:sub>
                    </m:sSub>
                  </m:e>
                </m:rad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R</m:t>
                        </m:r>
                      </m:sub>
                    </m:sSub>
                  </m:num>
                  <m:den>
                    <m:sSubSup>
                      <m:sSubSupPr>
                        <m:alnScr m:val="off"/>
                        <m:ctrlPr/>
                      </m:sSubSupPr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  <m:sup>
                        <m:r>
                          <m:rPr/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f>
                  <m:fPr>
                    <m:ctrlPr/>
                  </m:fPr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sSub>
                      <m:sSubPr>
                        <m:ctrlPr/>
                      </m:sSubPr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f</m:t>
                        </m:r>
                      </m:sub>
                    </m:sSub>
                  </m:e>
                </m:rad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/>
                          <m:t>μ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</m:num>
                  <m:den>
                    <m:sSubSup>
                      <m:sSubSupPr>
                        <m:alnScr m:val="off"/>
                        <m:ctrlPr/>
                      </m:sSubSupPr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  <m:sup>
                        <m:r>
                          <m:rPr/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/>
                          <m:t>2</m:t>
                        </m:r>
                      </m:sup>
                    </m:sSubSup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.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Sup>
          <m:sSubSupPr>
            <m:alnScr m:val="off"/>
            <m:ctrlPr/>
          </m:sSubSupPr>
          <m:e>
            <m:r>
              <m:rPr>
                <m:sty m:val="p"/>
              </m:rPr>
              <m:t>Γ</m:t>
            </m:r>
          </m:e>
          <m:sub>
            <m:r>
              <m:rPr/>
              <m:t>k</m:t>
            </m:r>
          </m:sub>
          <m:sup>
            <m:r>
              <m:rPr/>
              <m:t>R</m:t>
            </m:r>
          </m:sup>
        </m:sSubSup>
        <m:r>
          <m:rPr>
            <m:sty m:val="p"/>
          </m:rPr>
          <m:t>=</m:t>
        </m:r>
        <m:r>
          <m:rPr>
            <m:scr m:val="double-struck"/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G</m:t>
            </m:r>
          </m:e>
          <m:sub>
            <m:r>
              <m:rPr/>
              <m:t>t</m:t>
            </m:r>
            <m:r>
              <m:rPr>
                <m:sty m:val="p"/>
              </m:rPr>
              <m:t>−</m:t>
            </m:r>
            <m:r>
              <m:rPr/>
              <m:t>k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Ω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Sup>
          <m:sSubSupPr>
            <m:alnScr m:val="off"/>
            <m:ctrlPr/>
          </m:sSubSupPr>
          <m:e>
            <m:r>
              <m:rPr>
                <m:sty m:val="p"/>
              </m:rPr>
              <m:t>Γ</m:t>
            </m:r>
          </m:e>
          <m:sub>
            <m:r>
              <m:rPr/>
              <m:t>0</m:t>
            </m:r>
          </m:sub>
          <m:sup>
            <m:r>
              <m:rPr/>
              <m:t>R</m:t>
            </m:r>
          </m:sup>
        </m:sSubSup>
        <m:r>
          <m:rPr>
            <m:sty m:val="p"/>
          </m:rPr>
          <m:t>+</m:t>
        </m:r>
        <m:nary>
          <m:naryPr>
            <m:chr m:val="∑"/>
            <m:grow m:val="off"/>
            <m:limLoc m:val="undOvr"/>
            <m:supHide m:val="on"/>
            <m:ctrlPr/>
          </m:naryPr>
          <m:sub>
            <m:r>
              <m:rPr/>
              <m:t>k</m:t>
            </m:r>
            <m:r>
              <m:rPr>
                <m:sty m:val="p"/>
              </m:rPr>
              <m:t>≥</m:t>
            </m:r>
            <m:r>
              <m:rPr/>
              <m:t>1</m:t>
            </m:r>
          </m:sub>
          <m:sup/>
          <m:e>
            <m:r>
              <m:rPr>
                <m:sty m:val="p"/>
              </m:rPr>
              <m:t>(</m:t>
            </m:r>
          </m:e>
        </m:nary>
        <m:sSubSup>
          <m:sSubSupPr>
            <m:alnScr m:val="off"/>
            <m:ctrlPr/>
          </m:sSubSupPr>
          <m:e>
            <m:r>
              <m:rPr>
                <m:sty m:val="p"/>
              </m:rPr>
              <m:t>Γ</m:t>
            </m:r>
          </m:e>
          <m:sub>
            <m:r>
              <m:rPr/>
              <m:t>k</m:t>
            </m:r>
          </m:sub>
          <m:sup>
            <m:r>
              <m:rPr/>
              <m:t>R</m:t>
            </m:r>
          </m:sup>
        </m:sSubSup>
        <m:r>
          <m:rPr>
            <m:sty m:val="p"/>
          </m:rPr>
          <m:t>+</m:t>
        </m:r>
        <m:sSubSup>
          <m:sSubSupPr>
            <m:alnScr m:val="off"/>
            <m:ctrlPr/>
          </m:sSubSupPr>
          <m:e>
            <m:r>
              <m:rPr>
                <m:sty m:val="p"/>
              </m:rPr>
              <m:t>Γ</m:t>
            </m:r>
          </m:e>
          <m:sub>
            <m:r>
              <m:rPr/>
              <m:t>k</m:t>
            </m:r>
          </m:sub>
          <m:sup>
            <m:r>
              <m:rPr/>
              <m:t>R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For the selected row return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Y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rPr>
          <w:i/>
          <w:iCs/>
        </w:rPr>
        <w:t xml:space="preserve">, let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H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Y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,</m:t>
        </m:r>
        <m:sSubSup>
          <m:sSubSupPr>
            <m:alnScr m:val="off"/>
            <m:ctrlPr/>
          </m:sSubSupPr>
          <m:e>
            <m:r>
              <m:rPr/>
              <m:t>Y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  <m:sup>
            <m:r>
              <m:rPr/>
              <m:t>2</m:t>
            </m:r>
          </m:sup>
        </m:sSubSup>
        <m:sSup>
          <m:sSupPr>
            <m:ctrlPr/>
          </m:sSupPr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θ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sSubPr>
            <m:ctrlPr/>
          </m:sSubPr>
          <m:e>
            <m:r>
              <m:rPr/>
              <m:t>H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]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r>
          <m:rPr/>
          <m:t>f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θ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Ψ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H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. With a constant selected count</w:t>
      </w:r>
      <w:r>
        <w:rPr>
          <w:i/>
          <w:iCs/>
        </w:rPr>
        <w:t xml:space="preserve"> </w:t>
      </w:r>
      <m:oMath>
        <m:acc>
          <m:accPr>
            <m:chr m:val="‾"/>
            <m:ctrlPr/>
          </m:accPr>
          <m:e>
            <m:r>
              <m:rPr/>
              <m:t>n</m:t>
            </m:r>
          </m:e>
        </m:acc>
      </m:oMath>
      <w:r>
        <w:rPr>
          <w:i/>
          <w:iCs/>
        </w:rPr>
        <w:t xml:space="preserve">, the first-order Sharpe variance inflation relative to a</w:t>
      </w:r>
      <w:r>
        <w:rPr>
          <w:i/>
          <w:iCs/>
        </w:rPr>
        <w:t xml:space="preserve"> </w:t>
      </w:r>
      <w:r>
        <w:rPr>
          <w:i/>
          <w:iCs/>
        </w:rPr>
        <w:t xml:space="preserve">row-pooled IID report is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U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limLow>
          <m:limLowPr>
            <m:ctrlPr/>
          </m:limLowPr>
          <m:e>
            <m:limLow>
              <m:limLowPr>
                <m:ctrlPr/>
              </m:limLowPr>
              <m:e>
                <m:f>
                  <m:fPr>
                    <m:ctrlPr/>
                  </m:fPr>
                  <m:num>
                    <m:acc>
                      <m:accPr>
                        <m:chr m:val="‾"/>
                        <m:ctrlPr/>
                      </m:accPr>
                      <m:e>
                        <m:r>
                          <m:rPr/>
                          <m:t>n</m:t>
                        </m:r>
                      </m:e>
                    </m:acc>
                    <m:r>
                      <m:rPr/>
                      <m:t> 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sSup>
                          <m:sSupPr>
                            <m:ctrlPr/>
                          </m:sSupPr>
                          <m:e>
                            <m:r>
                              <m:rPr/>
                              <m:t>R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  <m:sSubSup>
                      <m:sSubSupPr>
                        <m:alnScr m:val="off"/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Γ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  <m:sup>
                        <m:r>
                          <m:rPr/>
                          <m:t>R</m:t>
                        </m:r>
                      </m:sup>
                    </m:sSubSup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sSup>
                          <m:sSupPr>
                            <m:ctrlPr/>
                          </m:sSupPr>
                          <m:e>
                            <m:r>
                              <m:rPr/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Ψ</m:t>
                        </m:r>
                      </m:e>
                      <m:sub>
                        <m:r>
                          <m:rPr/>
                          <m:t>Y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Y</m:t>
                        </m:r>
                      </m:sub>
                    </m:sSub>
                  </m:den>
                </m:f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 m:val="on"/>
                <m:sty m:val="p"/>
              </m:rPr>
              <m:t>cross-sectional UVIF component</m:t>
            </m:r>
          </m:lim>
        </m:limLow>
        <m:r>
          <m:rPr>
            <m:sty m:val="p"/>
          </m:rPr>
          <m:t>×</m:t>
        </m:r>
        <m:limLow>
          <m:limLowPr>
            <m:ctrlPr/>
          </m:limLowPr>
          <m:e>
            <m:limLow>
              <m:limLowPr>
                <m:ctrlPr/>
              </m:limLowPr>
              <m:e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sSup>
                          <m:sSupPr>
                            <m:ctrlPr/>
                          </m:sSupPr>
                          <m:e>
                            <m:r>
                              <m:rPr/>
                              <m:t>R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Ω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sSup>
                          <m:sSupPr>
                            <m:ctrlPr/>
                          </m:sSupPr>
                          <m:e>
                            <m:r>
                              <m:rPr/>
                              <m:t>R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  <m:sSubSup>
                      <m:sSubSupPr>
                        <m:alnScr m:val="off"/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Γ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  <m:sup>
                        <m:r>
                          <m:rPr/>
                          <m:t>R</m:t>
                        </m:r>
                      </m:sup>
                    </m:sSubSup>
                    <m:sSub>
                      <m:sSubPr>
                        <m:ctrlPr/>
                      </m:sSubPr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R</m:t>
                        </m:r>
                      </m:sub>
                    </m:sSub>
                  </m:den>
                </m:f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 m:val="on"/>
                <m:sty m:val="p"/>
              </m:rPr>
              <m:t>Sharpe long-run serial factor</m:t>
            </m:r>
          </m:lim>
        </m:limLow>
        <m:r>
          <m:rPr>
            <m:sty m:val="p"/>
          </m:rPr>
          <m:t>.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Moreover, the serial factor can be written as</w:t>
      </w:r>
      <w:r>
        <w:rPr>
          <w:i/>
          <w:iCs/>
        </w:rPr>
        <w:t xml:space="preserve"> </w:t>
      </w:r>
      <m:oMath>
        <m:r>
          <m:rPr/>
          <m:t>1</m:t>
        </m:r>
        <m:r>
          <m:rPr>
            <m:sty m:val="p"/>
          </m:rPr>
          <m:t>+</m:t>
        </m:r>
        <m:r>
          <m:rPr/>
          <m:t>2</m:t>
        </m:r>
        <m:nary>
          <m:naryPr>
            <m:chr m:val="∑"/>
            <m:grow m:val="off"/>
            <m:limLoc m:val="undOvr"/>
            <m:ctrlPr/>
          </m:naryPr>
          <m:sub>
            <m:r>
              <m:rPr/>
              <m:t>k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Sup>
              <m:sSubSupPr>
                <m:alnScr m:val="off"/>
                <m:ctrlPr/>
              </m:sSubSupPr>
              <m:e>
                <m:r>
                  <m:rPr/>
                  <m:t>ψ</m:t>
                </m:r>
              </m:e>
              <m:sub>
                <m:r>
                  <m:rPr/>
                  <m:t>k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R</m:t>
                </m:r>
              </m:sup>
            </m:sSubSup>
          </m:e>
        </m:nary>
        <m:r>
          <m:rPr>
            <m:sty m:val="p"/>
          </m:rPr>
          <m:t>,</m:t>
        </m:r>
        <m:r>
          <m:rPr/>
          <m:t>  </m:t>
        </m:r>
        <m:sSubSup>
          <m:sSubSupPr>
            <m:alnScr m:val="off"/>
            <m:ctrlPr/>
          </m:sSubSupPr>
          <m:e>
            <m:r>
              <m:rPr/>
              <m:t>ψ</m:t>
            </m:r>
          </m:e>
          <m:sub>
            <m:r>
              <m:rPr/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sup>
        </m:sSubSup>
        <m:r>
          <m:rPr>
            <m:sty m:val="p"/>
          </m:rPr>
          <m:t>=</m:t>
        </m:r>
        <m:f>
          <m:fPr>
            <m:ctrlPr/>
          </m:fPr>
          <m:num>
            <m:sSub>
              <m:sSubPr>
                <m:ctrlPr/>
              </m:sSubPr>
              <m:e>
                <m:r>
                  <m:rPr/>
                  <m:t>d</m:t>
                </m:r>
              </m:e>
              <m:sub>
                <m:sSup>
                  <m:sSupPr>
                    <m:ctrlPr/>
                  </m:sSupPr>
                  <m:e>
                    <m:r>
                      <m:rPr/>
                      <m:t>R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  <m:sSubSup>
              <m:sSubSupPr>
                <m:alnScr m:val="off"/>
                <m:ctrlPr/>
              </m:sSubSupPr>
              <m:e>
                <m:r>
                  <m:rPr>
                    <m:sty m:val="p"/>
                  </m:rPr>
                  <m:t>Γ</m:t>
                </m:r>
              </m:e>
              <m:sub>
                <m:r>
                  <m:rPr/>
                  <m:t>k</m:t>
                </m:r>
              </m:sub>
              <m:sup>
                <m:r>
                  <m:rPr/>
                  <m:t>R</m:t>
                </m:r>
              </m:sup>
            </m:sSubSup>
            <m:sSub>
              <m:sSubPr>
                <m:ctrlPr/>
              </m:sSubPr>
              <m:e>
                <m:r>
                  <m:rPr/>
                  <m:t>d</m:t>
                </m:r>
              </m:e>
              <m:sub>
                <m:r>
                  <m:rPr/>
                  <m:t>R</m:t>
                </m:r>
              </m:sub>
            </m:sSub>
          </m:num>
          <m:den>
            <m:sSub>
              <m:sSubPr>
                <m:ctrlPr/>
              </m:sSubPr>
              <m:e>
                <m:r>
                  <m:rPr/>
                  <m:t>d</m:t>
                </m:r>
              </m:e>
              <m:sub>
                <m:sSup>
                  <m:sSupPr>
                    <m:ctrlPr/>
                  </m:sSupPr>
                  <m:e>
                    <m:r>
                      <m:rPr/>
                      <m:t>R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  <m:sSubSup>
              <m:sSubSupPr>
                <m:alnScr m:val="off"/>
                <m:ctrlPr/>
              </m:sSubSupPr>
              <m:e>
                <m:r>
                  <m:rPr>
                    <m:sty m:val="p"/>
                  </m:rPr>
                  <m:t>Γ</m:t>
                </m:r>
              </m:e>
              <m:sub>
                <m:r>
                  <m:rPr/>
                  <m:t>0</m:t>
                </m:r>
              </m:sub>
              <m:sup>
                <m:r>
                  <m:rPr/>
                  <m:t>R</m:t>
                </m:r>
              </m:sup>
            </m:sSubSup>
            <m:sSub>
              <m:sSubPr>
                <m:ctrlPr/>
              </m:sSubPr>
              <m:e>
                <m:r>
                  <m:rPr/>
                  <m:t>d</m:t>
                </m:r>
              </m:e>
              <m:sub>
                <m:r>
                  <m:rPr/>
                  <m:t>R</m:t>
                </m:r>
              </m:sub>
            </m:sSub>
          </m:den>
        </m:f>
        <m:r>
          <m:rPr>
            <m:sty m:val="p"/>
          </m:rPr>
          <m:t>,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the scalar long-run variance entering the numerator is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d</m:t>
            </m:r>
          </m:e>
          <m:sub>
            <m:sSup>
              <m:sSupPr>
                <m:ctrlPr/>
              </m:sSupPr>
              <m:e>
                <m:r>
                  <m:rPr/>
                  <m:t>R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sSubPr>
            <m:ctrlPr/>
          </m:sSubPr>
          <m:e>
            <m:r>
              <m:rPr>
                <m:sty m:val="p"/>
              </m:rPr>
              <m:t>Ω</m:t>
            </m:r>
          </m:e>
          <m:sub>
            <m:r>
              <m:rPr/>
              <m:t>R</m:t>
            </m:r>
          </m:sub>
        </m:sSub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f>
          <m:fPr>
            <m:ctrlPr/>
          </m:fPr>
          <m:num>
            <m:sSub>
              <m:sSubPr>
                <m:ctrlPr/>
              </m:sSubPr>
              <m:e>
                <m:r>
                  <m:rPr/>
                  <m:t>A</m:t>
                </m:r>
              </m:e>
              <m:sub>
                <m:r>
                  <m:rPr/>
                  <m:t>f</m:t>
                </m:r>
              </m:sub>
            </m:sSub>
          </m:num>
          <m:den>
            <m:sSubSup>
              <m:sSubSupPr>
                <m:alnScr m:val="off"/>
                <m:ctrlPr/>
              </m:sSubSupPr>
              <m:e>
                <m:r>
                  <m:rPr/>
                  <m:t>v</m:t>
                </m:r>
              </m:e>
              <m:sub>
                <m:r>
                  <m:rPr/>
                  <m:t>R</m:t>
                </m:r>
              </m:sub>
              <m:sup>
                <m:r>
                  <m:rPr/>
                  <m:t>3</m:t>
                </m:r>
              </m:sup>
            </m:sSubSup>
          </m:den>
        </m:f>
        <m:d>
          <m:dPr>
            <m:begChr m:val="["/>
            <m:endChr m:val="]"/>
            <m:sepChr m:val=""/>
            <m:ctrlPr/>
          </m:dPr>
          <m:e>
            <m:sSubSup>
              <m:sSubSupPr>
                <m:alnScr m:val="off"/>
                <m:ctrlPr/>
              </m:sSubSupPr>
              <m:e>
                <m:r>
                  <m:rPr/>
                  <m:t>m</m:t>
                </m:r>
              </m:e>
              <m:sub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R</m:t>
                </m:r>
              </m:sub>
              <m:sup>
                <m:r>
                  <m:rPr/>
                  <m:t>2</m:t>
                </m:r>
              </m:sup>
            </m:sSubSup>
            <m:sSub>
              <m:sSubPr>
                <m:ctrlPr/>
              </m:sSubPr>
              <m:e>
                <m:r>
                  <m:rPr>
                    <m:sty m:val="p"/>
                  </m:rPr>
                  <m:t>Ω</m:t>
                </m:r>
              </m:e>
              <m:sub>
                <m:r>
                  <m:rPr/>
                  <m:t>11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rPr/>
                      <m:t>μ</m:t>
                    </m:r>
                  </m:e>
                  <m:sub>
                    <m:r>
                      <m:rPr/>
                      <m:t>R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R</m:t>
                    </m:r>
                  </m:sub>
                </m:sSub>
              </m:num>
              <m:den>
                <m:r>
                  <m:rPr/>
                  <m:t>2</m:t>
                </m:r>
              </m:den>
            </m:f>
            <m:r>
              <m:rPr>
                <m:sty m:val="p"/>
              </m:rPr>
              <m:t>(</m:t>
            </m:r>
            <m:sSub>
              <m:sSubPr>
                <m:ctrlPr/>
              </m:sSubPr>
              <m:e>
                <m:r>
                  <m:rPr>
                    <m:sty m:val="p"/>
                  </m:rPr>
                  <m:t>Ω</m:t>
                </m:r>
              </m:e>
              <m:sub>
                <m:r>
                  <m:rPr/>
                  <m:t>12</m:t>
                </m:r>
              </m:sub>
            </m:sSub>
            <m:r>
              <m:rPr>
                <m:sty m:val="p"/>
              </m:rPr>
              <m:t>+</m:t>
            </m:r>
            <m:sSub>
              <m:sSubPr>
                <m:ctrlPr/>
              </m:sSubPr>
              <m:e>
                <m:r>
                  <m:rPr>
                    <m:sty m:val="p"/>
                  </m:rPr>
                  <m:t>Ω</m:t>
                </m:r>
              </m:e>
              <m:sub>
                <m:r>
                  <m:rPr/>
                  <m:t>21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ctrlPr/>
              </m:fPr>
              <m:num>
                <m:sSubSup>
                  <m:sSubSupPr>
                    <m:alnScr m:val="off"/>
                    <m:ctrlPr/>
                  </m:sSubSupPr>
                  <m:e>
                    <m:r>
                      <m:rPr/>
                      <m:t>μ</m:t>
                    </m:r>
                  </m:e>
                  <m:sub>
                    <m:r>
                      <m:rPr/>
                      <m:t>R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num>
              <m:den>
                <m:r>
                  <m:rPr/>
                  <m:t>4</m:t>
                </m:r>
              </m:den>
            </m:f>
            <m:sSub>
              <m:sSubPr>
                <m:ctrlPr/>
              </m:sSubPr>
              <m:e>
                <m:r>
                  <m:rPr>
                    <m:sty m:val="p"/>
                  </m:rPr>
                  <m:t>Ω</m:t>
                </m:r>
              </m:e>
              <m:sub>
                <m:r>
                  <m:rPr/>
                  <m:t>22</m:t>
                </m:r>
              </m:sub>
            </m:sSub>
          </m:e>
        </m:d>
        <m:r>
          <m:rPr>
            <m:sty m:val="p"/>
          </m:rPr>
          <m:t>,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Ω</m:t>
            </m:r>
          </m:e>
          <m:sub>
            <m:r>
              <m:rPr/>
              <m:t>a</m:t>
            </m:r>
            <m:r>
              <m:rPr/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denotes the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element of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>
                <m:sty m:val="p"/>
              </m:rPr>
              <m:t>Ω</m:t>
            </m:r>
          </m:e>
          <m:sub>
            <m:r>
              <m:rPr/>
              <m:t>R</m:t>
            </m:r>
          </m:sub>
        </m:sSub>
      </m:oMath>
      <w:r>
        <w:rPr>
          <w:i/>
          <w:iCs/>
        </w:rPr>
        <w:t xml:space="preserve">.</w:t>
      </w:r>
      <w:bookmarkEnd w:id="36"/>
      <w:r/>
    </w:p>
    <w:p>
      <w:pPr>
        <w:pStyle w:val="686"/>
        <w:pBdr/>
        <w:spacing/>
        <w:ind/>
        <w:rPr/>
      </w:pPr>
      <w:r>
        <w:t xml:space="preserve">The proof is given in the technical appendix.</w:t>
      </w:r>
      <w:bookmarkEnd w:id="37"/>
      <w:r/>
    </w:p>
    <w:p>
      <w:pPr>
        <w:pStyle w:val="698"/>
        <w:pBdr/>
        <w:spacing/>
        <w:ind/>
        <w:rPr/>
      </w:pPr>
      <w:r/>
      <w:bookmarkStart w:id="39" w:name="X556a5cd384b45693fd8a0e142951baaf625e596"/>
      <w:r>
        <w:rPr>
          <w:rStyle w:val="729"/>
        </w:rPr>
        <w:t xml:space="preserve">5.3</w:t>
      </w:r>
      <w:r>
        <w:tab/>
      </w:r>
      <w:r>
        <w:t xml:space="preserve">What Proposition 1 does and does not identify</w:t>
      </w:r>
      <w:r/>
    </w:p>
    <w:p>
      <w:pPr>
        <w:pStyle w:val="686"/>
        <w:pBdr/>
        <w:spacing/>
        <w:ind/>
        <w:rPr/>
      </w:pPr>
      <w:r>
        <w:t xml:space="preserve">The decomposition is a first-order variance calculation for a fixed</w:t>
      </w:r>
      <w:r>
        <w:t xml:space="preserve"> </w:t>
      </w:r>
      <w:r>
        <w:t xml:space="preserve">aggregation rule and a constant selected-count approximation. It</w:t>
      </w:r>
      <w:r>
        <w:t xml:space="preserve"> </w:t>
      </w:r>
      <w:r>
        <w:t xml:space="preserve">identifies how a row-pooled IID Sharpe uncertainty report changes when</w:t>
      </w:r>
      <w:r>
        <w:t xml:space="preserve"> </w:t>
      </w:r>
      <w:r>
        <w:t xml:space="preserve">the claim is moved to the date-return boundary and when the date series</w:t>
      </w:r>
      <w:r>
        <w:t xml:space="preserve"> </w:t>
      </w:r>
      <w:r>
        <w:t xml:space="preserve">has long-run serial covariance in</w:t>
      </w:r>
      <w:r>
        <w:t xml:space="preserve"> </w:t>
      </w:r>
      <m:oMath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,</m:t>
        </m:r>
        <m:sSubSup>
          <m:sSubSupPr>
            <m:alnScr m:val="off"/>
            <m:ctrlPr/>
          </m:sSubSupPr>
          <m:e>
            <m:r>
              <m:rPr/>
              <m:t>R</m:t>
            </m:r>
          </m:e>
          <m:sub>
            <m:r>
              <m:rPr/>
              <m:t>t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</m:oMath>
      <w:r>
        <w:t xml:space="preserve">. It does not identify</w:t>
      </w:r>
      <w:r>
        <w:t xml:space="preserve"> </w:t>
      </w:r>
      <w:r>
        <w:t xml:space="preserve">a causal trading edge, does not prove that row and date Sharpe</w:t>
      </w:r>
      <w:r>
        <w:t xml:space="preserve"> </w:t>
      </w:r>
      <w:r>
        <w:t xml:space="preserve">functionals are equal outside the stated exchangeability conditions, and</w:t>
      </w:r>
      <w:r>
        <w:t xml:space="preserve"> </w:t>
      </w:r>
      <w:r>
        <w:t xml:space="preserve">does not replace the confirmatory date-level HAC, dependent-bootstrap,</w:t>
      </w:r>
      <w:r>
        <w:t xml:space="preserve"> </w:t>
      </w:r>
      <w:r>
        <w:t xml:space="preserve">researcher-menu, placebo, factor-alpha, and cost diagnostics. The</w:t>
      </w:r>
      <w:r>
        <w:t xml:space="preserve"> </w:t>
      </w:r>
      <w:r>
        <w:t xml:space="preserve">empirical role of Sharpe UVIF is therefore diagnostic: it explains the</w:t>
      </w:r>
      <w:r>
        <w:t xml:space="preserve"> </w:t>
      </w:r>
      <w:r>
        <w:t xml:space="preserve">sampling-boundary distortion that the reported diagnostics then evaluate</w:t>
      </w:r>
      <w:r>
        <w:t xml:space="preserve"> </w:t>
      </w:r>
      <w:r>
        <w:t xml:space="preserve">with date-level inferential procedures. The sample UVIF reported in</w:t>
      </w:r>
      <w:r>
        <w:t xml:space="preserve"> </w:t>
      </w:r>
      <w:r>
        <w:t xml:space="preserve">the empirical section is a plug-in diagnostic for this population ratio;</w:t>
      </w:r>
      <w:r>
        <w:t xml:space="preserve"> </w:t>
      </w:r>
      <w:r>
        <w:t xml:space="preserve">confirmatory rejection decisions do not depend on estimating UVIF</w:t>
      </w:r>
      <w:r>
        <w:t xml:space="preserve"> </w:t>
      </w:r>
      <w:r>
        <w:t xml:space="preserve">consistently.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Remark 2</w:t>
      </w:r>
      <w:r>
        <w:t xml:space="preserve"> </w:t>
      </w:r>
      <w:r>
        <w:t xml:space="preserve">(Connection to Moulton-like design effects).</w:t>
      </w:r>
      <w:r>
        <w:t xml:space="preserve"> </w:t>
      </w:r>
      <w:r>
        <w:t xml:space="preserve"> </w:t>
      </w:r>
      <w:r>
        <w:rPr>
          <w:i/>
          <w:iCs/>
        </w:rPr>
        <w:t xml:space="preserve">If the linearized row Sharpe influence</w:t>
      </w:r>
      <w:r>
        <w:rPr>
          <w:i/>
          <w:iCs/>
        </w:rPr>
        <w:t xml:space="preserve"> </w:t>
      </w:r>
      <m:oMath>
        <m:sSubSup>
          <m:sSubSupPr>
            <m:alnScr m:val="off"/>
            <m:ctrlPr/>
          </m:sSubSupPr>
          <m:e>
            <m:r>
              <m:rPr/>
              <m:t>ζ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  <m:sup>
            <m:r>
              <m:rPr/>
              <m:t>Y</m:t>
            </m:r>
          </m:sup>
        </m:sSubSup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d</m:t>
            </m:r>
          </m:e>
          <m:sub>
            <m:sSup>
              <m:sSupPr>
                <m:ctrlPr/>
              </m:sSupPr>
              <m:e>
                <m:r>
                  <m:rPr/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(</m:t>
        </m:r>
        <m:sSub>
          <m:sSubPr>
            <m:ctrlPr/>
          </m:sSubPr>
          <m:e>
            <m:r>
              <m:rPr/>
              <m:t>H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−</m:t>
        </m:r>
        <m:sSub>
          <m:sSubPr>
            <m:ctrlPr/>
          </m:sSubPr>
          <m:e>
            <m:r>
              <m:rPr/>
              <m:t>θ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exchangeable within date</w:t>
      </w:r>
      <w:r>
        <w:rPr>
          <w:i/>
          <w:iCs/>
        </w:rPr>
        <w:t xml:space="preserve"> </w:t>
      </w:r>
      <w:r>
        <w:rPr>
          <w:i/>
          <w:iCs/>
        </w:rPr>
        <w:t xml:space="preserve">with intraclass correlation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ρ</m:t>
            </m:r>
          </m:e>
          <m:sub>
            <m:r>
              <m:rPr/>
              <m:t>ζ</m:t>
            </m:r>
          </m:sub>
        </m:sSub>
      </m:oMath>
      <w:r>
        <w:rPr>
          <w:i/>
          <w:iCs/>
        </w:rPr>
        <w:t xml:space="preserve">, and the date-level</w:t>
      </w:r>
      <w:r>
        <w:rPr>
          <w:i/>
          <w:iCs/>
        </w:rPr>
        <w:t xml:space="preserve"> </w:t>
      </w:r>
      <w:r>
        <w:rPr>
          <w:i/>
          <w:iCs/>
        </w:rPr>
        <w:t xml:space="preserve">linearization is the equal-weighted average of those row influences, the</w:t>
      </w:r>
      <w:r>
        <w:rPr>
          <w:i/>
          <w:iCs/>
        </w:rPr>
        <w:t xml:space="preserve"> </w:t>
      </w:r>
      <w:r>
        <w:rPr>
          <w:i/>
          <w:iCs/>
        </w:rPr>
        <w:t xml:space="preserve">cross-sectional factor in (10) reduces to</w:t>
      </w:r>
      <w:r>
        <w:rPr>
          <w:i/>
          <w:iCs/>
        </w:rPr>
        <w:t xml:space="preserve"> </w:t>
      </w:r>
      <m:oMath>
        <m:r>
          <m:rPr/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‾"/>
            <m:ctrlPr/>
          </m:accPr>
          <m:e>
            <m:r>
              <m:rPr/>
              <m:t>n</m:t>
            </m:r>
          </m:e>
        </m:acc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  <m:sSub>
          <m:sSubPr>
            <m:ctrlPr/>
          </m:sSubPr>
          <m:e>
            <m:r>
              <m:rPr/>
              <m:t>ρ</m:t>
            </m:r>
          </m:e>
          <m:sub>
            <m:r>
              <m:rPr/>
              <m:t>ζ</m:t>
            </m:r>
          </m:sub>
        </m:sSub>
      </m:oMath>
      <w:r>
        <w:rPr>
          <w:i/>
          <w:iCs/>
        </w:rPr>
        <w:t xml:space="preserve">. The mean-return design effect is the</w:t>
      </w:r>
      <w:r>
        <w:rPr>
          <w:i/>
          <w:iCs/>
        </w:rPr>
        <w:t xml:space="preserve"> </w:t>
      </w:r>
      <w:r>
        <w:rPr>
          <w:i/>
          <w:iCs/>
        </w:rPr>
        <w:t xml:space="preserve">special case in which the influence variable is</w:t>
      </w:r>
      <w:r>
        <w:rPr>
          <w:i/>
          <w:iCs/>
        </w:rPr>
        <w:t xml:space="preserve"> </w:t>
      </w:r>
      <m:oMath>
        <m:sSub>
          <m:sSubPr>
            <m:ctrlPr/>
          </m:sSubPr>
          <m:e>
            <m:r>
              <m:rPr/>
              <m:t>Y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μ</m:t>
        </m:r>
      </m:oMath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Sharpe case replaces raw return correlation by correlation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linearized nonlinear-performance influence, which is why skewness,</w:t>
      </w:r>
      <w:r>
        <w:rPr>
          <w:i/>
          <w:iCs/>
        </w:rPr>
        <w:t xml:space="preserve"> </w:t>
      </w:r>
      <w:r>
        <w:rPr>
          <w:i/>
          <w:iCs/>
        </w:rPr>
        <w:t xml:space="preserve">kurtosis, and volatility clustering enter the variance inflation.</w:t>
      </w:r>
      <w:r/>
    </w:p>
    <w:p>
      <w:pPr>
        <w:pStyle w:val="700"/>
        <w:pBdr/>
        <w:spacing/>
        <w:ind/>
        <w:rPr/>
      </w:pPr>
      <w:r/>
      <w:bookmarkStart w:id="38" w:name="fixed-menu-validity."/>
      <w:r>
        <w:rPr>
          <w:rStyle w:val="729"/>
        </w:rPr>
        <w:t xml:space="preserve">5.3.0.1</w:t>
      </w:r>
      <w:r>
        <w:tab/>
      </w:r>
      <w:r>
        <w:t xml:space="preserve">Fixed-menu validity.</w:t>
      </w:r>
      <w:r/>
    </w:p>
    <w:p>
      <w:pPr>
        <w:pStyle w:val="686"/>
        <w:pBdr/>
        <w:spacing/>
        <w:ind/>
        <w:rPr/>
      </w:pPr>
      <w:r>
        <w:t xml:space="preserve">The HAC-delta and block-bootstrap procedures are used under the standard</w:t>
      </w:r>
      <w:r>
        <w:t xml:space="preserve"> </w:t>
      </w:r>
      <w:r>
        <w:t xml:space="preserve">conditions for a fixed finite researcher menu: stationary date-return</w:t>
      </w:r>
      <w:r>
        <w:t xml:space="preserve"> </w:t>
      </w:r>
      <w:r>
        <w:t xml:space="preserve">series, adequate moments for the Sharpe delta-method expansion,</w:t>
      </w:r>
      <w:r>
        <w:t xml:space="preserve"> </w:t>
      </w:r>
      <w:r>
        <w:t xml:space="preserve">non-degenerate volatility, and block lengths satisfying</w:t>
      </w:r>
      <w:r>
        <w:t xml:space="preserve"> </w:t>
      </w:r>
      <m:oMath>
        <m:r>
          <m:rPr/>
          <m:t>ℓ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/>
          <m:t>ℓ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→</m:t>
        </m:r>
        <m:r>
          <m:rPr/>
          <m:t>0</m:t>
        </m:r>
      </m:oMath>
      <w:r>
        <w:t xml:space="preserve">. Under those conditions, standard</w:t>
      </w:r>
      <w:r>
        <w:t xml:space="preserve"> </w:t>
      </w:r>
      <w:r>
        <w:t xml:space="preserve">delta-method and block-bootstrap arguments support marginal Sharpe</w:t>
      </w:r>
      <w:r>
        <w:t xml:space="preserve"> </w:t>
      </w:r>
      <w:r>
        <w:t xml:space="preserve">inference for each fixed menu element, and Holm or Romano-Wolf stepdown</w:t>
      </w:r>
      <w:r>
        <w:t xml:space="preserve"> </w:t>
      </w:r>
      <w:r>
        <w:t xml:space="preserve">procedures control familywise error for the fixed menu</w:t>
      </w:r>
      <w:r>
        <w:t xml:space="preserve"> </w:t>
      </w:r>
      <w:r>
        <w:t xml:space="preserve">(Holm, 1979; Kunsch, 1989; Romano and Wolf, 2005; Politis and Romano, 1994; Lahiri, 2003).</w:t>
      </w:r>
      <w:r>
        <w:t xml:space="preserve"> </w:t>
      </w:r>
      <w:r>
        <w:t xml:space="preserve">These standard conditions do not cover long memory, infinite-variance</w:t>
      </w:r>
      <w:r>
        <w:t xml:space="preserve"> </w:t>
      </w:r>
      <w:r>
        <w:t xml:space="preserve">returns, growing menus, structural breaks, or nonstationary date returns.</w:t>
      </w:r>
      <w:r>
        <w:t xml:space="preserve"> </w:t>
      </w:r>
      <w:r>
        <w:t xml:space="preserve">The empirical stationarity, holdout, placebo, factor-alpha, and cost</w:t>
      </w:r>
      <w:r>
        <w:t xml:space="preserve"> </w:t>
      </w:r>
      <w:r>
        <w:t xml:space="preserve">outputs are therefore diagnostics rather than proof that every</w:t>
      </w:r>
      <w:r>
        <w:t xml:space="preserve"> </w:t>
      </w:r>
      <w:r>
        <w:t xml:space="preserve">assumption holds in every market setting.</w:t>
      </w:r>
      <w:bookmarkEnd w:id="38"/>
      <w:bookmarkEnd w:id="39"/>
      <w:bookmarkEnd w:id="40"/>
      <w:r/>
    </w:p>
    <w:p>
      <w:pPr>
        <w:pStyle w:val="697"/>
        <w:pBdr/>
        <w:spacing/>
        <w:ind/>
        <w:rPr/>
      </w:pPr>
      <w:r/>
      <w:bookmarkStart w:id="42" w:name="sec:positive-control"/>
      <w:r>
        <w:rPr>
          <w:rStyle w:val="729"/>
        </w:rPr>
        <w:t xml:space="preserve">6</w:t>
      </w:r>
      <w:r>
        <w:tab/>
      </w:r>
      <w:r>
        <w:t xml:space="preserve">Synthetic positive-control calibration</w:t>
      </w:r>
      <w:r/>
    </w:p>
    <w:p>
      <w:pPr>
        <w:pStyle w:val="686"/>
        <w:pBdr/>
        <w:spacing/>
        <w:ind/>
        <w:rPr/>
      </w:pPr>
      <w:r>
        <w:t xml:space="preserve">The reporting rule is not mechanically anti-discovery. To check that the</w:t>
      </w:r>
      <w:r>
        <w:t xml:space="preserve"> </w:t>
      </w:r>
      <w:r>
        <w:t xml:space="preserve">decision criteria can pass a true signal, a synthetic panel is generated</w:t>
      </w:r>
      <w:r>
        <w:t xml:space="preserve"> </w:t>
      </w:r>
      <w:r>
        <w:t xml:space="preserve">with a persistent predictive signal, moderate same-date dependence, and</w:t>
      </w:r>
      <w:r>
        <w:t xml:space="preserve"> </w:t>
      </w:r>
      <w:r>
        <w:t xml:space="preserve">serial dependence in the date-level returns. The signal is constructed</w:t>
      </w:r>
      <w:r>
        <w:t xml:space="preserve"> </w:t>
      </w:r>
      <w:r>
        <w:t xml:space="preserve">before inference is run, the same date-aggregation and reporting criteria are</w:t>
      </w:r>
      <w:r>
        <w:t xml:space="preserve"> </w:t>
      </w:r>
      <w:r>
        <w:t xml:space="preserve">applied, and the resulting positive-control candidate passes HAC,</w:t>
      </w:r>
      <w:r>
        <w:t xml:space="preserve"> </w:t>
      </w:r>
      <w:r>
        <w:t xml:space="preserve">Romano-Wolf, and same-date permutation checks. This calibration is not</w:t>
      </w:r>
      <w:r>
        <w:t xml:space="preserve"> </w:t>
      </w:r>
      <w:r>
        <w:t xml:space="preserve">used as evidence for a public trading strategy; it shows that the</w:t>
      </w:r>
      <w:r>
        <w:t xml:space="preserve"> </w:t>
      </w:r>
      <w:r>
        <w:t xml:space="preserve">procedure can accept known positive evidence when the data-generating</w:t>
      </w:r>
      <w:r>
        <w:t xml:space="preserve"> </w:t>
      </w:r>
      <w:r>
        <w:t xml:space="preserve">process contains a genuine date-level edge.</w:t>
      </w:r>
      <w:r/>
    </w:p>
    <w:p>
      <w:pPr>
        <w:pStyle w:val="685"/>
        <w:pBdr/>
        <w:spacing/>
        <w:ind/>
        <w:rPr/>
      </w:pPr>
      <w:r>
        <w:t xml:space="preserve">The positive-control DGP uses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5000</m:t>
        </m:r>
      </m:oMath>
      <w:r>
        <w:t xml:space="preserve"> </w:t>
      </w:r>
      <w:r>
        <w:t xml:space="preserve">dates and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100</m:t>
        </m:r>
      </m:oMath>
      <w:r>
        <w:t xml:space="preserve"> </w:t>
      </w:r>
      <w:r>
        <w:t xml:space="preserve">entities,</w:t>
      </w:r>
      <w:r>
        <w:t xml:space="preserve"> </w:t>
      </w:r>
      <w:r>
        <w:t xml:space="preserve">annual alpha</w:t>
      </w:r>
      <w:r>
        <w:t xml:space="preserve"> </w:t>
      </w:r>
      <m:oMath>
        <m:r>
          <m:rPr/>
          <m:t>0.12</m:t>
        </m:r>
      </m:oMath>
      <w:r>
        <w:t xml:space="preserve"> </w:t>
      </w:r>
      <w:r>
        <w:t xml:space="preserve">(daily alpha</w:t>
      </w:r>
      <w:r>
        <w:t xml:space="preserve"> </w:t>
      </w:r>
      <m:oMath>
        <m:r>
          <m:rPr/>
          <m:t>0.12</m:t>
        </m:r>
        <m:r>
          <m:rPr>
            <m:sty m:val="p"/>
          </m:rPr>
          <m:t>/</m:t>
        </m:r>
        <m:r>
          <m:rPr/>
          <m:t>252</m:t>
        </m:r>
      </m:oMath>
      <w:r>
        <w:t xml:space="preserve">), idiosyncratic</w:t>
      </w:r>
      <w:r>
        <w:t xml:space="preserve"> </w:t>
      </w:r>
      <w:r>
        <w:t xml:space="preserve">volatility</w:t>
      </w:r>
      <w:r>
        <w:t xml:space="preserve"> </w:t>
      </w:r>
      <m:oMath>
        <m:r>
          <m:rPr/>
          <m:t>0.01</m:t>
        </m:r>
      </m:oMath>
      <w:r>
        <w:t xml:space="preserve">, common-factor loading</w:t>
      </w:r>
      <w:r>
        <w:t xml:space="preserve"> </w:t>
      </w:r>
      <m:oMath>
        <m:r>
          <m:rPr/>
          <m:t>0.50</m:t>
        </m:r>
      </m:oMath>
      <w:r>
        <w:t xml:space="preserve">, AR(1) common-factor</w:t>
      </w:r>
      <w:r>
        <w:t xml:space="preserve"> </w:t>
      </w:r>
      <w:r>
        <w:t xml:space="preserve">coefficient</w:t>
      </w:r>
      <w:r>
        <w:t xml:space="preserve"> </w:t>
      </w:r>
      <m:oMath>
        <m:r>
          <m:rPr/>
          <m:t>0.10</m:t>
        </m:r>
      </m:oMath>
      <w:r>
        <w:t xml:space="preserve">, signal-stay probability</w:t>
      </w:r>
      <w:r>
        <w:t xml:space="preserve"> </w:t>
      </w:r>
      <m:oMath>
        <m:r>
          <m:rPr/>
          <m:t>0.98</m:t>
        </m:r>
      </m:oMath>
      <w:r>
        <w:t xml:space="preserve">, and seed 777.</w:t>
      </w:r>
      <w:r>
        <w:t xml:space="preserve"> </w:t>
      </w:r>
      <w:r>
        <w:t xml:space="preserve">The detailed output is kept in the technical appendix because this is an</w:t>
      </w:r>
      <w:r>
        <w:t xml:space="preserve"> </w:t>
      </w:r>
      <w:r>
        <w:t xml:space="preserve">illustrative sanity check, not empirical evidence for a public anomaly.</w:t>
      </w:r>
      <w:r/>
    </w:p>
    <w:p>
      <w:pPr>
        <w:pStyle w:val="700"/>
        <w:pBdr/>
        <w:spacing/>
        <w:ind/>
        <w:rPr/>
      </w:pPr>
      <w:r/>
      <w:bookmarkStart w:id="41" w:name="appendix-material."/>
      <w:r>
        <w:rPr>
          <w:rStyle w:val="729"/>
        </w:rPr>
        <w:t xml:space="preserve">6.0.0.1</w:t>
      </w:r>
      <w:r>
        <w:tab/>
      </w:r>
      <w:r>
        <w:t xml:space="preserve">Appendix material.</w:t>
      </w:r>
      <w:r/>
    </w:p>
    <w:p>
      <w:pPr>
        <w:pStyle w:val="686"/>
        <w:pBdr/>
        <w:spacing/>
        <w:ind/>
        <w:rPr/>
      </w:pPr>
      <w:r>
        <w:t xml:space="preserve">The worked numerical example, full proof details, positive-control data</w:t>
      </w:r>
      <w:r>
        <w:t xml:space="preserve"> </w:t>
      </w:r>
      <w:r>
        <w:t xml:space="preserve">generation notes, and secondary robustness tables are reported in the</w:t>
      </w:r>
      <w:r>
        <w:t xml:space="preserve"> </w:t>
      </w:r>
      <w:r>
        <w:t xml:space="preserve">technical appendix. The main manuscript keeps only the decision rule</w:t>
      </w:r>
      <w:r>
        <w:t xml:space="preserve"> </w:t>
      </w:r>
      <w:r>
        <w:t xml:space="preserve">and the evidence needed to evaluate it.</w:t>
      </w:r>
      <w:bookmarkEnd w:id="41"/>
      <w:bookmarkEnd w:id="42"/>
      <w:r/>
    </w:p>
    <w:p>
      <w:pPr>
        <w:pStyle w:val="697"/>
        <w:pBdr/>
        <w:spacing/>
        <w:ind/>
        <w:rPr/>
      </w:pPr>
      <w:r/>
      <w:bookmarkStart w:id="43" w:name="sec:empirical"/>
      <w:r>
        <w:rPr>
          <w:rStyle w:val="729"/>
        </w:rPr>
        <w:t xml:space="preserve">7</w:t>
      </w:r>
      <w:r>
        <w:tab/>
      </w:r>
      <w:r>
        <w:t xml:space="preserve">Empirical results: benchmark illustrations</w:t>
      </w:r>
      <w:r/>
    </w:p>
    <w:p>
      <w:pPr>
        <w:pStyle w:val="686"/>
        <w:pBdr/>
        <w:spacing/>
        <w:ind/>
        <w:rPr/>
      </w:pPr>
      <w:r>
        <w:t xml:space="preserve">The public evidence is illustrative rather than a broad anomaly-panel</w:t>
      </w:r>
      <w:r>
        <w:t xml:space="preserve"> </w:t>
      </w:r>
      <w:r>
        <w:t xml:space="preserve">survey. It evaluates the canonical Kenneth French</w:t>
      </w:r>
      <w:r>
        <w:t xml:space="preserve"> </w:t>
      </w:r>
      <w:r>
        <w:t xml:space="preserve">winner-minus-loser momentum decile benchmark, a broader Kenneth French</w:t>
      </w:r>
      <w:r>
        <w:t xml:space="preserve"> </w:t>
      </w:r>
      <w:r>
        <w:t xml:space="preserve">decile-rank threshold profile, Kenneth French 25 Size/BM portfolios with</w:t>
      </w:r>
      <w:r>
        <w:t xml:space="preserve"> </w:t>
      </w:r>
      <w:r>
        <w:t xml:space="preserve">a skipped-momentum signal, and public AQR value, momentum, quality, beta,</w:t>
      </w:r>
      <w:r>
        <w:t xml:space="preserve"> </w:t>
      </w:r>
      <w:r>
        <w:t xml:space="preserve">and HML-style factor candidates. The AQR series are economically meaningful</w:t>
      </w:r>
      <w:r>
        <w:t xml:space="preserve"> </w:t>
      </w:r>
      <w:r>
        <w:t xml:space="preserve">factor-series benchmarks, but they are pre-aggregated series rather than</w:t>
      </w:r>
      <w:r>
        <w:t xml:space="preserve"> </w:t>
      </w:r>
      <w:r>
        <w:t xml:space="preserve">row-level constituent panels; when the same-date permutation check cannot</w:t>
      </w:r>
      <w:r>
        <w:t xml:space="preserve"> </w:t>
      </w:r>
      <w:r>
        <w:t xml:space="preserve">be applied, the benchmark is outside the full panel rule. The</w:t>
      </w:r>
      <w:r>
        <w:t xml:space="preserve"> </w:t>
      </w:r>
      <w:r>
        <w:t xml:space="preserve">main tables therefore separate panel candidates from single-series</w:t>
      </w:r>
      <w:r>
        <w:t xml:space="preserve"> </w:t>
      </w:r>
      <w:r>
        <w:t xml:space="preserve">factor benchmarks. Failed public-data access attempts are kept in the</w:t>
      </w:r>
      <w:r>
        <w:t xml:space="preserve"> </w:t>
      </w:r>
      <w:r>
        <w:t xml:space="preserve">provenance files rather than treated as main empirical results.</w:t>
      </w:r>
      <w:r>
        <w:t xml:space="preserve"> </w:t>
      </w:r>
      <w:r>
        <w:t xml:space="preserve">The empirical section is intentionally a public-data demonstration rather</w:t>
      </w:r>
      <w:r>
        <w:t xml:space="preserve"> </w:t>
      </w:r>
      <w:r>
        <w:t xml:space="preserve">than an anomaly census; the contribution is the sampling-boundary</w:t>
      </w:r>
      <w:r>
        <w:t xml:space="preserve"> </w:t>
      </w:r>
      <w:r>
        <w:t xml:space="preserve">diagnostic and Monte Carlo size evidence.</w:t>
      </w:r>
      <w:r/>
    </w:p>
    <w:p>
      <w:pPr>
        <w:pStyle w:val="685"/>
        <w:pBdr/>
        <w:spacing/>
        <w:ind/>
        <w:rPr/>
      </w:pPr>
      <w:r>
        <w:t xml:space="preserve">Table 1 reports the compact panel-candidate status</w:t>
      </w:r>
      <w:r>
        <w:t xml:space="preserve"> </w:t>
      </w:r>
      <w:r>
        <w:t xml:space="preserve">summary, including Sharpe, HAC evidence, permutation status, net Sharpe,</w:t>
      </w:r>
      <w:r>
        <w:t xml:space="preserve"> </w:t>
      </w:r>
      <w:r>
        <w:t xml:space="preserve">and the final interpretation. Table 2</w:t>
      </w:r>
      <w:r>
        <w:t xml:space="preserve"> </w:t>
      </w:r>
      <w:r>
        <w:t xml:space="preserve">compares the row-naive report, date-level HAC inference,</w:t>
      </w:r>
      <w:r>
        <w:t xml:space="preserve"> </w:t>
      </w:r>
      <w:r>
        <w:t xml:space="preserve">dependent-bootstrap inference, and Sharpe UVIF for the same panel</w:t>
      </w:r>
      <w:r>
        <w:t xml:space="preserve"> </w:t>
      </w:r>
      <w:r>
        <w:t xml:space="preserve">candidates. The technical appendix reports the full secondary table</w:t>
      </w:r>
      <w:r>
        <w:t xml:space="preserve"> </w:t>
      </w:r>
      <w:r>
        <w:t xml:space="preserve">set: AQR time-series benchmarks, WML validation, horizon sensitivity,</w:t>
      </w:r>
      <w:r>
        <w:t xml:space="preserve"> </w:t>
      </w:r>
      <w:r>
        <w:t xml:space="preserve">same-date permutation details, HAC bandwidth/prewhitening/fixed-</w:t>
      </w:r>
      <m:oMath>
        <m:r>
          <m:rPr/>
          <m:t>b</m:t>
        </m:r>
      </m:oMath>
      <w:r>
        <w:t xml:space="preserve"> </w:t>
      </w:r>
      <w:r>
        <w:t xml:space="preserve">robustness, rule sensitivity, holdout splits, and cost sweeps.</w:t>
      </w:r>
      <w:r>
        <w:t xml:space="preserve"> </w:t>
      </w:r>
      <w:r>
        <w:t xml:space="preserve">The reproducibility package records the fixed public sources, candidate</w:t>
      </w:r>
      <w:r>
        <w:t xml:space="preserve"> </w:t>
      </w:r>
      <w:r>
        <w:t xml:space="preserve">types, source frequencies, annualization factors, thresholds, lookbacks,</w:t>
      </w:r>
      <w:r>
        <w:t xml:space="preserve"> </w:t>
      </w:r>
      <w:r>
        <w:t xml:space="preserve">skips, eligibility rules, and configuration hashes used in the reported</w:t>
      </w:r>
      <w:r>
        <w:t xml:space="preserve"> </w:t>
      </w:r>
      <w:r>
        <w:t xml:space="preserve">tables.</w:t>
      </w:r>
      <w:r/>
    </w:p>
    <w:p>
      <w:pPr>
        <w:pStyle w:val="685"/>
        <w:pBdr/>
        <w:spacing/>
        <w:ind/>
        <w:rPr/>
      </w:pPr>
      <w:r>
        <w:t xml:space="preserve">The factor-alpha, data-snooping, stationarity, holdout, and cost tables</w:t>
      </w:r>
      <w:r>
        <w:t xml:space="preserve"> </w:t>
      </w:r>
      <w:r>
        <w:t xml:space="preserve">are secondary diagnostics, not replacements for the primary date-return</w:t>
      </w:r>
      <w:r>
        <w:t xml:space="preserve"> </w:t>
      </w:r>
      <w:r>
        <w:t xml:space="preserve">decision. A raw positive Sharpe that does not survive FF3 plus momentum</w:t>
      </w:r>
      <w:r>
        <w:t xml:space="preserve"> </w:t>
      </w:r>
      <w:r>
        <w:t xml:space="preserve">alpha, bootstrap robustness, Romano-Wolf/White checks, same-date</w:t>
      </w:r>
      <w:r>
        <w:t xml:space="preserve"> </w:t>
      </w:r>
      <w:r>
        <w:t xml:space="preserve">placebos, or plausible costs should not be interpreted as reliable</w:t>
      </w:r>
      <w:r>
        <w:t xml:space="preserve"> </w:t>
      </w:r>
      <w:r>
        <w:t xml:space="preserve">portfolio-performance evidence. This is the empirical implication of</w:t>
      </w:r>
      <w:r>
        <w:t xml:space="preserve"> </w:t>
      </w:r>
      <w:r>
        <w:t xml:space="preserve">the sampling-boundary design: familiar</w:t>
      </w:r>
      <w:r>
        <w:t xml:space="preserve"> </w:t>
      </w:r>
      <w:r>
        <w:t xml:space="preserve">public candidates can look attractive at one boundary and fail at the</w:t>
      </w:r>
      <w:r>
        <w:t xml:space="preserve"> </w:t>
      </w:r>
      <w:r>
        <w:t xml:space="preserve">date-level decision boundary.</w:t>
      </w:r>
      <w:r/>
    </w:p>
    <w:p>
      <w:pPr>
        <w:pStyle w:val="685"/>
        <w:pBdr/>
        <w:spacing/>
        <w:ind/>
        <w:rPr/>
      </w:pPr>
      <w:r>
        <w:t xml:space="preserve">The main empirical tables report the row-level panel candidates only.</w:t>
      </w:r>
      <w:r>
        <w:t xml:space="preserve"> </w:t>
      </w:r>
      <w:r>
        <w:t xml:space="preserve">Pre-aggregated AQR factor series, benchmark-validation details, horizon</w:t>
      </w:r>
      <w:r>
        <w:t xml:space="preserve"> </w:t>
      </w:r>
      <w:r>
        <w:t xml:space="preserve">sensitivity, and full robustness diagnostics are reported in the</w:t>
      </w:r>
      <w:r>
        <w:t xml:space="preserve"> </w:t>
      </w:r>
      <w:r>
        <w:t xml:space="preserve">technical appendix.</w:t>
      </w:r>
      <w:r/>
    </w:p>
    <w:p>
      <w:pPr>
        <w:pStyle w:val="685"/>
        <w:pBdr/>
        <w:spacing/>
        <w:ind/>
        <w:rPr/>
      </w:pPr>
      <w:r>
        <w:rPr>
          <w:i/>
          <w:iCs/>
        </w:rPr>
        <w:t xml:space="preserve">Note:</w:t>
      </w:r>
      <w:r>
        <w:t xml:space="preserve"> </w:t>
      </w:r>
      <w:r>
        <w:t xml:space="preserve">Annualized SR is the gross date-level Sharpe ratio. Date-HAC p+ is the one-sided HAC-delta positive-edge p-value computed on the date-level portfolio return series</w:t>
      </w:r>
      <w:r>
        <w:t xml:space="preserve">. Permutation p is the same-date signal-placebo p-value; N/A means the placebo was degenerate or otherwise uninformative for that threshold and is not counted as a full pass. Net SR (5 bps) is the Sharpe ratio after the reported 5 bps turnover-cost stress.</w:t>
      </w:r>
      <w:r/>
    </w:p>
    <w:p>
      <w:pPr>
        <w:pStyle w:val="685"/>
        <w:pBdr/>
        <w:spacing/>
        <w:ind/>
        <w:rPr/>
      </w:pPr>
      <w:r>
        <w:t xml:space="preserve">The comparator table makes the standard-practice contrast explicit:</w:t>
      </w:r>
      <w:r>
        <w:t xml:space="preserve"> </w:t>
      </w:r>
      <w:r>
        <w:t xml:space="preserve">row-naive evidence is shown next to date-level HAC and bootstrap</w:t>
      </w:r>
      <w:r>
        <w:t xml:space="preserve"> </w:t>
      </w:r>
      <w:r>
        <w:t xml:space="preserve">inference on the portfolio return series.</w:t>
      </w:r>
      <w:r/>
    </w:p>
    <w:p>
      <w:pPr>
        <w:pStyle w:val="685"/>
        <w:pBdr/>
        <w:spacing/>
        <w:ind/>
        <w:rPr/>
      </w:pPr>
      <w:r>
        <w:rPr>
          <w:i/>
          <w:iCs/>
        </w:rPr>
        <w:t xml:space="preserve">Note:</w:t>
      </w:r>
      <w:r>
        <w:t xml:space="preserve"> </w:t>
      </w:r>
      <w:r>
        <w:t xml:space="preserve">p+ denotes a one-sided positive-Sharpe p-value. Row-naive p+ treats select</w:t>
      </w:r>
      <w:r>
        <w:t xml:space="preserve">ed asset-date rows as independent. Date-IID, Date-HAC, and Moving-block p+ operate on the date-level portfolio return series. Sharpe UVIF is the diagnostic variance ratio between date-level long-run Sharpe uncertainty and row-pooled IID Sharpe uncertainty.</w:t>
      </w:r>
      <w:r/>
    </w:p>
    <w:p>
      <w:pPr>
        <w:pStyle w:val="685"/>
        <w:pBdr/>
        <w:spacing/>
        <w:ind/>
        <w:rPr/>
      </w:pPr>
      <w:r>
        <w:t xml:space="preserve">The canonical French WML candidate is expected to match the direct</w:t>
      </w:r>
      <w:r>
        <w:t xml:space="preserve"> </w:t>
      </w:r>
      <w:r>
        <w:t xml:space="preserve">Kenneth French winner-minus-loser decile construction and is reported as</w:t>
      </w:r>
      <w:r>
        <w:t xml:space="preserve"> </w:t>
      </w:r>
      <w:r>
        <w:t xml:space="preserve">a public benchmark check. Its full-rule pass shows that date-level</w:t>
      </w:r>
      <w:r>
        <w:t xml:space="preserve"> </w:t>
      </w:r>
      <w:r>
        <w:t xml:space="preserve">inference can preserve canonical evidence when the signal is strong</w:t>
      </w:r>
      <w:r>
        <w:t xml:space="preserve"> </w:t>
      </w:r>
      <w:r>
        <w:t xml:space="preserve">enough and the placebo, menu, dependence, and cost diagnostics do not</w:t>
      </w:r>
      <w:r>
        <w:t xml:space="preserve"> </w:t>
      </w:r>
      <w:r>
        <w:t xml:space="preserve">overturn it. The broader rank-threshold profile and the French Size/BM</w:t>
      </w:r>
      <w:r>
        <w:t xml:space="preserve"> </w:t>
      </w:r>
      <w:r>
        <w:t xml:space="preserve">dynamic-momentum panel are evaluated as stress cases rather than as</w:t>
      </w:r>
      <w:r>
        <w:t xml:space="preserve"> </w:t>
      </w:r>
      <w:r>
        <w:t xml:space="preserve">canonical anomaly replications. The appendix reports that the Size/BM</w:t>
      </w:r>
      <w:r>
        <w:t xml:space="preserve"> </w:t>
      </w:r>
      <w:r>
        <w:t xml:space="preserve">horizon sensitivity does not rescue the stress case: longer lookbacks</w:t>
      </w:r>
      <w:r>
        <w:t xml:space="preserve"> </w:t>
      </w:r>
      <w:r>
        <w:t xml:space="preserve">reduce turnover but leave net Sharpe slightly negative, while empirical</w:t>
      </w:r>
      <w:r>
        <w:t xml:space="preserve"> </w:t>
      </w:r>
      <w:r>
        <w:t xml:space="preserve">Sharpe UVIF remains about 11–13. Pre-aggregated AQR factor series are</w:t>
      </w:r>
      <w:r>
        <w:t xml:space="preserve"> </w:t>
      </w:r>
      <w:r>
        <w:t xml:space="preserve">reported separately as time-series benchmarks because they do not provide</w:t>
      </w:r>
      <w:r>
        <w:t xml:space="preserve"> </w:t>
      </w:r>
      <w:r>
        <w:t xml:space="preserve">row-level signal-return pairs for same-date permutation or row-boundary</w:t>
      </w:r>
      <w:r>
        <w:t xml:space="preserve"> </w:t>
      </w:r>
      <w:r>
        <w:t xml:space="preserve">diagnostics.</w:t>
      </w:r>
      <w:bookmarkEnd w:id="43"/>
      <w:r/>
    </w:p>
    <w:p>
      <w:pPr>
        <w:pStyle w:val="697"/>
        <w:pBdr/>
        <w:spacing/>
        <w:ind/>
        <w:rPr/>
      </w:pPr>
      <w:r/>
      <w:bookmarkStart w:id="48" w:name="sec:simulation"/>
      <w:r>
        <w:rPr>
          <w:rStyle w:val="729"/>
        </w:rPr>
        <w:t xml:space="preserve">8</w:t>
      </w:r>
      <w:r>
        <w:tab/>
      </w:r>
      <w:r>
        <w:t xml:space="preserve">Monte Carlo evidence: 35 percent row-naive rejection</w:t>
      </w:r>
      <w:r/>
    </w:p>
    <w:p>
      <w:pPr>
        <w:pStyle w:val="686"/>
        <w:pBdr/>
        <w:spacing/>
        <w:ind/>
        <w:rPr/>
      </w:pPr>
      <w:r>
        <w:t xml:space="preserve">The Monte Carlo study is designed as a size-and-power check of the</w:t>
      </w:r>
      <w:r>
        <w:t xml:space="preserve"> </w:t>
      </w:r>
      <w:r>
        <w:t xml:space="preserve">sampling boundary, not as a search for a favorable strategy. Each</w:t>
      </w:r>
      <w:r>
        <w:t xml:space="preserve"> </w:t>
      </w:r>
      <w:r>
        <w:t xml:space="preserve">replication generates a symbol-date return panel, applies the same</w:t>
      </w:r>
      <w:r>
        <w:t xml:space="preserve"> </w:t>
      </w:r>
      <w:r>
        <w:t xml:space="preserve">date-aggregation rule used in the empirical analysis, and then asks</w:t>
      </w:r>
      <w:r>
        <w:t xml:space="preserve"> </w:t>
      </w:r>
      <w:r>
        <w:t xml:space="preserve">whether each inference method rejects a positive-edge null at the</w:t>
      </w:r>
      <w:r>
        <w:t xml:space="preserve"> </w:t>
      </w:r>
      <w:r>
        <w:t xml:space="preserve">nominal 5 percent level. The base panel is</w:t>
      </w:r>
      <w:r/>
    </w:p>
    <w:p>
      <w:pPr>
        <w:pStyle w:val="685"/>
        <w:pBdr/>
        <w:spacing/>
        <w:ind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m:rPr/>
                <m:t>r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sSub>
            <m:sSubPr>
              <m:ctrlPr/>
            </m:sSubPr>
            <m:e>
              <m:r>
                <m:rPr/>
                <m:t>μ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β</m:t>
              </m:r>
            </m:e>
            <m:sub>
              <m:sSup>
                <m:sSupPr>
                  <m:ctrlPr/>
                </m:sSupPr>
                <m:e>
                  <m:r>
                    <m:rPr/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>
              <m:ctrlPr/>
            </m:sSubPr>
            <m:e>
              <m:r>
                <m:rPr/>
                <m:t>f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ϵ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>
              <m:ctrlPr/>
            </m:sSubPr>
            <m:e>
              <m:r>
                <m:rPr/>
                <m:t>f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sSub>
            <m:sSubPr>
              <m:ctrlPr/>
            </m:sSubPr>
            <m:e>
              <m:r>
                <m:rPr/>
                <m:t>f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rPr/>
                <m:t>u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.</m:t>
          </m:r>
        </m:oMath>
      </m:oMathPara>
      <w:r/>
      <w:r/>
    </w:p>
    <w:p>
      <w:pPr>
        <w:pStyle w:val="686"/>
        <w:pBdr/>
        <w:spacing/>
        <w:ind/>
        <w:rPr/>
      </w:pPr>
      <w:r>
        <w:t xml:space="preserve">The grid varies serial dependence, cross-sectional dependence, GARCH</w:t>
      </w:r>
      <w:r>
        <w:t xml:space="preserve"> </w:t>
      </w:r>
      <w:r>
        <w:t xml:space="preserve">volatility, multifactor exposure, and regime switching. The</w:t>
      </w:r>
      <w:r>
        <w:t xml:space="preserve"> </w:t>
      </w:r>
      <w:r>
        <w:t xml:space="preserve">high-persistence AR(1) case is reported as such; it is not labeled as a</w:t>
      </w:r>
      <w:r>
        <w:t xml:space="preserve"> </w:t>
      </w:r>
      <w:r>
        <w:t xml:space="preserve">long-memory design. The high-volatility GARCH case is not described as</w:t>
      </w:r>
      <w:r>
        <w:t xml:space="preserve"> </w:t>
      </w:r>
      <w:r>
        <w:t xml:space="preserve">an infinite-variance heavy-tail design.</w:t>
      </w:r>
      <w:r>
        <w:t xml:space="preserve"> </w:t>
      </w:r>
      <w:r>
        <w:t xml:space="preserve">The exercise should be read as a falsification-style stress test rather</w:t>
      </w:r>
      <w:r>
        <w:t xml:space="preserve"> </w:t>
      </w:r>
      <w:r>
        <w:t xml:space="preserve">than a universal theorem about all return processes. It asks whether a</w:t>
      </w:r>
      <w:r>
        <w:t xml:space="preserve"> </w:t>
      </w:r>
      <w:r>
        <w:t xml:space="preserve">common row-naive workflow can badly overreject when same-date common</w:t>
      </w:r>
      <w:r>
        <w:t xml:space="preserve"> </w:t>
      </w:r>
      <w:r>
        <w:t xml:space="preserve">shocks and serial dependence are present. A method that behaves well in</w:t>
      </w:r>
      <w:r>
        <w:t xml:space="preserve"> </w:t>
      </w:r>
      <w:r>
        <w:t xml:space="preserve">this grid still needs the regularity conditions stated above; the grid</w:t>
      </w:r>
      <w:r>
        <w:t xml:space="preserve"> </w:t>
      </w:r>
      <w:r>
        <w:t xml:space="preserve">does not exhaust long memory, infinite-variance returns, structural</w:t>
      </w:r>
      <w:r>
        <w:t xml:space="preserve"> </w:t>
      </w:r>
      <w:r>
        <w:t xml:space="preserve">breaks, or changing researcher menus.</w:t>
      </w:r>
      <w:r>
        <w:t xml:space="preserve"> </w:t>
      </w:r>
      <w:r>
        <w:t xml:space="preserve">The simulation uses</w:t>
      </w:r>
      <w:r>
        <w:t xml:space="preserve"> </w:t>
      </w:r>
      <m:oMath>
        <m:r>
          <m:rPr/>
          <m:t>1000</m:t>
        </m:r>
      </m:oMath>
      <w:r>
        <w:t xml:space="preserve"> </w:t>
      </w:r>
      <w:r>
        <w:t xml:space="preserve">Monte Carlo replications for the</w:t>
      </w:r>
      <w:r>
        <w:t xml:space="preserve"> </w:t>
      </w:r>
      <w:r>
        <w:t xml:space="preserve">displayed size table,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1000</m:t>
        </m:r>
      </m:oMath>
      <w:r>
        <w:t xml:space="preserve"> </w:t>
      </w:r>
      <w:r>
        <w:t xml:space="preserve">dates and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50</m:t>
        </m:r>
      </m:oMath>
      <w:r>
        <w:t xml:space="preserve"> </w:t>
      </w:r>
      <w:r>
        <w:t xml:space="preserve">entities in the</w:t>
      </w:r>
      <w:r>
        <w:t xml:space="preserve"> </w:t>
      </w:r>
      <w:r>
        <w:t xml:space="preserve">main null designs,</w:t>
      </w:r>
      <w:r>
        <w:t xml:space="preserve"> </w:t>
      </w:r>
      <m:oMath>
        <m:r>
          <m:rPr/>
          <m:t>5000</m:t>
        </m:r>
      </m:oMath>
      <w:r>
        <w:t xml:space="preserve"> </w:t>
      </w:r>
      <w:r>
        <w:t xml:space="preserve">bootstrap draws per simulation, and</w:t>
      </w:r>
      <w:r>
        <w:t xml:space="preserve"> </w:t>
      </w:r>
      <w:r>
        <w:t xml:space="preserve">seed-indexed replications generated from the simulation index.</w:t>
      </w:r>
      <w:r>
        <w:t xml:space="preserve"> </w:t>
      </w:r>
      <w:r>
        <w:t xml:space="preserve">Moving-block and stationary bootstrap procedures use</w:t>
      </w:r>
      <w:r>
        <w:t xml:space="preserve"> </w:t>
      </w:r>
      <m:oMath>
        <m:r>
          <m:rPr/>
          <m:t>ℓ</m:t>
        </m:r>
        <m:r>
          <m:rPr>
            <m:sty m:val="p"/>
          </m:rPr>
          <m:t>=</m:t>
        </m:r>
        <m:r>
          <m:rPr>
            <m:sty m:val="p"/>
          </m:rPr>
          <m:t>⌈</m:t>
        </m:r>
        <m:sSup>
          <m:sSupPr>
            <m:ctrlPr/>
          </m:sSupPr>
          <m:e>
            <m:r>
              <m:rPr/>
              <m:t>T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5</m:t>
            </m:r>
          </m:sup>
        </m:sSup>
        <m:r>
          <m:rPr>
            <m:sty m:val="p"/>
          </m:rPr>
          <m:t>max</m:t>
        </m:r>
        <m:r>
          <m:rPr>
            <m:sty m:val="p"/>
          </m:rPr>
          <m:t>(</m:t>
        </m:r>
        <m:r>
          <m:rPr/>
          <m:t>D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 capped at</w:t>
      </w:r>
      <w:r>
        <w:t xml:space="preserve"> </w:t>
      </w:r>
      <m:oMath>
        <m:r>
          <m:rPr>
            <m:sty m:val="p"/>
          </m:rPr>
          <m:t>⌊</m:t>
        </m:r>
        <m:r>
          <m:rPr/>
          <m:t>T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⌋</m:t>
        </m:r>
      </m:oMath>
      <w:r>
        <w:t xml:space="preserve">, and the stationary bootstrap uses the same mean</w:t>
      </w:r>
      <w:r>
        <w:t xml:space="preserve"> </w:t>
      </w:r>
      <w:r>
        <w:t xml:space="preserve">block length. The full DGP grid, seed policy, configuration hash, and</w:t>
      </w:r>
      <w:r>
        <w:t xml:space="preserve"> </w:t>
      </w:r>
      <w:r>
        <w:t xml:space="preserve">run metadata are included in the reproducibility package.</w:t>
      </w:r>
      <w:r>
        <w:t xml:space="preserve"> </w:t>
      </w:r>
      <w:r>
        <w:t xml:space="preserve">The null designs set the true edge to zero while varying</w:t>
      </w:r>
      <w:r>
        <w:t xml:space="preserve"> </w:t>
      </w:r>
      <w:r>
        <w:t xml:space="preserve">cross-sectional correlation and serial memory; the power designs then</w:t>
      </w:r>
      <w:r>
        <w:t xml:space="preserve"> </w:t>
      </w:r>
      <w:r>
        <w:t xml:space="preserve">increase the true annualized Sharpe on the same dependence-aware</w:t>
      </w:r>
      <w:r>
        <w:t xml:space="preserve"> </w:t>
      </w:r>
      <w:r>
        <w:t xml:space="preserve">decision boundary. The important object is the gap between the</w:t>
      </w:r>
      <w:r>
        <w:t xml:space="preserve"> </w:t>
      </w:r>
      <w:r>
        <w:t xml:space="preserve">row-naive rejection rate and the rejection rates of methods that operate</w:t>
      </w:r>
      <w:r>
        <w:t xml:space="preserve"> </w:t>
      </w:r>
      <w:r>
        <w:t xml:space="preserve">on date-level returns. In the displayed null grid, the row-naive test</w:t>
      </w:r>
      <w:r>
        <w:t xml:space="preserve"> </w:t>
      </w:r>
      <w:r>
        <w:t xml:space="preserve">overrejects around 35–37 percent under dependent nulls, while HAC-delta,</w:t>
      </w:r>
      <w:r>
        <w:t xml:space="preserve"> </w:t>
      </w:r>
      <w:r>
        <w:t xml:space="preserve">moving-block bootstrap, stationary bootstrap, and Romano-Wolf remain much</w:t>
      </w:r>
      <w:r>
        <w:t xml:space="preserve"> </w:t>
      </w:r>
      <w:r>
        <w:t xml:space="preserve">closer to nominal size. In the power grid, row-naive rejection reaches</w:t>
      </w:r>
      <w:r>
        <w:t xml:space="preserve"> </w:t>
      </w:r>
      <w:r>
        <w:t xml:space="preserve">about 50 percent at a true annualized Sharpe near 0.19, before the</w:t>
      </w:r>
      <w:r>
        <w:t xml:space="preserve"> </w:t>
      </w:r>
      <w:r>
        <w:t xml:space="preserve">dependence-aware methods show comparable power; that gap reflects null</w:t>
      </w:r>
      <w:r>
        <w:t xml:space="preserve"> </w:t>
      </w:r>
      <w:r>
        <w:t xml:space="preserve">overrejection rather than valid incremental power.</w:t>
      </w:r>
      <w:r>
        <w:t xml:space="preserve"> </w:t>
      </w:r>
      <w:r>
        <w:t xml:space="preserve">In the null designs,</w:t>
      </w:r>
      <w:r>
        <w:t xml:space="preserve"> </w:t>
      </w:r>
      <m:oMath>
        <m:sSub>
          <m:sSubPr>
            <m:ctrlPr/>
          </m:sSubPr>
          <m:e>
            <m:r>
              <m:rPr/>
              <m:t>μ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t xml:space="preserve">is set or centered so that the date-level</w:t>
      </w:r>
      <w:r>
        <w:t xml:space="preserve"> </w:t>
      </w:r>
      <w:r>
        <w:t xml:space="preserve">strategy return has population Sharpe zero; dependence parameters affect</w:t>
      </w:r>
      <w:r>
        <w:t xml:space="preserve"> </w:t>
      </w:r>
      <w:r>
        <w:t xml:space="preserve">the covariance structure and false precision, not the true positive-edge</w:t>
      </w:r>
      <w:r>
        <w:t xml:space="preserve"> </w:t>
      </w:r>
      <w:r>
        <w:t xml:space="preserve">status.</w:t>
      </w:r>
      <w:r/>
    </w:p>
    <w:p>
      <w:pPr>
        <w:pStyle w:val="685"/>
        <w:pBdr/>
        <w:spacing/>
        <w:ind/>
        <w:rPr/>
      </w:pPr>
      <w:r>
        <w:t xml:space="preserve">The size and power experiment compares row-level naive testing,</w:t>
      </w:r>
      <w:r>
        <w:t xml:space="preserve"> </w:t>
      </w:r>
      <w:r>
        <w:t xml:space="preserve">date-IID bootstrap, HAC-delta inference, moving-block bootstrap,</w:t>
      </w:r>
      <w:r>
        <w:t xml:space="preserve"> </w:t>
      </w:r>
      <w:r>
        <w:t xml:space="preserve">stationary bootstrap, and Romano-Wolf joint resampling. The coverage</w:t>
      </w:r>
      <w:r>
        <w:t xml:space="preserve"> </w:t>
      </w:r>
      <w:r>
        <w:t xml:space="preserve">experiment focuses on the date-level Sharpe target, so row-naive</w:t>
      </w:r>
      <w:r>
        <w:t xml:space="preserve"> </w:t>
      </w:r>
      <w:r>
        <w:t xml:space="preserve">intervals are interpreted as coverage of the economically relevant</w:t>
      </w:r>
      <w:r>
        <w:t xml:space="preserve"> </w:t>
      </w:r>
      <w:r>
        <w:t xml:space="preserve">date-level claim rather than coverage of a separate row-distribution</w:t>
      </w:r>
      <w:r>
        <w:t xml:space="preserve"> </w:t>
      </w:r>
      <w:r>
        <w:t xml:space="preserve">Sharpe. The purpose is not to rank methods by power alone. A method</w:t>
      </w:r>
      <w:r>
        <w:t xml:space="preserve"> </w:t>
      </w:r>
      <w:r>
        <w:t xml:space="preserve">that appears powerful because it overrejects under the null is not</w:t>
      </w:r>
      <w:r>
        <w:t xml:space="preserve"> </w:t>
      </w:r>
      <w:r>
        <w:t xml:space="preserve">acceptable for confirmatory evaluation.</w:t>
      </w:r>
      <w:r>
        <w:t xml:space="preserve"> </w:t>
      </w:r>
      <w:r>
        <w:t xml:space="preserve">Date aggregation removes the row-boundary error; HAC and dependent</w:t>
      </w:r>
      <w:r>
        <w:t xml:space="preserve"> </w:t>
      </w:r>
      <w:r>
        <w:t xml:space="preserve">bootstrap address serial dependence. The date-IID bootstrap is therefore</w:t>
      </w:r>
      <w:r>
        <w:t xml:space="preserve"> </w:t>
      </w:r>
      <w:r>
        <w:t xml:space="preserve">a useful comparator, but not the preferred dependent-return procedure.</w:t>
      </w:r>
      <w:r/>
    </w:p>
    <w:p>
      <w:pPr>
        <w:pStyle w:val="685"/>
        <w:pBdr/>
        <w:spacing/>
        <w:ind/>
        <w:rPr/>
      </w:pPr>
      <w:r>
        <w:t xml:space="preserve">Figure 2 and Table 3 give the main size</w:t>
      </w:r>
      <w:r>
        <w:t xml:space="preserve"> </w:t>
      </w:r>
      <w:r>
        <w:t xml:space="preserve">evidence. The row-naive column is the familiar symbol-date analysis; the</w:t>
      </w:r>
      <w:r>
        <w:t xml:space="preserve"> </w:t>
      </w:r>
      <w:r>
        <w:t xml:space="preserve">HAC-delta, moving-block, stationary, and Romano-Wolf columns make</w:t>
      </w:r>
      <w:r>
        <w:t xml:space="preserve"> </w:t>
      </w:r>
      <w:r>
        <w:t xml:space="preserve">decisions from the date-return series. When row-naive rejection is high</w:t>
      </w:r>
      <w:r>
        <w:t xml:space="preserve"> </w:t>
      </w:r>
      <w:r>
        <w:t xml:space="preserve">in null or near-null designs but the dependence-aware methods remain</w:t>
      </w:r>
      <w:r>
        <w:t xml:space="preserve"> </w:t>
      </w:r>
      <w:r>
        <w:t xml:space="preserve">near nominal size, the apparent extra power is a false precision gain</w:t>
      </w:r>
      <w:r>
        <w:t xml:space="preserve"> </w:t>
      </w:r>
      <w:r>
        <w:t xml:space="preserve">from treating same-date rows as independent evidence. The technical</w:t>
      </w:r>
      <w:r>
        <w:t xml:space="preserve"> </w:t>
      </w:r>
      <w:r>
        <w:t xml:space="preserve">appendix reports the design contract, resampling settings, coverage</w:t>
      </w:r>
      <w:r>
        <w:t xml:space="preserve"> </w:t>
      </w:r>
      <w:r>
        <w:t xml:space="preserve">table, target-boundary diagnostics, design sweeps, power table, and</w:t>
      </w:r>
      <w:r>
        <w:t xml:space="preserve"> </w:t>
      </w:r>
      <w:r>
        <w:t xml:space="preserve">power-curve figure.</w:t>
      </w:r>
      <w:r/>
    </w:p>
    <w:p>
      <w:pPr>
        <w:pStyle w:val="685"/>
        <w:pBdr/>
        <w:spacing/>
        <w:ind/>
        <w:rPr/>
      </w:pPr>
      <w:r>
        <w:t xml:space="preserve">The null-size figure and table are the core simulation results: under</w:t>
      </w:r>
      <w:r>
        <w:t xml:space="preserve"> </w:t>
      </w:r>
      <w:r>
        <w:t xml:space="preserve">dependent nulls, row-naive testing rejects about one third of the time</w:t>
      </w:r>
      <w:r>
        <w:t xml:space="preserve"> </w:t>
      </w:r>
      <w:r>
        <w:t xml:space="preserve">at a nominal 5 percent level, while date-level HAC, block-bootstrap,</w:t>
      </w:r>
      <w:r>
        <w:t xml:space="preserve"> </w:t>
      </w:r>
      <w:r>
        <w:t xml:space="preserve">stationary, and Romano-Wolf procedures stay much closer to size.</w:t>
      </w:r>
      <w:r/>
    </w:p>
    <w:p>
      <w:pPr>
        <w:pStyle w:val="726"/>
        <w:pBdr/>
        <w:spacing/>
        <w:ind/>
        <w:rPr/>
      </w:pPr>
      <w:r/>
      <w:bookmarkStart w:id="47" w:name="fig:null-size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7320" cy="2613660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" descr="generated_figures/null_size_rejections.pdf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27320" cy="2613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1.60pt;height:205.8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rPr/>
      </w:pPr>
      <w:r>
        <w:t xml:space="preserve">Rejection rat</w:t>
      </w:r>
      <w:r>
        <w:t xml:space="preserve">es under null designs. The dashed line is the nominal 5 percent rejection rate. Row-naive rejection is near nominal under IID sampling but rises sharply under dependent nulls, while date-level dependence-aware procedures remain much closer to nominal size.</w:t>
      </w:r>
      <w:bookmarkEnd w:id="47"/>
      <w:r/>
    </w:p>
    <w:p>
      <w:pPr>
        <w:pStyle w:val="685"/>
        <w:pBdr/>
        <w:spacing/>
        <w:ind/>
        <w:rPr/>
      </w:pPr>
      <w:r>
        <w:rPr>
          <w:i/>
          <w:iCs/>
        </w:rPr>
        <w:t xml:space="preserve">Note:</w:t>
      </w:r>
      <w:r>
        <w:t xml:space="preserve"> </w:t>
      </w:r>
      <w:r>
        <w:t xml:space="preserve">Each entry is the fraction of 1000 Monte Carlo replications rejected at nominal 5 percent size. The main null designs use T=1000 dates and N=50 entities. D</w:t>
      </w:r>
      <w:r>
        <w:t xml:space="preserve">ependent null combines same-date and serial dependence; GARCH null adds conditional heteroskedasticity; IID null removes both. Row-naive treats selected asset-date rows as independent; the other procedures operate on the date-level portfolio return series.</w:t>
      </w:r>
      <w:bookmarkEnd w:id="48"/>
      <w:r/>
    </w:p>
    <w:p>
      <w:pPr>
        <w:pStyle w:val="697"/>
        <w:pBdr/>
        <w:spacing/>
        <w:ind/>
        <w:rPr/>
      </w:pPr>
      <w:r/>
      <w:bookmarkStart w:id="49" w:name="discussion-and-limitations"/>
      <w:r>
        <w:rPr>
          <w:rStyle w:val="729"/>
        </w:rPr>
        <w:t xml:space="preserve">9</w:t>
      </w:r>
      <w:r>
        <w:tab/>
      </w:r>
      <w:r>
        <w:t xml:space="preserve">Discussion and limitations</w:t>
      </w:r>
      <w:r/>
    </w:p>
    <w:p>
      <w:pPr>
        <w:pStyle w:val="686"/>
        <w:pBdr/>
        <w:spacing/>
        <w:ind/>
        <w:rPr/>
      </w:pPr>
      <w:r>
        <w:t xml:space="preserve">The results should be read as a financial-econometrics testing exercise</w:t>
      </w:r>
      <w:r>
        <w:t xml:space="preserve"> </w:t>
      </w:r>
      <w:r>
        <w:t xml:space="preserve">for entity-time panel evidence. The framework addresses two common</w:t>
      </w:r>
      <w:r>
        <w:t xml:space="preserve"> </w:t>
      </w:r>
      <w:r>
        <w:t xml:space="preserve">sources of false precision: same-date cross-sectional row multiplication</w:t>
      </w:r>
      <w:r>
        <w:t xml:space="preserve"> </w:t>
      </w:r>
      <w:r>
        <w:t xml:space="preserve">and serial dependence in the date-level return series. It does not</w:t>
      </w:r>
      <w:r>
        <w:t xml:space="preserve"> </w:t>
      </w:r>
      <w:r>
        <w:t xml:space="preserve">remove the need for economic interpretation, out-of-sample validation,</w:t>
      </w:r>
      <w:r>
        <w:t xml:space="preserve"> </w:t>
      </w:r>
      <w:r>
        <w:t xml:space="preserve">liquidity analysis, or venue-specific execution modeling.</w:t>
      </w:r>
      <w:r/>
    </w:p>
    <w:p>
      <w:pPr>
        <w:pStyle w:val="685"/>
        <w:pBdr/>
        <w:spacing/>
        <w:ind/>
        <w:rPr/>
      </w:pPr>
      <w:r>
        <w:t xml:space="preserve">The formal validity statement assumes a fixed and finite researcher menu,</w:t>
      </w:r>
      <w:r>
        <w:t xml:space="preserve"> </w:t>
      </w:r>
      <w:r>
        <w:t xml:space="preserve">stationary date-return series, adequate moments for the Sharpe</w:t>
      </w:r>
      <w:r>
        <w:t xml:space="preserve"> </w:t>
      </w:r>
      <w:r>
        <w:t xml:space="preserve">delta-method expansion, and block-bootstrap regularity. The framework</w:t>
      </w:r>
      <w:r>
        <w:t xml:space="preserve"> </w:t>
      </w:r>
      <w:r>
        <w:t xml:space="preserve">does not cover long-memory processes, infinite-variance returns, growing</w:t>
      </w:r>
      <w:r>
        <w:t xml:space="preserve"> </w:t>
      </w:r>
      <w:r>
        <w:t xml:space="preserve">researcher menus, structural breaks, or nonstationary date returns</w:t>
      </w:r>
      <w:r>
        <w:t xml:space="preserve"> </w:t>
      </w:r>
      <w:r>
        <w:t xml:space="preserve">without additional assumptions. The empirical stationarity, holdout,</w:t>
      </w:r>
      <w:r>
        <w:t xml:space="preserve"> </w:t>
      </w:r>
      <w:r>
        <w:t xml:space="preserve">factor-alpha, placebo, and cost outputs are therefore diagnostics and</w:t>
      </w:r>
      <w:r>
        <w:t xml:space="preserve"> </w:t>
      </w:r>
      <w:r>
        <w:t xml:space="preserve">boundary checks, not proofs that every maintained assumption holds in</w:t>
      </w:r>
      <w:r>
        <w:t xml:space="preserve"> </w:t>
      </w:r>
      <w:r>
        <w:t xml:space="preserve">every market setting. A locked holdout period or independently refreshed</w:t>
      </w:r>
      <w:r>
        <w:t xml:space="preserve"> </w:t>
      </w:r>
      <w:r>
        <w:t xml:space="preserve">sample after the researcher menu is frozen remains the stronger design</w:t>
      </w:r>
      <w:r>
        <w:t xml:space="preserve"> </w:t>
      </w:r>
      <w:r>
        <w:t xml:space="preserve">when such data are available.</w:t>
      </w:r>
      <w:r/>
    </w:p>
    <w:p>
      <w:pPr>
        <w:pStyle w:val="685"/>
        <w:pBdr/>
        <w:spacing/>
        <w:ind/>
        <w:rPr/>
      </w:pPr>
      <w:r>
        <w:t xml:space="preserve">The same adjustment that controls false positives also reduces apparent</w:t>
      </w:r>
      <w:r>
        <w:t xml:space="preserve"> </w:t>
      </w:r>
      <w:r>
        <w:t xml:space="preserve">power because the effective evidence is closer to the number of active</w:t>
      </w:r>
      <w:r>
        <w:t xml:space="preserve"> </w:t>
      </w:r>
      <w:r>
        <w:t xml:space="preserve">dates than to the number of selected rows. A non-rejection after</w:t>
      </w:r>
      <w:r>
        <w:t xml:space="preserve"> </w:t>
      </w:r>
      <w:r>
        <w:t xml:space="preserve">date-level HAC or dependent-bootstrap adjustment should therefore be read</w:t>
      </w:r>
      <w:r>
        <w:t xml:space="preserve"> </w:t>
      </w:r>
      <w:r>
        <w:t xml:space="preserve">as insufficient date-level evidence under the maintained design, not as</w:t>
      </w:r>
      <w:r>
        <w:t xml:space="preserve"> </w:t>
      </w:r>
      <w:r>
        <w:t xml:space="preserve">proof that the underlying economic effect is exactly zero. Longer</w:t>
      </w:r>
      <w:r>
        <w:t xml:space="preserve"> </w:t>
      </w:r>
      <w:r>
        <w:t xml:space="preserve">date histories, independent holdouts, or stronger prior restrictions on</w:t>
      </w:r>
      <w:r>
        <w:t xml:space="preserve"> </w:t>
      </w:r>
      <w:r>
        <w:t xml:space="preserve">the researcher menu are needed when power is the binding concern.</w:t>
      </w:r>
      <w:bookmarkEnd w:id="49"/>
      <w:r/>
    </w:p>
    <w:p>
      <w:pPr>
        <w:pStyle w:val="697"/>
        <w:pBdr/>
        <w:spacing/>
        <w:ind/>
        <w:rPr/>
      </w:pPr>
      <w:r/>
      <w:bookmarkStart w:id="52" w:name="data-and-code-availability"/>
      <w:r>
        <w:rPr>
          <w:rStyle w:val="729"/>
        </w:rPr>
        <w:t xml:space="preserve">10</w:t>
      </w:r>
      <w:r>
        <w:tab/>
      </w:r>
      <w:r>
        <w:t xml:space="preserve">Data and code availability</w:t>
      </w:r>
      <w:r/>
    </w:p>
    <w:p>
      <w:pPr>
        <w:pStyle w:val="686"/>
        <w:pBdr/>
        <w:spacing/>
        <w:ind/>
        <w:rPr/>
      </w:pPr>
      <w:r>
        <w:t xml:space="preserve">The reproducibility package contains the LaTeX source, generated public</w:t>
      </w:r>
      <w:r>
        <w:t xml:space="preserve"> </w:t>
      </w:r>
      <w:r>
        <w:t xml:space="preserve">aggregate tables, public-data loaders, simulation code, unit tests,</w:t>
      </w:r>
      <w:r>
        <w:t xml:space="preserve"> </w:t>
      </w:r>
      <w:r>
        <w:t xml:space="preserve">release scripts, and SHA256 provenance.</w:t>
      </w:r>
      <w:r>
        <w:t xml:space="preserve"> </w:t>
      </w:r>
      <w:r>
        <w:t xml:space="preserve">For double-blind review, the public repository URL is omitted from the</w:t>
      </w:r>
      <w:r>
        <w:t xml:space="preserve"> </w:t>
      </w:r>
      <w:r>
        <w:t xml:space="preserve">manuscript. An anonymized reproducibility package is supplied</w:t>
      </w:r>
      <w:r>
        <w:t xml:space="preserve"> </w:t>
      </w:r>
      <w:r>
        <w:t xml:space="preserve">separately for refereeing; the public repository URL is provided on the</w:t>
      </w:r>
      <w:r>
        <w:t xml:space="preserve"> </w:t>
      </w:r>
      <w:r>
        <w:t xml:space="preserve">title page and will be inserted into the manuscript after review if</w:t>
      </w:r>
      <w:r>
        <w:t xml:space="preserve"> </w:t>
      </w:r>
      <w:r>
        <w:t xml:space="preserve">required.</w:t>
      </w:r>
      <w:r>
        <w:t xml:space="preserve"> </w:t>
      </w:r>
      <w:r>
        <w:t xml:space="preserve">Code is released under Apache-2.0 and manuscript/public aggregate</w:t>
      </w:r>
      <w:r>
        <w:t xml:space="preserve"> </w:t>
      </w:r>
      <w:r>
        <w:t xml:space="preserve">tables under CC-BY 4.0 unless a target venue requires different terms.</w:t>
      </w:r>
      <w:r>
        <w:t xml:space="preserve"> </w:t>
      </w:r>
      <w:r>
        <w:t xml:space="preserve">The public source registry records source URLs, including the Kenneth</w:t>
      </w:r>
      <w:r>
        <w:t xml:space="preserve"> </w:t>
      </w:r>
      <w:r>
        <w:t xml:space="preserve">French Data Library</w:t>
      </w:r>
      <w:r>
        <w:t xml:space="preserve"> </w:t>
      </w:r>
      <w:r>
        <w:t xml:space="preserve">(</w:t>
      </w:r>
      <w:hyperlink r:id="rId10" w:tooltip="https://mba.tuck.dartmouth.edu/pages/faculty/ken.french/data_library.html" w:history="1">
        <w:r>
          <w:rPr>
            <w:rStyle w:val="731"/>
          </w:rPr>
          <w:t xml:space="preserve">https://mba.tuck.dartmouth.edu/pages/faculty/ken.french/data_library.html</w:t>
        </w:r>
      </w:hyperlink>
      <w:r>
        <w:t xml:space="preserve">)</w:t>
      </w:r>
      <w:r>
        <w:t xml:space="preserve"> </w:t>
      </w:r>
      <w:r>
        <w:t xml:space="preserve">and the AQR datasets page (</w:t>
      </w:r>
      <w:hyperlink r:id="rId11" w:tooltip="https://www.aqr.com/Insights/Datasets" w:history="1">
        <w:r>
          <w:rPr>
            <w:rStyle w:val="731"/>
          </w:rPr>
          <w:t xml:space="preserve">https://www.aqr.com/Insights/Datasets</w:t>
        </w:r>
      </w:hyperlink>
      <w:r>
        <w:t xml:space="preserve">);</w:t>
      </w:r>
      <w:r>
        <w:t xml:space="preserve"> </w:t>
      </w:r>
      <w:r>
        <w:t xml:space="preserve">candidate-specific direct download URLs and checksums are included in</w:t>
      </w:r>
      <w:r>
        <w:t xml:space="preserve"> </w:t>
      </w:r>
      <w:r>
        <w:t xml:space="preserve">the reproducibility package.</w:t>
      </w:r>
      <w:r>
        <w:t xml:space="preserve"> </w:t>
      </w:r>
      <w:r>
        <w:t xml:space="preserve">Raw third-party data are not</w:t>
      </w:r>
      <w:r>
        <w:t xml:space="preserve"> </w:t>
      </w:r>
      <w:r>
        <w:t xml:space="preserve">redistributed where source terms do not permit redistribution; the</w:t>
      </w:r>
      <w:r>
        <w:t xml:space="preserve"> </w:t>
      </w:r>
      <w:r>
        <w:t xml:space="preserve">repository instead provides documented loaders, source links, access</w:t>
      </w:r>
      <w:r>
        <w:t xml:space="preserve"> </w:t>
      </w:r>
      <w:r>
        <w:t xml:space="preserve">metadata, generated aggregate tables, and checksums needed to</w:t>
      </w:r>
      <w:r>
        <w:t xml:space="preserve"> </w:t>
      </w:r>
      <w:r>
        <w:t xml:space="preserve">reproduce the analysis. The manuscript tables, figures, and conclusions</w:t>
      </w:r>
      <w:r>
        <w:t xml:space="preserve"> </w:t>
      </w:r>
      <w:r>
        <w:t xml:space="preserve">use public data and simulations only; no nonpublic or workspace-specific</w:t>
      </w:r>
      <w:r>
        <w:t xml:space="preserve"> </w:t>
      </w:r>
      <w:r>
        <w:t xml:space="preserve">production artifacts enter the reported evidence. The technical</w:t>
      </w:r>
      <w:r>
        <w:t xml:space="preserve"> </w:t>
      </w:r>
      <w:r>
        <w:t xml:space="preserve">appendix contains the full</w:t>
      </w:r>
      <w:r>
        <w:t xml:space="preserve"> </w:t>
      </w:r>
      <w:r>
        <w:t xml:space="preserve">simulation grid, robustness tables, positive-control output,</w:t>
      </w:r>
      <w:r>
        <w:t xml:space="preserve"> </w:t>
      </w:r>
      <w:r>
        <w:t xml:space="preserve">configuration notes, and proof details omitted from the main manuscript</w:t>
      </w:r>
      <w:r>
        <w:t xml:space="preserve"> </w:t>
      </w:r>
      <w:r>
        <w:t xml:space="preserve">for length.</w:t>
      </w:r>
      <w:r>
        <w:t xml:space="preserve"> </w:t>
      </w:r>
      <w:r>
        <w:t xml:space="preserve">The release was checked under Python 3.14.5; package requirements and</w:t>
      </w:r>
      <w:r>
        <w:t xml:space="preserve"> </w:t>
      </w:r>
      <w:r>
        <w:t xml:space="preserve">reproduction instructions are recorded in the release manifest and</w:t>
      </w:r>
      <w:r>
        <w:t xml:space="preserve"> </w:t>
      </w:r>
      <w:r>
        <w:rPr>
          <w:rStyle w:val="728"/>
        </w:rPr>
        <w:t xml:space="preserve">requirements-paper.txt</w:t>
      </w:r>
      <w:r>
        <w:t xml:space="preserve">.</w:t>
      </w:r>
      <w:bookmarkEnd w:id="52"/>
      <w:r/>
    </w:p>
    <w:p>
      <w:pPr>
        <w:pStyle w:val="697"/>
        <w:pBdr/>
        <w:spacing/>
        <w:ind/>
        <w:rPr/>
      </w:pPr>
      <w:r/>
      <w:bookmarkStart w:id="53" w:name="conclusion"/>
      <w:r>
        <w:rPr>
          <w:rStyle w:val="729"/>
        </w:rPr>
        <w:t xml:space="preserve">11</w:t>
      </w:r>
      <w:r>
        <w:tab/>
      </w:r>
      <w:r>
        <w:t xml:space="preserve">Conclusion</w:t>
      </w:r>
      <w:r/>
    </w:p>
    <w:p>
      <w:pPr>
        <w:pStyle w:val="686"/>
        <w:pBdr/>
        <w:spacing/>
        <w:ind/>
        <w:rPr/>
      </w:pPr>
      <w:r>
        <w:t xml:space="preserve">The central implication is methodological. In financial panels,</w:t>
      </w:r>
      <w:r>
        <w:t xml:space="preserve"> </w:t>
      </w:r>
      <w:r>
        <w:t xml:space="preserve">multiplying same-date rows does not automatically create independent</w:t>
      </w:r>
      <w:r>
        <w:t xml:space="preserve"> </w:t>
      </w:r>
      <w:r>
        <w:t xml:space="preserve">Sharpe-ratio evidence when the relevant payoff is a date-level portfolio</w:t>
      </w:r>
      <w:r>
        <w:t xml:space="preserve"> </w:t>
      </w:r>
      <w:r>
        <w:t xml:space="preserve">return. The proposed contribution is not a new anomaly but a</w:t>
      </w:r>
      <w:r>
        <w:t xml:space="preserve"> </w:t>
      </w:r>
      <w:r>
        <w:t xml:space="preserve">sampling-boundary diagnostic: aggregate to the date-return series,</w:t>
      </w:r>
      <w:r>
        <w:t xml:space="preserve"> </w:t>
      </w:r>
      <w:r>
        <w:t xml:space="preserve">estimate long-run Sharpe uncertainty at that boundary, and record how far</w:t>
      </w:r>
      <w:r>
        <w:t xml:space="preserve"> </w:t>
      </w:r>
      <w:r>
        <w:t xml:space="preserve">the row-pooled report differed from the confirmatory date-level claim.</w:t>
      </w:r>
      <w:r/>
    </w:p>
    <w:p>
      <w:pPr>
        <w:pStyle w:val="685"/>
        <w:pBdr/>
        <w:spacing/>
        <w:ind/>
        <w:rPr/>
      </w:pPr>
      <w:r>
        <w:t xml:space="preserve">In public benchmark evidence, this framework preserves the canonical</w:t>
      </w:r>
      <w:r>
        <w:t xml:space="preserve"> </w:t>
      </w:r>
      <w:r>
        <w:t xml:space="preserve">French WML result while overturning weaker stress-panel claims once</w:t>
      </w:r>
      <w:r>
        <w:t xml:space="preserve"> </w:t>
      </w:r>
      <w:r>
        <w:t xml:space="preserve">dependence, permutation validity, researcher menus, and turnover costs</w:t>
      </w:r>
      <w:r>
        <w:t xml:space="preserve"> </w:t>
      </w:r>
      <w:r>
        <w:t xml:space="preserve">are respected. Pre-aggregated AQR factor series remain useful</w:t>
      </w:r>
      <w:r>
        <w:t xml:space="preserve"> </w:t>
      </w:r>
      <w:r>
        <w:t xml:space="preserve">time-series benchmarks, but without row-level constituent signals they</w:t>
      </w:r>
      <w:r>
        <w:t xml:space="preserve"> </w:t>
      </w:r>
      <w:r>
        <w:t xml:space="preserve">cannot be evaluated by the panel permutation check.</w:t>
      </w:r>
      <w:r/>
    </w:p>
    <w:p>
      <w:pPr>
        <w:pStyle w:val="685"/>
        <w:pBdr/>
        <w:spacing/>
        <w:ind/>
        <w:rPr/>
      </w:pPr>
      <w:r>
        <w:t xml:space="preserve">The broader implication is that Sharpe-ratio evidence in panels should be</w:t>
      </w:r>
      <w:r>
        <w:t xml:space="preserve"> </w:t>
      </w:r>
      <w:r>
        <w:t xml:space="preserve">judged at the date-level portfolio return boundary. Future</w:t>
      </w:r>
      <w:r>
        <w:t xml:space="preserve"> </w:t>
      </w:r>
      <w:r>
        <w:t xml:space="preserve">work can extend the framework to richer implementation-cost models,</w:t>
      </w:r>
      <w:r>
        <w:t xml:space="preserve"> </w:t>
      </w:r>
      <w:r>
        <w:t xml:space="preserve">time-varying cross-sectional dependence, variable selected-count</w:t>
      </w:r>
      <w:r>
        <w:t xml:space="preserve"> </w:t>
      </w:r>
      <w:r>
        <w:t xml:space="preserve">asymptotics, larger anomaly panels, and richer blocked-permutation</w:t>
      </w:r>
      <w:r>
        <w:t xml:space="preserve"> </w:t>
      </w:r>
      <w:r>
        <w:t xml:space="preserve">designs; those extensions are beyond the scope of this paper.</w:t>
      </w:r>
      <w:bookmarkEnd w:id="53"/>
      <w:r/>
    </w:p>
    <w:p>
      <w:pPr>
        <w:pStyle w:val="697"/>
        <w:pBdr/>
        <w:spacing/>
        <w:ind/>
        <w:rPr/>
      </w:pPr>
      <w:r/>
      <w:bookmarkStart w:id="54" w:name="author-contributions"/>
      <w:r>
        <w:t xml:space="preserve">Author contributions</w:t>
      </w:r>
      <w:r/>
    </w:p>
    <w:p>
      <w:pPr>
        <w:pStyle w:val="686"/>
        <w:pBdr/>
        <w:spacing/>
        <w:ind/>
        <w:rPr/>
      </w:pPr>
      <w:r>
        <w:t xml:space="preserve">The author was responsible for conceptualization, methodology, software,</w:t>
      </w:r>
      <w:r>
        <w:t xml:space="preserve"> </w:t>
      </w:r>
      <w:r>
        <w:t xml:space="preserve">validation, formal analysis, data curation, writing, and revision.</w:t>
      </w:r>
      <w:bookmarkEnd w:id="54"/>
      <w:r/>
    </w:p>
    <w:p>
      <w:pPr>
        <w:pStyle w:val="697"/>
        <w:pBdr/>
        <w:spacing/>
        <w:ind/>
        <w:rPr/>
      </w:pPr>
      <w:r/>
      <w:bookmarkStart w:id="55" w:name="funding"/>
      <w:r>
        <w:t xml:space="preserve">Funding</w:t>
      </w:r>
      <w:r/>
    </w:p>
    <w:p>
      <w:pPr>
        <w:pStyle w:val="686"/>
        <w:pBdr/>
        <w:spacing/>
        <w:ind/>
        <w:rPr/>
      </w:pPr>
      <w:r>
        <w:t xml:space="preserve">This research did not receive any specific grant from funding agencies in</w:t>
      </w:r>
      <w:r>
        <w:t xml:space="preserve"> </w:t>
      </w:r>
      <w:r>
        <w:t xml:space="preserve">the public, commercial, or not-for-profit sectors.</w:t>
      </w:r>
      <w:bookmarkEnd w:id="55"/>
      <w:r/>
    </w:p>
    <w:p>
      <w:pPr>
        <w:pStyle w:val="697"/>
        <w:pBdr/>
        <w:spacing/>
        <w:ind/>
        <w:rPr/>
      </w:pPr>
      <w:r/>
      <w:bookmarkStart w:id="56" w:name="acknowledgments"/>
      <w:r>
        <w:t xml:space="preserve">Acknowledgments</w:t>
      </w:r>
      <w:r/>
    </w:p>
    <w:p>
      <w:pPr>
        <w:pStyle w:val="686"/>
        <w:pBdr/>
        <w:spacing/>
        <w:ind/>
        <w:rPr/>
      </w:pPr>
      <w:r>
        <w:t xml:space="preserve">Acknowledgments are omitted from the review manuscript to preserve</w:t>
      </w:r>
      <w:r>
        <w:t xml:space="preserve"> </w:t>
      </w:r>
      <w:r>
        <w:t xml:space="preserve">double-blind anonymity.</w:t>
      </w:r>
      <w:bookmarkEnd w:id="56"/>
      <w:r/>
    </w:p>
    <w:p>
      <w:pPr>
        <w:pStyle w:val="697"/>
        <w:pBdr/>
        <w:spacing/>
        <w:ind/>
        <w:rPr/>
      </w:pPr>
      <w:r/>
      <w:bookmarkStart w:id="57" w:name="declaration-of-interest"/>
      <w:r>
        <w:t xml:space="preserve">Declaration of interest</w:t>
      </w:r>
      <w:r/>
    </w:p>
    <w:p>
      <w:pPr>
        <w:pStyle w:val="686"/>
        <w:pBdr/>
        <w:spacing/>
        <w:ind/>
        <w:rPr/>
      </w:pPr>
      <w:r>
        <w:t xml:space="preserve">The author declares no competing interests.</w:t>
      </w:r>
      <w:bookmarkEnd w:id="57"/>
      <w:r/>
    </w:p>
    <w:p>
      <w:pPr>
        <w:pStyle w:val="697"/>
        <w:pBdr/>
        <w:spacing/>
        <w:ind/>
        <w:rPr/>
      </w:pPr>
      <w:r/>
      <w:bookmarkStart w:id="61" w:name="ethics-statement"/>
      <w:r>
        <w:t xml:space="preserve">Ethics statement</w:t>
      </w:r>
      <w:r/>
    </w:p>
    <w:p>
      <w:pPr>
        <w:pStyle w:val="686"/>
        <w:pBdr/>
        <w:spacing/>
        <w:ind/>
        <w:rPr/>
      </w:pPr>
      <w:r>
        <w:t xml:space="preserve">This study uses publicly available aggregate financial data and</w:t>
      </w:r>
      <w:r>
        <w:t xml:space="preserve"> </w:t>
      </w:r>
      <w:r>
        <w:t xml:space="preserve">simulation data. It does not involve human participants, personal data,</w:t>
      </w:r>
      <w:r>
        <w:t xml:space="preserve"> </w:t>
      </w:r>
      <w:r>
        <w:t xml:space="preserve">clinical data, animal subjects, or cell lines. Ethics approval was</w:t>
      </w:r>
      <w:r>
        <w:t xml:space="preserve"> </w:t>
      </w:r>
      <w:r>
        <w:t xml:space="preserve">therefore not required.</w:t>
      </w:r>
      <w:r/>
    </w:p>
    <w:p>
      <w:pPr>
        <w:pStyle w:val="685"/>
        <w:pBdr/>
        <w:spacing/>
        <w:ind/>
        <w:rPr/>
      </w:pPr>
      <w:r>
        <w:t xml:space="preserve">99</w:t>
      </w:r>
      <w:r/>
    </w:p>
    <w:p>
      <w:pPr>
        <w:pStyle w:val="685"/>
        <w:pBdr/>
        <w:spacing/>
        <w:ind/>
        <w:rPr/>
      </w:pPr>
      <w:r>
        <w:t xml:space="preserve">Almgren, R. and Chriss, N. (2001).</w:t>
      </w:r>
      <w:r>
        <w:t xml:space="preserve"> </w:t>
      </w:r>
      <w:r>
        <w:t xml:space="preserve">Optimal execution of portfolio transactions.</w:t>
      </w:r>
      <w:r>
        <w:t xml:space="preserve"> </w:t>
      </w:r>
      <w:r>
        <w:t xml:space="preserve">, 3:5–39.</w:t>
      </w:r>
      <w:r/>
    </w:p>
    <w:p>
      <w:pPr>
        <w:pStyle w:val="685"/>
        <w:pBdr/>
        <w:spacing/>
        <w:ind/>
        <w:rPr/>
      </w:pPr>
      <w:r>
        <w:t xml:space="preserve">Andrews, D. W. K. (1991).</w:t>
      </w:r>
      <w:r>
        <w:t xml:space="preserve"> </w:t>
      </w:r>
      <w:r>
        <w:t xml:space="preserve">Heteroskedasticity and autocorrelation consistent covariance matrix estimation.</w:t>
      </w:r>
      <w:r>
        <w:t xml:space="preserve"> </w:t>
      </w:r>
      <w:r>
        <w:t xml:space="preserve">, 59(3):817–858.</w:t>
      </w:r>
      <w:r/>
    </w:p>
    <w:p>
      <w:pPr>
        <w:pStyle w:val="685"/>
        <w:pBdr/>
        <w:spacing/>
        <w:ind/>
        <w:rPr/>
      </w:pPr>
      <w:r>
        <w:t xml:space="preserve">Andrews, D. W. K. and Monahan, J. C. (1992).</w:t>
      </w:r>
      <w:r>
        <w:t xml:space="preserve"> </w:t>
      </w:r>
      <w:r>
        <w:t xml:space="preserve">An improved heteroskedasticity and autocorrelation consistent covariance matrix estimator.</w:t>
      </w:r>
      <w:r>
        <w:t xml:space="preserve"> </w:t>
      </w:r>
      <w:r>
        <w:t xml:space="preserve">, 60(4):953–966.</w:t>
      </w:r>
      <w:r/>
    </w:p>
    <w:p>
      <w:pPr>
        <w:pStyle w:val="685"/>
        <w:pBdr/>
        <w:spacing/>
        <w:ind/>
        <w:rPr/>
      </w:pPr>
      <w:r>
        <w:t xml:space="preserve">Bailey, D. H. and Lopez de Prado, M. (2014).</w:t>
      </w:r>
      <w:r>
        <w:t xml:space="preserve"> </w:t>
      </w:r>
      <w:r>
        <w:t xml:space="preserve">The deflated Sharpe ratio: Correcting for selection bias, backtest overfitting, and non-normality.</w:t>
      </w:r>
      <w:r>
        <w:t xml:space="preserve"> </w:t>
      </w:r>
      <w:r>
        <w:t xml:space="preserve">, 40(5):94–107.</w:t>
      </w:r>
      <w:r/>
    </w:p>
    <w:p>
      <w:pPr>
        <w:pStyle w:val="685"/>
        <w:pBdr/>
        <w:spacing/>
        <w:ind/>
        <w:rPr/>
      </w:pPr>
      <w:r>
        <w:t xml:space="preserve">Bailey, D. H., Borwein, J. M., Lopez de Prado, M., and Zhu, Q. J. (2014).</w:t>
      </w:r>
      <w:r>
        <w:t xml:space="preserve"> </w:t>
      </w:r>
      <w:r>
        <w:t xml:space="preserve">The probability of backtest overfitting.</w:t>
      </w:r>
      <w:r>
        <w:t xml:space="preserve"> </w:t>
      </w:r>
      <w:r>
        <w:t xml:space="preserve">, 20(4):39–70.</w:t>
      </w:r>
      <w:r/>
    </w:p>
    <w:p>
      <w:pPr>
        <w:pStyle w:val="685"/>
        <w:pBdr/>
        <w:spacing/>
        <w:ind/>
        <w:rPr/>
      </w:pPr>
      <w:r>
        <w:t xml:space="preserve">Barras, L., Scaillet, O., and Wermers, R. (2010).</w:t>
      </w:r>
      <w:r>
        <w:t xml:space="preserve"> </w:t>
      </w:r>
      <w:r>
        <w:t xml:space="preserve">False discoveries in mutual fund performance: Measuring luck in estimated alphas.</w:t>
      </w:r>
      <w:r>
        <w:t xml:space="preserve"> </w:t>
      </w:r>
      <w:r>
        <w:t xml:space="preserve">, 65(1):179–216.</w:t>
      </w:r>
      <w:r/>
    </w:p>
    <w:p>
      <w:pPr>
        <w:pStyle w:val="685"/>
        <w:pBdr/>
        <w:spacing/>
        <w:ind/>
        <w:rPr/>
      </w:pPr>
      <w:r>
        <w:t xml:space="preserve">Benjamini, Y. and Hochberg, Y. (1995).</w:t>
      </w:r>
      <w:r>
        <w:t xml:space="preserve"> </w:t>
      </w:r>
      <w:r>
        <w:t xml:space="preserve">Controlling the false discovery rate.</w:t>
      </w:r>
      <w:r>
        <w:t xml:space="preserve"> </w:t>
      </w:r>
      <w:r>
        <w:t xml:space="preserve">, 57(1):289–300.</w:t>
      </w:r>
      <w:r/>
    </w:p>
    <w:p>
      <w:pPr>
        <w:pStyle w:val="685"/>
        <w:pBdr/>
        <w:spacing/>
        <w:ind/>
        <w:rPr/>
      </w:pPr>
      <w:r>
        <w:t xml:space="preserve">Benjamini, Y. and Yekutieli, D. (2001).</w:t>
      </w:r>
      <w:r>
        <w:t xml:space="preserve"> </w:t>
      </w:r>
      <w:r>
        <w:t xml:space="preserve">The control of the false discovery rate in multiple testing under dependency.</w:t>
      </w:r>
      <w:r>
        <w:t xml:space="preserve"> </w:t>
      </w:r>
      <w:r>
        <w:t xml:space="preserve">, 29(4):1165–1188.</w:t>
      </w:r>
      <w:r/>
    </w:p>
    <w:p>
      <w:pPr>
        <w:pStyle w:val="685"/>
        <w:pBdr/>
        <w:spacing/>
        <w:ind/>
        <w:rPr/>
      </w:pPr>
      <w:r>
        <w:t xml:space="preserve">Bouchaud, J.-P., Farmer, J. D., and Lillo, F. (2008).</w:t>
      </w:r>
      <w:r>
        <w:t xml:space="preserve"> </w:t>
      </w:r>
      <w:r>
        <w:t xml:space="preserve">How markets slowly digest changes in supply and demand.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Financial Markets: Dynamics and Evolution</w:t>
      </w:r>
      <w:r>
        <w:t xml:space="preserve">, pages 57–160.</w:t>
      </w:r>
      <w:r/>
    </w:p>
    <w:p>
      <w:pPr>
        <w:pStyle w:val="685"/>
        <w:pBdr/>
        <w:spacing/>
        <w:ind/>
        <w:rPr/>
      </w:pPr>
      <w:r>
        <w:t xml:space="preserve">Carhart, M. M. (1997).</w:t>
      </w:r>
      <w:r>
        <w:t xml:space="preserve"> </w:t>
      </w:r>
      <w:r>
        <w:t xml:space="preserve">On persistence in mutual fund performance.</w:t>
      </w:r>
      <w:r>
        <w:t xml:space="preserve"> </w:t>
      </w:r>
      <w:r>
        <w:t xml:space="preserve">, 52(1):57–82.</w:t>
      </w:r>
      <w:r/>
    </w:p>
    <w:p>
      <w:pPr>
        <w:pStyle w:val="685"/>
        <w:pBdr/>
        <w:spacing/>
        <w:ind/>
        <w:rPr/>
      </w:pPr>
      <w:r>
        <w:t xml:space="preserve">Chudik, A. and Pesaran, M. H. (2015).</w:t>
      </w:r>
      <w:r>
        <w:t xml:space="preserve"> </w:t>
      </w:r>
      <w:r>
        <w:t xml:space="preserve">Large panel data models with cross-sectional dependence: A survey.</w:t>
      </w:r>
      <w:r>
        <w:t xml:space="preserve"> </w:t>
      </w:r>
      <w:r>
        <w:t xml:space="preserve">In B. H. Baltagi, editor,</w:t>
      </w:r>
      <w:r>
        <w:t xml:space="preserve"> </w:t>
      </w:r>
      <w:r>
        <w:rPr>
          <w:i/>
          <w:iCs/>
        </w:rPr>
        <w:t xml:space="preserve">The Oxford Handbook of Panel Data</w:t>
      </w:r>
      <w:r>
        <w:t xml:space="preserve">.</w:t>
      </w:r>
      <w:r>
        <w:t xml:space="preserve"> </w:t>
      </w:r>
      <w:r>
        <w:t xml:space="preserve">Oxford University Press.</w:t>
      </w:r>
      <w:r/>
    </w:p>
    <w:p>
      <w:pPr>
        <w:pStyle w:val="685"/>
        <w:pBdr/>
        <w:spacing/>
        <w:ind/>
        <w:rPr/>
      </w:pPr>
      <w:r>
        <w:t xml:space="preserve">Eling, M. and Schuhmacher, F. (2007).</w:t>
      </w:r>
      <w:r>
        <w:t xml:space="preserve"> </w:t>
      </w:r>
      <w:r>
        <w:t xml:space="preserve">Does the choice of performance measure influence the evaluation of</w:t>
      </w:r>
      <w:r>
        <w:t xml:space="preserve"> </w:t>
      </w:r>
      <w:r>
        <w:t xml:space="preserve">hedge funds?</w:t>
      </w:r>
      <w:r>
        <w:t xml:space="preserve"> </w:t>
      </w:r>
      <w:r>
        <w:t xml:space="preserve">, 31(9):2632–2647.</w:t>
      </w:r>
      <w:r/>
    </w:p>
    <w:p>
      <w:pPr>
        <w:pStyle w:val="685"/>
        <w:pBdr/>
        <w:spacing/>
        <w:ind/>
        <w:rPr/>
      </w:pPr>
      <w:r>
        <w:t xml:space="preserve">Fama, E. F. and French, K. R. (1993).</w:t>
      </w:r>
      <w:r>
        <w:t xml:space="preserve"> </w:t>
      </w:r>
      <w:r>
        <w:t xml:space="preserve">Common risk factors in the returns on stocks and bonds.</w:t>
      </w:r>
      <w:r>
        <w:t xml:space="preserve"> </w:t>
      </w:r>
      <w:r>
        <w:t xml:space="preserve">, 33(1):3–56.</w:t>
      </w:r>
      <w:r/>
    </w:p>
    <w:p>
      <w:pPr>
        <w:pStyle w:val="685"/>
        <w:pBdr/>
        <w:spacing/>
        <w:ind/>
        <w:rPr/>
      </w:pPr>
      <w:r>
        <w:t xml:space="preserve">Fama, E. F. and French, K. R. (2010).</w:t>
      </w:r>
      <w:r>
        <w:t xml:space="preserve"> </w:t>
      </w:r>
      <w:r>
        <w:t xml:space="preserve">Luck versus skill in the cross-section of mutual fund returns.</w:t>
      </w:r>
      <w:r>
        <w:t xml:space="preserve"> </w:t>
      </w:r>
      <w:r>
        <w:t xml:space="preserve">, 65(5):1915–1947.</w:t>
      </w:r>
      <w:r/>
    </w:p>
    <w:p>
      <w:pPr>
        <w:pStyle w:val="685"/>
        <w:pBdr/>
        <w:spacing/>
        <w:ind/>
        <w:rPr/>
      </w:pPr>
      <w:r>
        <w:t xml:space="preserve">Frazzini, A., Israel, R., and Moskowitz, T. J. (2015).</w:t>
      </w:r>
      <w:r>
        <w:t xml:space="preserve"> </w:t>
      </w:r>
      <w:r>
        <w:t xml:space="preserve">Trading costs of asset pricing anomalies.</w:t>
      </w:r>
      <w:r>
        <w:t xml:space="preserve"> </w:t>
      </w:r>
      <w:r>
        <w:t xml:space="preserve">Working paper.</w:t>
      </w:r>
      <w:r/>
    </w:p>
    <w:p>
      <w:pPr>
        <w:pStyle w:val="685"/>
        <w:pBdr/>
        <w:spacing/>
        <w:ind/>
        <w:rPr/>
      </w:pPr>
      <w:r>
        <w:t xml:space="preserve">Harvey, C. R. and Liu, Y. (2020a).</w:t>
      </w:r>
      <w:r>
        <w:t xml:space="preserve"> </w:t>
      </w:r>
      <w:r>
        <w:t xml:space="preserve">False (and missed) discoveries in financial economics.</w:t>
      </w:r>
      <w:r>
        <w:t xml:space="preserve"> </w:t>
      </w:r>
      <w:r>
        <w:t xml:space="preserve">, 75(5):2503–2553.</w:t>
      </w:r>
      <w:r>
        <w:t xml:space="preserve"> </w:t>
      </w:r>
      <w:hyperlink r:id="rId12" w:tooltip="https://doi.org/10.1111/jofi.12951" w:history="1">
        <w:r>
          <w:rPr>
            <w:rStyle w:val="731"/>
          </w:rPr>
          <w:t xml:space="preserve">https://doi.org/10.1111/jofi.12951</w:t>
        </w:r>
      </w:hyperlink>
      <w:r>
        <w:t xml:space="preserve">.</w:t>
      </w:r>
      <w:r/>
    </w:p>
    <w:p>
      <w:pPr>
        <w:pStyle w:val="685"/>
        <w:pBdr/>
        <w:spacing/>
        <w:ind/>
        <w:rPr/>
      </w:pPr>
      <w:r>
        <w:t xml:space="preserve">Harvey, C. R. and Liu, Y. (2020b).</w:t>
      </w:r>
      <w:r>
        <w:t xml:space="preserve"> </w:t>
      </w:r>
      <w:r>
        <w:t xml:space="preserve">A census of the factor zoo.</w:t>
      </w:r>
      <w:r>
        <w:t xml:space="preserve"> </w:t>
      </w:r>
      <w:r>
        <w:t xml:space="preserve">SSRN working paper, revised October 2020.</w:t>
      </w:r>
      <w:r>
        <w:t xml:space="preserve"> </w:t>
      </w:r>
      <w:hyperlink r:id="rId13" w:tooltip="https://doi.org/10.2139/ssrn.3341728" w:history="1">
        <w:r>
          <w:rPr>
            <w:rStyle w:val="731"/>
          </w:rPr>
          <w:t xml:space="preserve">https://doi.org/10.2139/ssrn.3341728</w:t>
        </w:r>
      </w:hyperlink>
      <w:r>
        <w:t xml:space="preserve">.</w:t>
      </w:r>
      <w:r/>
    </w:p>
    <w:p>
      <w:pPr>
        <w:pStyle w:val="685"/>
        <w:pBdr/>
        <w:spacing/>
        <w:ind/>
        <w:rPr/>
      </w:pPr>
      <w:r>
        <w:t xml:space="preserve">Harvey, C. R., Liu, Y., and Zhu, H. (2016).</w:t>
      </w:r>
      <w:r>
        <w:t xml:space="preserve"> </w:t>
      </w:r>
      <w:r>
        <w:t xml:space="preserve">... and the cross-section of expected returns.</w:t>
      </w:r>
      <w:r>
        <w:t xml:space="preserve"> </w:t>
      </w:r>
      <w:r>
        <w:t xml:space="preserve">, 29(1):5–68.</w:t>
      </w:r>
      <w:r/>
    </w:p>
    <w:p>
      <w:pPr>
        <w:pStyle w:val="685"/>
        <w:pBdr/>
        <w:spacing/>
        <w:ind/>
        <w:rPr/>
      </w:pPr>
      <w:r>
        <w:t xml:space="preserve">Hasbrouck, J. (2009).</w:t>
      </w:r>
      <w:r>
        <w:t xml:space="preserve"> </w:t>
      </w:r>
      <w:r>
        <w:t xml:space="preserve">Trading costs and returns for U.S. equities.</w:t>
      </w:r>
      <w:r>
        <w:t xml:space="preserve"> </w:t>
      </w:r>
      <w:r>
        <w:t xml:space="preserve">, 64(3):1445–1477.</w:t>
      </w:r>
      <w:r/>
    </w:p>
    <w:p>
      <w:pPr>
        <w:pStyle w:val="685"/>
        <w:pBdr/>
        <w:spacing/>
        <w:ind/>
        <w:rPr/>
      </w:pPr>
      <w:r>
        <w:t xml:space="preserve">Holm, S. (1979).</w:t>
      </w:r>
      <w:r>
        <w:t xml:space="preserve"> </w:t>
      </w:r>
      <w:r>
        <w:t xml:space="preserve">A simple sequentially rejective multiple test procedure.</w:t>
      </w:r>
      <w:r>
        <w:t xml:space="preserve"> </w:t>
      </w:r>
      <w:r>
        <w:t xml:space="preserve">, 6(2):65–70.</w:t>
      </w:r>
      <w:r/>
    </w:p>
    <w:p>
      <w:pPr>
        <w:pStyle w:val="685"/>
        <w:pBdr/>
        <w:spacing/>
        <w:ind/>
        <w:rPr/>
      </w:pPr>
      <w:r>
        <w:t xml:space="preserve">Jobson, J. D. and Korkie, B. M. (1981).</w:t>
      </w:r>
      <w:r>
        <w:t xml:space="preserve"> </w:t>
      </w:r>
      <w:r>
        <w:t xml:space="preserve">Performance hypothesis testing with the Sharpe and Treynor measures.</w:t>
      </w:r>
      <w:r>
        <w:t xml:space="preserve"> </w:t>
      </w:r>
      <w:r>
        <w:t xml:space="preserve">, 36(4):889–908.</w:t>
      </w:r>
      <w:r/>
    </w:p>
    <w:p>
      <w:pPr>
        <w:pStyle w:val="685"/>
        <w:pBdr/>
        <w:spacing/>
        <w:ind/>
        <w:rPr/>
      </w:pPr>
      <w:r>
        <w:t xml:space="preserve">Kish, L. (1965).</w:t>
      </w:r>
      <w:r>
        <w:t xml:space="preserve"> </w:t>
      </w:r>
      <w:r>
        <w:t xml:space="preserve">.</w:t>
      </w:r>
      <w:r>
        <w:t xml:space="preserve"> </w:t>
      </w:r>
      <w:r>
        <w:t xml:space="preserve">Wiley.</w:t>
      </w:r>
      <w:r/>
    </w:p>
    <w:p>
      <w:pPr>
        <w:pStyle w:val="685"/>
        <w:pBdr/>
        <w:spacing/>
        <w:ind/>
        <w:rPr/>
      </w:pPr>
      <w:r>
        <w:t xml:space="preserve">Kiefer, N. M. and Vogelsang, T. J. (2005).</w:t>
      </w:r>
      <w:r>
        <w:t xml:space="preserve"> </w:t>
      </w:r>
      <w:r>
        <w:t xml:space="preserve">A new asymptotic theory for heteroskedasticity-autocorrelation robust tests.</w:t>
      </w:r>
      <w:r>
        <w:t xml:space="preserve"> </w:t>
      </w:r>
      <w:r>
        <w:t xml:space="preserve">, 129(1–2):131–162.</w:t>
      </w:r>
      <w:r/>
    </w:p>
    <w:p>
      <w:pPr>
        <w:pStyle w:val="685"/>
        <w:pBdr/>
        <w:spacing/>
        <w:ind/>
        <w:rPr/>
      </w:pPr>
      <w:r>
        <w:t xml:space="preserve">Kunsch, H. R. (1989).</w:t>
      </w:r>
      <w:r>
        <w:t xml:space="preserve"> </w:t>
      </w:r>
      <w:r>
        <w:t xml:space="preserve">The jackknife and the bootstrap for general stationary observations.</w:t>
      </w:r>
      <w:r>
        <w:t xml:space="preserve"> </w:t>
      </w:r>
      <w:r>
        <w:t xml:space="preserve">, 17(3):1217–1241.</w:t>
      </w:r>
      <w:r/>
    </w:p>
    <w:p>
      <w:pPr>
        <w:pStyle w:val="685"/>
        <w:pBdr/>
        <w:spacing/>
        <w:ind/>
        <w:rPr/>
      </w:pPr>
      <w:r>
        <w:t xml:space="preserve">Lahiri, S. N. (2003).</w:t>
      </w:r>
      <w:r>
        <w:t xml:space="preserve"> </w:t>
      </w:r>
      <w:r>
        <w:t xml:space="preserve">.</w:t>
      </w:r>
      <w:r>
        <w:t xml:space="preserve"> </w:t>
      </w:r>
      <w:r>
        <w:t xml:space="preserve">Springer.</w:t>
      </w:r>
      <w:r/>
    </w:p>
    <w:p>
      <w:pPr>
        <w:pStyle w:val="685"/>
        <w:pBdr/>
        <w:spacing/>
        <w:ind/>
        <w:rPr/>
      </w:pPr>
      <w:r>
        <w:t xml:space="preserve">Ledoit, O. and Wolf, M. (2008).</w:t>
      </w:r>
      <w:r>
        <w:t xml:space="preserve"> </w:t>
      </w:r>
      <w:r>
        <w:t xml:space="preserve">Robust performance hypothesis testing with the Sharpe ratio.</w:t>
      </w:r>
      <w:r>
        <w:t xml:space="preserve"> </w:t>
      </w:r>
      <w:r>
        <w:t xml:space="preserve">, 15(5):850–859.</w:t>
      </w:r>
      <w:r/>
    </w:p>
    <w:p>
      <w:pPr>
        <w:pStyle w:val="685"/>
        <w:pBdr/>
        <w:spacing/>
        <w:ind/>
        <w:rPr/>
      </w:pPr>
      <w:r>
        <w:t xml:space="preserve">Lo, A. W. (2002).</w:t>
      </w:r>
      <w:r>
        <w:t xml:space="preserve"> </w:t>
      </w:r>
      <w:r>
        <w:t xml:space="preserve">The statistics of Sharpe ratios.</w:t>
      </w:r>
      <w:r>
        <w:t xml:space="preserve"> </w:t>
      </w:r>
      <w:r>
        <w:t xml:space="preserve">, 58(4):36–52.</w:t>
      </w:r>
      <w:r/>
    </w:p>
    <w:p>
      <w:pPr>
        <w:pStyle w:val="685"/>
        <w:pBdr/>
        <w:spacing/>
        <w:ind/>
        <w:rPr/>
      </w:pPr>
      <w:r>
        <w:t xml:space="preserve">McLean, R. D. and Pontiff, J. (2016).</w:t>
      </w:r>
      <w:r>
        <w:t xml:space="preserve"> </w:t>
      </w:r>
      <w:r>
        <w:t xml:space="preserve">Does academic research destroy stock return predictability?</w:t>
      </w:r>
      <w:r>
        <w:t xml:space="preserve"> </w:t>
      </w:r>
      <w:r>
        <w:t xml:space="preserve">, 71(1):5–32.</w:t>
      </w:r>
      <w:r/>
    </w:p>
    <w:p>
      <w:pPr>
        <w:pStyle w:val="685"/>
        <w:pBdr/>
        <w:spacing/>
        <w:ind/>
        <w:rPr/>
      </w:pPr>
      <w:r>
        <w:t xml:space="preserve">Memmel, C. (2003).</w:t>
      </w:r>
      <w:r>
        <w:t xml:space="preserve"> </w:t>
      </w:r>
      <w:r>
        <w:t xml:space="preserve">Performance hypothesis testing with the Sharpe ratio.</w:t>
      </w:r>
      <w:r>
        <w:t xml:space="preserve"> </w:t>
      </w:r>
      <w:r>
        <w:t xml:space="preserve">, 1:21–23.</w:t>
      </w:r>
      <w:r/>
    </w:p>
    <w:p>
      <w:pPr>
        <w:pStyle w:val="685"/>
        <w:pBdr/>
        <w:spacing/>
        <w:ind/>
        <w:rPr/>
      </w:pPr>
      <w:r>
        <w:t xml:space="preserve">Moulton, B. R. (1986).</w:t>
      </w:r>
      <w:r>
        <w:t xml:space="preserve"> </w:t>
      </w:r>
      <w:r>
        <w:t xml:space="preserve">Random group effects and the precision of regression estimates.</w:t>
      </w:r>
      <w:r>
        <w:t xml:space="preserve"> </w:t>
      </w:r>
      <w:r>
        <w:t xml:space="preserve">, 32(3):385–397.</w:t>
      </w:r>
      <w:r/>
    </w:p>
    <w:p>
      <w:pPr>
        <w:pStyle w:val="685"/>
        <w:pBdr/>
        <w:spacing/>
        <w:ind/>
        <w:rPr/>
      </w:pPr>
      <w:r>
        <w:t xml:space="preserve">Newey, W. K. and West, K. D. (1987).</w:t>
      </w:r>
      <w:r>
        <w:t xml:space="preserve"> </w:t>
      </w:r>
      <w:r>
        <w:t xml:space="preserve">A simple, positive semi-definite, heteroskedasticity and</w:t>
      </w:r>
      <w:r>
        <w:t xml:space="preserve"> </w:t>
      </w:r>
      <w:r>
        <w:t xml:space="preserve">autocorrelation consistent covariance matrix.</w:t>
      </w:r>
      <w:r>
        <w:t xml:space="preserve"> </w:t>
      </w:r>
      <w:r>
        <w:t xml:space="preserve">, 55(3):703–708.</w:t>
      </w:r>
      <w:r/>
    </w:p>
    <w:p>
      <w:pPr>
        <w:pStyle w:val="685"/>
        <w:pBdr/>
        <w:spacing/>
        <w:ind/>
        <w:rPr/>
      </w:pPr>
      <w:r>
        <w:t xml:space="preserve">Novy-Marx, R. (2014).</w:t>
      </w:r>
      <w:r>
        <w:t xml:space="preserve"> </w:t>
      </w:r>
      <w:r>
        <w:t xml:space="preserve">Predicting anomaly performance with politics, the weather, global warming, sunspots, and the stars.</w:t>
      </w:r>
      <w:r>
        <w:t xml:space="preserve"> </w:t>
      </w:r>
      <w:r>
        <w:t xml:space="preserve">, 112(2):137–146.</w:t>
      </w:r>
      <w:r/>
    </w:p>
    <w:p>
      <w:pPr>
        <w:pStyle w:val="685"/>
        <w:pBdr/>
        <w:spacing/>
        <w:ind/>
        <w:rPr/>
      </w:pPr>
      <w:r>
        <w:t xml:space="preserve">Opdyke, J. D. (2007).</w:t>
      </w:r>
      <w:r>
        <w:t xml:space="preserve"> </w:t>
      </w:r>
      <w:r>
        <w:t xml:space="preserve">Comparing Sharpe ratios: So where are the p-values?</w:t>
      </w:r>
      <w:r>
        <w:t xml:space="preserve"> </w:t>
      </w:r>
      <w:r>
        <w:t xml:space="preserve">, 8(5):308–336.</w:t>
      </w:r>
      <w:r/>
    </w:p>
    <w:p>
      <w:pPr>
        <w:pStyle w:val="685"/>
        <w:pBdr/>
        <w:spacing/>
        <w:ind/>
        <w:rPr/>
      </w:pPr>
      <w:r>
        <w:t xml:space="preserve">Politis, D. N. and Romano, J. P. (1994).</w:t>
      </w:r>
      <w:r>
        <w:t xml:space="preserve"> </w:t>
      </w:r>
      <w:r>
        <w:t xml:space="preserve">The stationary bootstrap.</w:t>
      </w:r>
      <w:r>
        <w:t xml:space="preserve"> </w:t>
      </w:r>
      <w:r>
        <w:t xml:space="preserve">, 89(428):1303–1313.</w:t>
      </w:r>
      <w:r/>
    </w:p>
    <w:p>
      <w:pPr>
        <w:pStyle w:val="685"/>
        <w:pBdr/>
        <w:spacing/>
        <w:ind/>
        <w:rPr/>
      </w:pPr>
      <w:r>
        <w:t xml:space="preserve">Politis, D. N. and White, H. (2004).</w:t>
      </w:r>
      <w:r>
        <w:t xml:space="preserve"> </w:t>
      </w:r>
      <w:r>
        <w:t xml:space="preserve">Automatic block-length selection for the dependent bootstrap.</w:t>
      </w:r>
      <w:r>
        <w:t xml:space="preserve"> </w:t>
      </w:r>
      <w:r>
        <w:t xml:space="preserve">, 23(1):53–70.</w:t>
      </w:r>
      <w:r/>
    </w:p>
    <w:p>
      <w:pPr>
        <w:pStyle w:val="685"/>
        <w:pBdr/>
        <w:spacing/>
        <w:ind/>
        <w:rPr/>
      </w:pPr>
      <w:r>
        <w:t xml:space="preserve">Petersen, M. A. (2009).</w:t>
      </w:r>
      <w:r>
        <w:t xml:space="preserve"> </w:t>
      </w:r>
      <w:r>
        <w:t xml:space="preserve">Estimating standard errors in finance panel data sets: Comparing approaches.</w:t>
      </w:r>
      <w:r>
        <w:t xml:space="preserve"> </w:t>
      </w:r>
      <w:r>
        <w:t xml:space="preserve">, 22(1):435–480.</w:t>
      </w:r>
      <w:r>
        <w:t xml:space="preserve"> </w:t>
      </w:r>
      <w:hyperlink r:id="rId14" w:tooltip="https://doi.org/10.1093/rfs/hhn053" w:history="1">
        <w:r>
          <w:rPr>
            <w:rStyle w:val="731"/>
          </w:rPr>
          <w:t xml:space="preserve">https://doi.org/10.1093/rfs/hhn053</w:t>
        </w:r>
      </w:hyperlink>
      <w:r>
        <w:t xml:space="preserve">.</w:t>
      </w:r>
      <w:r/>
    </w:p>
    <w:p>
      <w:pPr>
        <w:pStyle w:val="685"/>
        <w:pBdr/>
        <w:spacing/>
        <w:ind/>
        <w:rPr/>
      </w:pPr>
      <w:r>
        <w:t xml:space="preserve">Romano, J. P. and Wolf, M. (2005).</w:t>
      </w:r>
      <w:r>
        <w:t xml:space="preserve"> </w:t>
      </w:r>
      <w:r>
        <w:t xml:space="preserve">Stepwise multiple testing as formalized data snooping.</w:t>
      </w:r>
      <w:r>
        <w:t xml:space="preserve"> </w:t>
      </w:r>
      <w:r>
        <w:t xml:space="preserve">, 73(4):1237–1282.</w:t>
      </w:r>
      <w:r/>
    </w:p>
    <w:p>
      <w:pPr>
        <w:pStyle w:val="685"/>
        <w:pBdr/>
        <w:spacing/>
        <w:ind/>
        <w:rPr/>
      </w:pPr>
      <w:r>
        <w:t xml:space="preserve">Storey, J. D. (2002).</w:t>
      </w:r>
      <w:r>
        <w:t xml:space="preserve"> </w:t>
      </w:r>
      <w:r>
        <w:t xml:space="preserve">A direct approach to false discovery rates.</w:t>
      </w:r>
      <w:r>
        <w:t xml:space="preserve"> </w:t>
      </w:r>
      <w:r>
        <w:t xml:space="preserve">, 64(3):479–498.</w:t>
      </w:r>
      <w:r/>
    </w:p>
    <w:p>
      <w:pPr>
        <w:pStyle w:val="685"/>
        <w:pBdr/>
        <w:spacing/>
        <w:ind/>
        <w:rPr/>
      </w:pPr>
      <w:r>
        <w:t xml:space="preserve">White, H. (2000).</w:t>
      </w:r>
      <w:r>
        <w:t xml:space="preserve"> </w:t>
      </w:r>
      <w:r>
        <w:t xml:space="preserve">A reality check for data snooping.</w:t>
      </w:r>
      <w:r>
        <w:t xml:space="preserve"> </w:t>
      </w:r>
      <w:r>
        <w:t xml:space="preserve">, 68(5):1097–1126.</w:t>
      </w:r>
      <w:bookmarkEnd w:id="61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Body Text"/>
    <w:basedOn w:val="684"/>
    <w:link w:val="727"/>
    <w:qFormat/>
    <w:pPr>
      <w:pBdr/>
      <w:spacing w:after="180" w:before="180"/>
      <w:ind/>
    </w:pPr>
  </w:style>
  <w:style w:type="paragraph" w:styleId="686" w:customStyle="1">
    <w:name w:val="First Paragraph"/>
    <w:basedOn w:val="685"/>
    <w:next w:val="685"/>
    <w:qFormat/>
    <w:pPr>
      <w:pBdr/>
      <w:spacing/>
      <w:ind/>
    </w:pPr>
  </w:style>
  <w:style w:type="paragraph" w:styleId="687" w:customStyle="1">
    <w:name w:val="Compact"/>
    <w:basedOn w:val="685"/>
    <w:qFormat/>
    <w:pPr>
      <w:pBdr/>
      <w:spacing w:after="36" w:before="36"/>
      <w:ind/>
    </w:pPr>
  </w:style>
  <w:style w:type="paragraph" w:styleId="688">
    <w:name w:val="Title"/>
    <w:basedOn w:val="684"/>
    <w:next w:val="685"/>
    <w:link w:val="68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89" w:customStyle="1">
    <w:name w:val="Title Char"/>
    <w:basedOn w:val="718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0">
    <w:name w:val="Subtitle"/>
    <w:basedOn w:val="688"/>
    <w:next w:val="685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1" w:customStyle="1">
    <w:name w:val="Subtitle Char"/>
    <w:basedOn w:val="718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 w:customStyle="1">
    <w:name w:val="Author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3">
    <w:name w:val="Date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4" w:customStyle="1">
    <w:name w:val="Abstract Title"/>
    <w:basedOn w:val="684"/>
    <w:next w:val="6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5" w:customStyle="1">
    <w:name w:val="Abstract"/>
    <w:basedOn w:val="684"/>
    <w:next w:val="68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6">
    <w:name w:val="Bibliography"/>
    <w:basedOn w:val="684"/>
    <w:next w:val="696"/>
    <w:qFormat/>
    <w:pPr>
      <w:pBdr/>
      <w:spacing/>
      <w:ind/>
    </w:pPr>
  </w:style>
  <w:style w:type="paragraph" w:styleId="697">
    <w:name w:val="Heading 1"/>
    <w:basedOn w:val="684"/>
    <w:next w:val="685"/>
    <w:link w:val="7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8">
    <w:name w:val="Heading 2"/>
    <w:basedOn w:val="684"/>
    <w:next w:val="685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9">
    <w:name w:val="Heading 3"/>
    <w:basedOn w:val="684"/>
    <w:next w:val="685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0">
    <w:name w:val="Heading 4"/>
    <w:basedOn w:val="684"/>
    <w:next w:val="685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1">
    <w:name w:val="Heading 5"/>
    <w:basedOn w:val="684"/>
    <w:next w:val="685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2">
    <w:name w:val="Heading 6"/>
    <w:basedOn w:val="684"/>
    <w:next w:val="685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3">
    <w:name w:val="Heading 7"/>
    <w:basedOn w:val="684"/>
    <w:next w:val="685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4">
    <w:name w:val="Heading 8"/>
    <w:basedOn w:val="684"/>
    <w:next w:val="685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5">
    <w:name w:val="Heading 9"/>
    <w:basedOn w:val="684"/>
    <w:next w:val="685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6" w:customStyle="1">
    <w:name w:val="Heading 1 Char"/>
    <w:basedOn w:val="71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7" w:customStyle="1">
    <w:name w:val="Heading 2 Char"/>
    <w:basedOn w:val="718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8" w:customStyle="1">
    <w:name w:val="Heading 3 Char"/>
    <w:basedOn w:val="718"/>
    <w:link w:val="6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9" w:customStyle="1">
    <w:name w:val="Heading 4 Char"/>
    <w:basedOn w:val="718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Heading 5 Char"/>
    <w:basedOn w:val="718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Heading 6 Char"/>
    <w:basedOn w:val="718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Heading 7 Char"/>
    <w:basedOn w:val="718"/>
    <w:link w:val="70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Heading 8 Char"/>
    <w:basedOn w:val="71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Heading 9 Char"/>
    <w:basedOn w:val="718"/>
    <w:link w:val="70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Block Text"/>
    <w:basedOn w:val="685"/>
    <w:next w:val="685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84"/>
    <w:next w:val="716"/>
    <w:uiPriority w:val="9"/>
    <w:unhideWhenUsed/>
    <w:qFormat/>
    <w:pPr>
      <w:pBdr/>
      <w:spacing/>
      <w:ind/>
    </w:pPr>
  </w:style>
  <w:style w:type="paragraph" w:styleId="717">
    <w:name w:val="Footnote Block Text"/>
    <w:basedOn w:val="716"/>
    <w:next w:val="716"/>
    <w:uiPriority w:val="9"/>
    <w:unhideWhenUsed/>
    <w:qFormat/>
    <w:pPr>
      <w:pBdr/>
      <w:spacing w:after="100" w:before="100"/>
      <w:ind w:right="480" w:firstLine="0" w:left="480"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84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84"/>
    <w:pPr>
      <w:pBdr/>
      <w:spacing/>
      <w:ind/>
    </w:pPr>
  </w:style>
  <w:style w:type="paragraph" w:styleId="722">
    <w:name w:val="Caption"/>
    <w:basedOn w:val="684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84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basedOn w:val="718"/>
    <w:link w:val="685"/>
    <w:pPr>
      <w:pBdr/>
      <w:spacing/>
      <w:ind/>
    </w:p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 w:customStyle="1">
    <w:name w:val="Section Number"/>
    <w:basedOn w:val="727"/>
    <w:pPr>
      <w:pBdr/>
      <w:spacing/>
      <w:ind/>
    </w:pPr>
  </w:style>
  <w:style w:type="character" w:styleId="730">
    <w:name w:val="footnote reference"/>
    <w:basedOn w:val="727"/>
    <w:pPr>
      <w:pBdr/>
      <w:spacing/>
      <w:ind/>
    </w:pPr>
    <w:rPr>
      <w:vertAlign w:val="superscript"/>
    </w:rPr>
  </w:style>
  <w:style w:type="character" w:styleId="731">
    <w:name w:val="Hyperlink"/>
    <w:basedOn w:val="727"/>
    <w:pPr>
      <w:pBdr/>
      <w:spacing/>
      <w:ind/>
    </w:pPr>
    <w:rPr>
      <w:color w:val="4f81bd" w:themeColor="accent1"/>
    </w:rPr>
  </w:style>
  <w:style w:type="paragraph" w:styleId="732">
    <w:name w:val="TOC Heading"/>
    <w:basedOn w:val="697"/>
    <w:next w:val="6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84"/>
    <w:link w:val="728"/>
    <w:pPr>
      <w:pBdr/>
      <w:spacing/>
      <w:ind/>
    </w:pPr>
  </w:style>
  <w:style w:type="character" w:styleId="734" w:customStyle="1">
    <w:name w:val="KeywordTok"/>
    <w:basedOn w:val="728"/>
    <w:pPr>
      <w:pBdr/>
      <w:spacing/>
      <w:ind/>
    </w:pPr>
    <w:rPr>
      <w:b/>
      <w:color w:val="007020"/>
    </w:rPr>
  </w:style>
  <w:style w:type="character" w:styleId="735" w:customStyle="1">
    <w:name w:val="DataTypeTok"/>
    <w:basedOn w:val="728"/>
    <w:pPr>
      <w:pBdr/>
      <w:spacing/>
      <w:ind/>
    </w:pPr>
    <w:rPr>
      <w:color w:val="902000"/>
    </w:rPr>
  </w:style>
  <w:style w:type="character" w:styleId="736" w:customStyle="1">
    <w:name w:val="DecValTok"/>
    <w:basedOn w:val="728"/>
    <w:pPr>
      <w:pBdr/>
      <w:spacing/>
      <w:ind/>
    </w:pPr>
    <w:rPr>
      <w:color w:val="40a070"/>
    </w:rPr>
  </w:style>
  <w:style w:type="character" w:styleId="737" w:customStyle="1">
    <w:name w:val="BaseNTok"/>
    <w:basedOn w:val="728"/>
    <w:pPr>
      <w:pBdr/>
      <w:spacing/>
      <w:ind/>
    </w:pPr>
    <w:rPr>
      <w:color w:val="40a070"/>
    </w:rPr>
  </w:style>
  <w:style w:type="character" w:styleId="738" w:customStyle="1">
    <w:name w:val="FloatTok"/>
    <w:basedOn w:val="728"/>
    <w:pPr>
      <w:pBdr/>
      <w:spacing/>
      <w:ind/>
    </w:pPr>
    <w:rPr>
      <w:color w:val="40a070"/>
    </w:rPr>
  </w:style>
  <w:style w:type="character" w:styleId="739" w:customStyle="1">
    <w:name w:val="ConstantTok"/>
    <w:basedOn w:val="728"/>
    <w:pPr>
      <w:pBdr/>
      <w:spacing/>
      <w:ind/>
    </w:pPr>
    <w:rPr>
      <w:color w:val="880000"/>
    </w:rPr>
  </w:style>
  <w:style w:type="character" w:styleId="740" w:customStyle="1">
    <w:name w:val="CharTok"/>
    <w:basedOn w:val="728"/>
    <w:pPr>
      <w:pBdr/>
      <w:spacing/>
      <w:ind/>
    </w:pPr>
    <w:rPr>
      <w:color w:val="4070a0"/>
    </w:rPr>
  </w:style>
  <w:style w:type="character" w:styleId="741" w:customStyle="1">
    <w:name w:val="SpecialCharTok"/>
    <w:basedOn w:val="728"/>
    <w:pPr>
      <w:pBdr/>
      <w:spacing/>
      <w:ind/>
    </w:pPr>
    <w:rPr>
      <w:color w:val="4070a0"/>
    </w:rPr>
  </w:style>
  <w:style w:type="character" w:styleId="742" w:customStyle="1">
    <w:name w:val="StringTok"/>
    <w:basedOn w:val="728"/>
    <w:pPr>
      <w:pBdr/>
      <w:spacing/>
      <w:ind/>
    </w:pPr>
    <w:rPr>
      <w:color w:val="4070a0"/>
    </w:rPr>
  </w:style>
  <w:style w:type="character" w:styleId="743" w:customStyle="1">
    <w:name w:val="VerbatimStringTok"/>
    <w:basedOn w:val="728"/>
    <w:pPr>
      <w:pBdr/>
      <w:spacing/>
      <w:ind/>
    </w:pPr>
    <w:rPr>
      <w:color w:val="4070a0"/>
    </w:rPr>
  </w:style>
  <w:style w:type="character" w:styleId="744" w:customStyle="1">
    <w:name w:val="SpecialStringTok"/>
    <w:basedOn w:val="728"/>
    <w:pPr>
      <w:pBdr/>
      <w:spacing/>
      <w:ind/>
    </w:pPr>
    <w:rPr>
      <w:color w:val="bb6688"/>
    </w:rPr>
  </w:style>
  <w:style w:type="character" w:styleId="745" w:customStyle="1">
    <w:name w:val="ImportTok"/>
    <w:basedOn w:val="728"/>
    <w:pPr>
      <w:pBdr/>
      <w:spacing/>
      <w:ind/>
    </w:pPr>
    <w:rPr>
      <w:b/>
      <w:color w:val="008000"/>
    </w:rPr>
  </w:style>
  <w:style w:type="character" w:styleId="746" w:customStyle="1">
    <w:name w:val="CommentTok"/>
    <w:basedOn w:val="728"/>
    <w:pPr>
      <w:pBdr/>
      <w:spacing/>
      <w:ind/>
    </w:pPr>
    <w:rPr>
      <w:i/>
      <w:color w:val="60a0b0"/>
    </w:rPr>
  </w:style>
  <w:style w:type="character" w:styleId="747" w:customStyle="1">
    <w:name w:val="DocumentationTok"/>
    <w:basedOn w:val="728"/>
    <w:pPr>
      <w:pBdr/>
      <w:spacing/>
      <w:ind/>
    </w:pPr>
    <w:rPr>
      <w:i/>
      <w:color w:val="ba2121"/>
    </w:rPr>
  </w:style>
  <w:style w:type="character" w:styleId="748" w:customStyle="1">
    <w:name w:val="AnnotationTok"/>
    <w:basedOn w:val="728"/>
    <w:pPr>
      <w:pBdr/>
      <w:spacing/>
      <w:ind/>
    </w:pPr>
    <w:rPr>
      <w:b/>
      <w:i/>
      <w:color w:val="60a0b0"/>
    </w:rPr>
  </w:style>
  <w:style w:type="character" w:styleId="749" w:customStyle="1">
    <w:name w:val="CommentVarTok"/>
    <w:basedOn w:val="728"/>
    <w:pPr>
      <w:pBdr/>
      <w:spacing/>
      <w:ind/>
    </w:pPr>
    <w:rPr>
      <w:b/>
      <w:i/>
      <w:color w:val="60a0b0"/>
    </w:rPr>
  </w:style>
  <w:style w:type="character" w:styleId="750" w:customStyle="1">
    <w:name w:val="OtherTok"/>
    <w:basedOn w:val="728"/>
    <w:pPr>
      <w:pBdr/>
      <w:spacing/>
      <w:ind/>
    </w:pPr>
    <w:rPr>
      <w:color w:val="007020"/>
    </w:rPr>
  </w:style>
  <w:style w:type="character" w:styleId="751" w:customStyle="1">
    <w:name w:val="FunctionTok"/>
    <w:basedOn w:val="728"/>
    <w:pPr>
      <w:pBdr/>
      <w:spacing/>
      <w:ind/>
    </w:pPr>
    <w:rPr>
      <w:color w:val="06287e"/>
    </w:rPr>
  </w:style>
  <w:style w:type="character" w:styleId="752" w:customStyle="1">
    <w:name w:val="VariableTok"/>
    <w:basedOn w:val="728"/>
    <w:pPr>
      <w:pBdr/>
      <w:spacing/>
      <w:ind/>
    </w:pPr>
    <w:rPr>
      <w:color w:val="19177c"/>
    </w:rPr>
  </w:style>
  <w:style w:type="character" w:styleId="753" w:customStyle="1">
    <w:name w:val="ControlFlowTok"/>
    <w:basedOn w:val="728"/>
    <w:pPr>
      <w:pBdr/>
      <w:spacing/>
      <w:ind/>
    </w:pPr>
    <w:rPr>
      <w:b/>
      <w:color w:val="007020"/>
    </w:rPr>
  </w:style>
  <w:style w:type="character" w:styleId="754" w:customStyle="1">
    <w:name w:val="OperatorTok"/>
    <w:basedOn w:val="728"/>
    <w:pPr>
      <w:pBdr/>
      <w:spacing/>
      <w:ind/>
    </w:pPr>
    <w:rPr>
      <w:color w:val="666666"/>
    </w:rPr>
  </w:style>
  <w:style w:type="character" w:styleId="755" w:customStyle="1">
    <w:name w:val="BuiltInTok"/>
    <w:basedOn w:val="728"/>
    <w:pPr>
      <w:pBdr/>
      <w:spacing/>
      <w:ind/>
    </w:pPr>
    <w:rPr>
      <w:color w:val="008000"/>
    </w:rPr>
  </w:style>
  <w:style w:type="character" w:styleId="756" w:customStyle="1">
    <w:name w:val="ExtensionTok"/>
    <w:basedOn w:val="728"/>
    <w:pPr>
      <w:pBdr/>
      <w:spacing/>
      <w:ind/>
    </w:pPr>
  </w:style>
  <w:style w:type="character" w:styleId="757" w:customStyle="1">
    <w:name w:val="PreprocessorTok"/>
    <w:basedOn w:val="728"/>
    <w:pPr>
      <w:pBdr/>
      <w:spacing/>
      <w:ind/>
    </w:pPr>
    <w:rPr>
      <w:color w:val="bc7a00"/>
    </w:rPr>
  </w:style>
  <w:style w:type="character" w:styleId="758" w:customStyle="1">
    <w:name w:val="AttributeTok"/>
    <w:basedOn w:val="728"/>
    <w:pPr>
      <w:pBdr/>
      <w:spacing/>
      <w:ind/>
    </w:pPr>
    <w:rPr>
      <w:color w:val="7d9029"/>
    </w:rPr>
  </w:style>
  <w:style w:type="character" w:styleId="759" w:customStyle="1">
    <w:name w:val="RegionMarkerTok"/>
    <w:basedOn w:val="728"/>
    <w:pPr>
      <w:pBdr/>
      <w:spacing/>
      <w:ind/>
    </w:pPr>
  </w:style>
  <w:style w:type="character" w:styleId="760" w:customStyle="1">
    <w:name w:val="InformationTok"/>
    <w:basedOn w:val="728"/>
    <w:pPr>
      <w:pBdr/>
      <w:spacing/>
      <w:ind/>
    </w:pPr>
    <w:rPr>
      <w:b/>
      <w:i/>
      <w:color w:val="60a0b0"/>
    </w:rPr>
  </w:style>
  <w:style w:type="character" w:styleId="761" w:customStyle="1">
    <w:name w:val="WarningTok"/>
    <w:basedOn w:val="728"/>
    <w:pPr>
      <w:pBdr/>
      <w:spacing/>
      <w:ind/>
    </w:pPr>
    <w:rPr>
      <w:b/>
      <w:i/>
      <w:color w:val="60a0b0"/>
    </w:rPr>
  </w:style>
  <w:style w:type="character" w:styleId="762" w:customStyle="1">
    <w:name w:val="AlertTok"/>
    <w:basedOn w:val="728"/>
    <w:pPr>
      <w:pBdr/>
      <w:spacing/>
      <w:ind/>
    </w:pPr>
    <w:rPr>
      <w:b/>
      <w:color w:val="ff0000"/>
    </w:rPr>
  </w:style>
  <w:style w:type="character" w:styleId="763" w:customStyle="1">
    <w:name w:val="ErrorTok"/>
    <w:basedOn w:val="728"/>
    <w:pPr>
      <w:pBdr/>
      <w:spacing/>
      <w:ind/>
    </w:pPr>
    <w:rPr>
      <w:b/>
      <w:color w:val="ff0000"/>
    </w:rPr>
  </w:style>
  <w:style w:type="character" w:styleId="764" w:customStyle="1">
    <w:name w:val="NormalTok"/>
    <w:basedOn w:val="72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mba.tuck.dartmouth.edu/pages/faculty/ken.french/data_library.html" TargetMode="External"/><Relationship Id="rId11" Type="http://schemas.openxmlformats.org/officeDocument/2006/relationships/hyperlink" Target="https://www.aqr.com/Insights/Datasets" TargetMode="External"/><Relationship Id="rId12" Type="http://schemas.openxmlformats.org/officeDocument/2006/relationships/hyperlink" Target="https://doi.org/10.1111/jofi.12951" TargetMode="External"/><Relationship Id="rId13" Type="http://schemas.openxmlformats.org/officeDocument/2006/relationships/hyperlink" Target="https://doi.org/10.2139/ssrn.3341728" TargetMode="External"/><Relationship Id="rId14" Type="http://schemas.openxmlformats.org/officeDocument/2006/relationships/hyperlink" Target="https://doi.org/10.1093/rfs/hhn05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Sampling-Boundary Distortion in Sharpe Ratio: Evidence from Financial Panels</dc:title>
  <dc:creator/>
  <cp:keywords/>
  <cp:revision>1</cp:revision>
  <dcterms:created xsi:type="dcterms:W3CDTF">2026-07-01T17:26:56Z</dcterms:created>
  <dcterms:modified xsi:type="dcterms:W3CDTF">2026-07-01T17:36:11Z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