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Arial" w:cs="Arial" w:eastAsia="Arial" w:hAnsi="Arial"/>
          <w:b/>
          <w:bCs/>
          <w:color w:val="111827"/>
          <w:sz w:val="44"/>
          <w:szCs w:val="44"/>
        </w:rPr>
        <w:t xml:space="preserve">Navigation System Audit</w:t>
      </w:r>
    </w:p>
    <w:p>
      <w:pPr>
        <w:spacing w:after="400"/>
      </w:pPr>
      <w:r>
        <w:rPr>
          <w:rFonts w:ascii="Arial" w:cs="Arial" w:eastAsia="Arial" w:hAnsi="Arial"/>
          <w:color w:val="444444"/>
          <w:sz w:val="24"/>
          <w:szCs w:val="24"/>
        </w:rPr>
        <w:t xml:space="preserve">Navbar, homepage entry points, footer, internal page navigation, and CTAs, audited as one information architecture</w:t>
      </w:r>
    </w:p>
    <w:p>
      <w:pPr>
        <w:spacing w:after="60"/>
      </w:pPr>
      <w:r>
        <w:rPr>
          <w:rFonts w:ascii="Arial" w:cs="Arial" w:eastAsia="Arial" w:hAnsi="Arial"/>
          <w:sz w:val="21"/>
          <w:szCs w:val="21"/>
        </w:rPr>
        <w:t xml:space="preserve">Site: dan-meier-portfolio.vercel.app</w:t>
      </w:r>
    </w:p>
    <w:p>
      <w:pPr>
        <w:spacing w:after="60"/>
      </w:pPr>
      <w:r>
        <w:rPr>
          <w:rFonts w:ascii="Arial" w:cs="Arial" w:eastAsia="Arial" w:hAnsi="Arial"/>
          <w:sz w:val="21"/>
          <w:szCs w:val="21"/>
        </w:rPr>
        <w:t xml:space="preserve">Codebase: my-portfolio (Next.js 14, static export, deployed on Vercel)</w:t>
      </w:r>
    </w:p>
    <w:p>
      <w:pPr>
        <w:spacing w:after="60"/>
      </w:pPr>
      <w:r>
        <w:rPr>
          <w:rFonts w:ascii="Arial" w:cs="Arial" w:eastAsia="Arial" w:hAnsi="Arial"/>
          <w:sz w:val="21"/>
          <w:szCs w:val="21"/>
        </w:rPr>
        <w:t xml:space="preserve">Prepared for: Dan Meier</w:t>
      </w:r>
    </w:p>
    <w:p>
      <w:pPr>
        <w:spacing w:after="400"/>
      </w:pPr>
      <w:r>
        <w:rPr>
          <w:rFonts w:ascii="Arial" w:cs="Arial" w:eastAsia="Arial" w:hAnsi="Arial"/>
          <w:sz w:val="21"/>
          <w:szCs w:val="21"/>
        </w:rPr>
        <w:t xml:space="preserve">Date: July 1, 2026</w:t>
      </w:r>
    </w:p>
    <w:p>
      <w:pPr>
        <w:pStyle w:val="Heading2"/>
      </w:pPr>
      <w:r>
        <w:rPr>
          <w:rFonts w:ascii="Arial" w:cs="Arial" w:eastAsia="Arial" w:hAnsi="Arial"/>
          <w:sz w:val="21"/>
          <w:szCs w:val="21"/>
        </w:rPr>
        <w:t xml:space="preserve">Methodology</w:t>
      </w:r>
    </w:p>
    <w:p>
      <w:pPr>
        <w:spacing w:after="160"/>
      </w:pPr>
      <w:r>
        <w:rPr>
          <w:rFonts w:ascii="Arial" w:cs="Arial" w:eastAsia="Arial" w:hAnsi="Arial"/>
          <w:sz w:val="21"/>
          <w:szCs w:val="21"/>
        </w:rPr>
        <w:t xml:space="preserve">This audit treats the navbar, homepage entry points, footer, internal page navigation, and CTAs as one interconnected system rather than five isolated surfaces. Findings are built from two sources, cross-checked against each other:</w:t>
      </w:r>
    </w:p>
    <w:p>
      <w:pPr>
        <w:pStyle w:val="ListParagraph"/>
        <w:numPr>
          <w:ilvl w:val="0"/>
          <w:numId w:val="2"/>
        </w:numPr>
        <w:spacing w:after="110"/>
      </w:pPr>
      <w:r>
        <w:rPr>
          <w:rFonts w:ascii="Arial" w:cs="Arial" w:eastAsia="Arial" w:hAnsi="Arial"/>
          <w:sz w:val="21"/>
          <w:szCs w:val="21"/>
        </w:rPr>
        <w:t xml:space="preserve">Codebase review — every navigation-related component, hook, and utility, plus twelve prior internal audit and fix documents already in the repository, read in full to establish what has already been diagnosed or changed.</w:t>
      </w:r>
    </w:p>
    <w:p>
      <w:pPr>
        <w:pStyle w:val="ListParagraph"/>
        <w:numPr>
          <w:ilvl w:val="0"/>
          <w:numId w:val="2"/>
        </w:numPr>
        <w:spacing w:after="110"/>
      </w:pPr>
      <w:r>
        <w:rPr>
          <w:rFonts w:ascii="Arial" w:cs="Arial" w:eastAsia="Arial" w:hAnsi="Arial"/>
          <w:sz w:val="21"/>
          <w:szCs w:val="21"/>
        </w:rPr>
        <w:t xml:space="preserve">Live-site verification — direct requests against the production deployment for the homepage, /practice, /projects/research-practice, /services, /services/scoping-call, and representative flagship and legacy project pages, to confirm what a visitor actually experiences today, not just what the source code says it should do.</w:t>
      </w:r>
    </w:p>
    <w:p>
      <w:pPr>
        <w:spacing w:after="160"/>
      </w:pPr>
      <w:r>
        <w:rPr>
          <w:rFonts w:ascii="Arial" w:cs="Arial" w:eastAsia="Arial" w:hAnsi="Arial"/>
          <w:sz w:val="21"/>
          <w:szCs w:val="21"/>
        </w:rPr>
        <w:t xml:space="preserve">Where the two sources agree, a finding is marked confirmed live. Where production diverges from the codebase, that gap is called out on its own — it is one of the most important findings in this audit.</w:t>
      </w:r>
    </w:p>
    <w:p>
      <w:r>
        <w:br w:type="page"/>
      </w:r>
    </w:p>
    <w:p>
      <w:pPr>
        <w:pStyle w:val="Heading1"/>
      </w:pPr>
      <w:r>
        <w:rPr>
          <w:rFonts w:ascii="Arial" w:cs="Arial" w:eastAsia="Arial" w:hAnsi="Arial"/>
          <w:sz w:val="21"/>
          <w:szCs w:val="21"/>
        </w:rPr>
        <w:t xml:space="preserve">Executive Summary</w:t>
      </w:r>
    </w:p>
    <w:p>
      <w:pPr>
        <w:spacing w:after="160"/>
      </w:pPr>
      <w:r>
        <w:rPr>
          <w:rFonts w:ascii="Arial" w:cs="Arial" w:eastAsia="Arial" w:hAnsi="Arial"/>
          <w:sz w:val="21"/>
          <w:szCs w:val="21"/>
        </w:rPr>
        <w:t xml:space="preserve">The site does not have one navigation system. It has three, assigned silently by whichever page template a URL happens to load; six independent implementations of “scroll to a section”; and a production deployment that is currently out of sync with the codebase’s own information-architecture fixes. None of this is visible from any single page — it only surfaces when the navbar, homepage, footer, and internal navigation are examined together, which is the reason for auditing them as one system rather than patching each in isolation.</w:t>
      </w:r>
    </w:p>
    <w:p>
      <w:pPr>
        <w:spacing w:after="160"/>
      </w:pPr>
      <w:r>
        <w:rPr>
          <w:rFonts w:ascii="Arial" w:cs="Arial" w:eastAsia="Arial" w:hAnsi="Arial"/>
          <w:sz w:val="21"/>
          <w:szCs w:val="21"/>
        </w:rPr>
        <w:t xml:space="preserve">Five findings matter most:</w:t>
      </w:r>
    </w:p>
    <w:p>
      <w:pPr>
        <w:spacing w:after="160"/>
      </w:pPr>
      <w:r>
        <w:rPr>
          <w:rFonts w:ascii="Arial" w:cs="Arial" w:eastAsia="Arial" w:hAnsi="Arial"/>
          <w:b/>
          <w:bCs/>
          <w:sz w:val="21"/>
          <w:szCs w:val="21"/>
        </w:rPr>
        <w:t xml:space="preserve">No global navigation shell. </w:t>
      </w:r>
      <w:r>
        <w:rPr>
          <w:rFonts w:ascii="Arial" w:cs="Arial" w:eastAsia="Arial" w:hAnsi="Arial"/>
          <w:sz w:val="21"/>
          <w:szCs w:val="21"/>
        </w:rPr>
        <w:t xml:space="preserve">app/layout.tsx renders no header or navbar at all. Each page template supplies its own, producing three genuinely different navigation experiences depending on which part of the site a visitor is on.</w:t>
      </w:r>
    </w:p>
    <w:p>
      <w:pPr>
        <w:spacing w:after="160"/>
      </w:pPr>
      <w:r>
        <w:rPr>
          <w:rFonts w:ascii="Arial" w:cs="Arial" w:eastAsia="Arial" w:hAnsi="Arial"/>
          <w:b/>
          <w:bCs/>
          <w:sz w:val="21"/>
          <w:szCs w:val="21"/>
        </w:rPr>
        <w:t xml:space="preserve">Production is running stale navigation logic. </w:t>
      </w:r>
      <w:r>
        <w:rPr>
          <w:rFonts w:ascii="Arial" w:cs="Arial" w:eastAsia="Arial" w:hAnsi="Arial"/>
          <w:sz w:val="21"/>
          <w:szCs w:val="21"/>
        </w:rPr>
        <w:t xml:space="preserve">The canonical /practice/ URL — the exact fix a prior internal audit already recommended, and that vercel.json is configured to redirect old links toward — returns a blank/404 response on the live site, while the legacy /projects/research-practice/ URL it was meant to replace still serves the full page directly, with no redirect firing.</w:t>
      </w:r>
    </w:p>
    <w:p>
      <w:pPr>
        <w:spacing w:after="160"/>
      </w:pPr>
      <w:r>
        <w:rPr>
          <w:rFonts w:ascii="Arial" w:cs="Arial" w:eastAsia="Arial" w:hAnsi="Arial"/>
          <w:b/>
          <w:bCs/>
          <w:sz w:val="21"/>
          <w:szCs w:val="21"/>
        </w:rPr>
        <w:t xml:space="preserve">“Contact” means three different things depending on where it’s clicked. </w:t>
      </w:r>
      <w:r>
        <w:rPr>
          <w:rFonts w:ascii="Arial" w:cs="Arial" w:eastAsia="Arial" w:hAnsi="Arial"/>
          <w:sz w:val="21"/>
          <w:szCs w:val="21"/>
        </w:rPr>
        <w:t xml:space="preserve">An empty anchor on the homepage, a scoping-call booking form everywhere else, and a footer mailto link addressed to a different email than the one on file.</w:t>
      </w:r>
    </w:p>
    <w:p>
      <w:pPr>
        <w:spacing w:after="160"/>
      </w:pPr>
      <w:r>
        <w:rPr>
          <w:rFonts w:ascii="Arial" w:cs="Arial" w:eastAsia="Arial" w:hAnsi="Arial"/>
          <w:b/>
          <w:bCs/>
          <w:sz w:val="21"/>
          <w:szCs w:val="21"/>
        </w:rPr>
        <w:t xml:space="preserve">Six separate systems compete to do the same job. </w:t>
      </w:r>
      <w:r>
        <w:rPr>
          <w:rFonts w:ascii="Arial" w:cs="Arial" w:eastAsia="Arial" w:hAnsi="Arial"/>
          <w:sz w:val="21"/>
          <w:szCs w:val="21"/>
        </w:rPr>
        <w:t xml:space="preserve">At least six independent components/hooks each implement their own “scroll smoothly to a section” logic, with different offsets and timing — including the exact ResizeObserver pattern a prior internal doc already flagged as a route-transition crash risk, still unresolved.</w:t>
      </w:r>
    </w:p>
    <w:p>
      <w:pPr>
        <w:spacing w:after="160"/>
      </w:pPr>
      <w:r>
        <w:rPr>
          <w:rFonts w:ascii="Arial" w:cs="Arial" w:eastAsia="Arial" w:hAnsi="Arial"/>
          <w:b/>
          <w:bCs/>
          <w:sz w:val="21"/>
          <w:szCs w:val="21"/>
        </w:rPr>
        <w:t xml:space="preserve">The site quietly operates two tiers of navigation richness. </w:t>
      </w:r>
      <w:r>
        <w:rPr>
          <w:rFonts w:ascii="Arial" w:cs="Arial" w:eastAsia="Arial" w:hAnsi="Arial"/>
          <w:sz w:val="21"/>
          <w:szCs w:val="21"/>
        </w:rPr>
        <w:t xml:space="preserve">The nine flagship practice/concept pages get a full mega-nav reachable from anywhere in one click; the twelve client-work case studies get only a “Back to Projects” link and must backtrack through a hub before reaching Practice, Services, or Contact — and this split extends down into page metadata, where legacy pages still carry the pre-rebrand title “Daniel Meier - Digital Designer &amp; Developer” instead of the current “Systems Design Practice” positioning.</w:t>
      </w:r>
    </w:p>
    <w:p>
      <w:pPr>
        <w:spacing w:after="160"/>
      </w:pPr>
      <w:r>
        <w:rPr>
          <w:rFonts w:ascii="Arial" w:cs="Arial" w:eastAsia="Arial" w:hAnsi="Arial"/>
          <w:sz w:val="21"/>
          <w:szCs w:val="21"/>
        </w:rPr>
        <w:t xml:space="preserve">The recommendations at the end of this report are organized the same way the findings are: as fixes to the system’s shared plumbing (one canonical scroll utility, one shared header component, one data-driven source of truth for labels and project lists) rather than as a list of one-off patches to the navbar or the footer individually.</w:t>
      </w:r>
    </w:p>
    <w:p>
      <w:r>
        <w:br w:type="page"/>
      </w:r>
    </w:p>
    <w:p>
      <w:pPr>
        <w:pStyle w:val="Heading1"/>
      </w:pPr>
      <w:r>
        <w:rPr>
          <w:rFonts w:ascii="Arial" w:cs="Arial" w:eastAsia="Arial" w:hAnsi="Arial"/>
          <w:sz w:val="21"/>
          <w:szCs w:val="21"/>
        </w:rPr>
        <w:t xml:space="preserve">Current-State System Map</w:t>
      </w:r>
    </w:p>
    <w:p>
      <w:pPr>
        <w:pStyle w:val="Heading2"/>
      </w:pPr>
      <w:r>
        <w:rPr>
          <w:rFonts w:ascii="Arial" w:cs="Arial" w:eastAsia="Arial" w:hAnsi="Arial"/>
          <w:sz w:val="21"/>
          <w:szCs w:val="21"/>
        </w:rPr>
        <w:t xml:space="preserve">How the system is actually assembled</w:t>
      </w:r>
    </w:p>
    <w:p>
      <w:pPr>
        <w:spacing w:after="160"/>
      </w:pPr>
      <w:r>
        <w:rPr>
          <w:rFonts w:ascii="Arial" w:cs="Arial" w:eastAsia="Arial" w:hAnsi="Arial"/>
          <w:sz w:val="21"/>
          <w:szCs w:val="21"/>
        </w:rPr>
        <w:t xml:space="preserve">app/layout.tsx is a pure server component. It renders, in order: a full-screen loading overlay, a wrapper that forces a complete DOM remount on every route change (key={pathname}), the page content, a conditional footer, and a scroll-correction utility. It does not render a navbar, header, or any persistent top-level navigation — that responsibility is delegated entirely to individual page templates. This is a deliberate, documented outcome of earlier crash-fix work (stripping a global Navbar/NavigationWrapper out of the layout to eliminate WebGL and hydration race conditions), not an oversight — but its side effect is that “the navbar” is not one thing anywhere in this codebase.</w:t>
      </w:r>
    </w:p>
    <w:p>
      <w:pPr>
        <w:pStyle w:val="Heading2"/>
      </w:pPr>
      <w:r>
        <w:rPr>
          <w:rFonts w:ascii="Arial" w:cs="Arial" w:eastAsia="Arial" w:hAnsi="Arial"/>
          <w:sz w:val="21"/>
          <w:szCs w:val="21"/>
        </w:rPr>
        <w:t xml:space="preserve">Three navigation tiers, by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660"/>
        <w:gridCol w:w="2000"/>
      </w:tblGrid>
      <w:tr>
        <w:trPr>
          <w:tblHeader/>
        </w:trPr>
        <w:tc>
          <w:tcPr>
            <w:tcW w:type="dxa" w:w="18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Tier</w:t>
            </w:r>
          </w:p>
        </w:tc>
        <w:tc>
          <w:tcPr>
            <w:tcW w:type="dxa" w:w="29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Pages</w:t>
            </w:r>
          </w:p>
        </w:tc>
        <w:tc>
          <w:tcPr>
            <w:tcW w:type="dxa" w:w="266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Navigation surface</w:t>
            </w:r>
          </w:p>
        </w:tc>
        <w:tc>
          <w:tcPr>
            <w:tcW w:type="dxa" w:w="20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Reach</w:t>
            </w:r>
          </w:p>
        </w:tc>
      </w:tr>
      <w:tr>
        <w:tc>
          <w:tcPr>
            <w:tcW w:type="dxa" w:w="18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Homepage</w:t>
            </w:r>
          </w:p>
        </w:tc>
        <w:tc>
          <w:tcPr>
            <w:tcW w:type="dxa" w:w="29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t>
            </w:r>
          </w:p>
        </w:tc>
        <w:tc>
          <w:tcPr>
            <w:tcW w:type="dxa" w:w="26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HomepageSideNav only: a 5-item scroll-spy dot nav (Intro, About, Work, Travel, Contact). No persistent header.</w:t>
            </w:r>
          </w:p>
        </w:tc>
        <w:tc>
          <w:tcPr>
            <w:tcW w:type="dxa" w:w="2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Cannot reach Practice, Services, or any project without scrolling to an in-page CTA or the footer.</w:t>
            </w:r>
          </w:p>
        </w:tc>
      </w:tr>
      <w:tr>
        <w:tc>
          <w:tcPr>
            <w:tcW w:type="dxa" w:w="18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Flagship / Practice</w:t>
            </w:r>
          </w:p>
        </w:tc>
        <w:tc>
          <w:tcPr>
            <w:tcW w:type="dxa" w:w="29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/practice, /services, /services/scoping-call, and 9 concept &amp; build pages under /projects/*</w:t>
            </w:r>
          </w:p>
        </w:tc>
        <w:tc>
          <w:tcPr>
            <w:tcW w:type="dxa" w:w="26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Full mega-nav (ProjectPracticeNavDropdown): Practice, Work dropdown (grouped project list), Services, Contact — present on every page in this tier.</w:t>
            </w:r>
          </w:p>
        </w:tc>
        <w:tc>
          <w:tcPr>
            <w:tcW w:type="dxa" w:w="2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Any page in this tier reachable from any other in one click.</w:t>
            </w:r>
          </w:p>
        </w:tc>
      </w:tr>
      <w:tr>
        <w:tc>
          <w:tcPr>
            <w:tcW w:type="dxa" w:w="18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Legacy client work</w:t>
            </w:r>
          </w:p>
        </w:tc>
        <w:tc>
          <w:tcPr>
            <w:tcW w:type="dxa" w:w="29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12 case studies under /projects/previous/* plus /projects/purdue</w:t>
            </w:r>
          </w:p>
        </w:tc>
        <w:tc>
          <w:tcPr>
            <w:tcW w:type="dxa" w:w="26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“Back to Projects” link + a breadcrumb (Hub / Project Type). No Practice/Services/Contact access.</w:t>
            </w:r>
          </w:p>
        </w:tc>
        <w:tc>
          <w:tcPr>
            <w:tcW w:type="dxa" w:w="2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Must return to the /projects/previous hub before reaching anything outside this tier.</w:t>
            </w:r>
          </w:p>
        </w:tc>
      </w:tr>
    </w:tbl>
    <w:p>
      <w:pPr>
        <w:spacing w:after="160"/>
      </w:pPr>
    </w:p>
    <w:p>
      <w:pPr>
        <w:pStyle w:val="Heading2"/>
      </w:pPr>
      <w:r>
        <w:rPr>
          <w:rFonts w:ascii="Arial" w:cs="Arial" w:eastAsia="Arial" w:hAnsi="Arial"/>
          <w:sz w:val="21"/>
          <w:szCs w:val="21"/>
        </w:rPr>
        <w:t xml:space="preserve">Full route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Section</w:t>
            </w:r>
          </w:p>
        </w:tc>
        <w:tc>
          <w:tcPr>
            <w:tcW w:type="dxa" w:w="316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Live routes</w:t>
            </w:r>
          </w:p>
        </w:tc>
        <w:tc>
          <w:tcPr>
            <w:tcW w:type="dxa" w:w="30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w:t>
            </w:r>
          </w:p>
        </w:tc>
      </w:tr>
      <w:tr>
        <w:tc>
          <w:tcPr>
            <w:tcW w:type="dxa" w:w="32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Top level</w:t>
            </w:r>
          </w:p>
        </w:tc>
        <w:tc>
          <w:tcPr>
            <w:tcW w:type="dxa" w:w="31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 /practice, /services, /services/scoping-call</w:t>
            </w:r>
          </w:p>
        </w:tc>
        <w:tc>
          <w:tcPr>
            <w:tcW w:type="dxa" w:w="3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Homepage has no header; the other three share the mega-nav.</w:t>
            </w:r>
          </w:p>
        </w:tc>
      </w:tr>
      <w:tr>
        <w:tc>
          <w:tcPr>
            <w:tcW w:type="dxa" w:w="32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Flagship practice / concept pages</w:t>
            </w:r>
          </w:p>
        </w:tc>
        <w:tc>
          <w:tcPr>
            <w:tcW w:type="dxa" w:w="31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/projects/environmental-systems-design-os, /projects/architecture-of-confidence, /projects/wayfinding-matrix, /projects/intention-engine, /projects/responsive-ecologies, /projects/adaptive-ranch-experience-companion, /projects/travel-and-ai (+ 6 nested sub-pages), /projects/digital-executor, /projects/field-notes</w:t>
            </w:r>
          </w:p>
        </w:tc>
        <w:tc>
          <w:tcPr>
            <w:tcW w:type="dxa" w:w="3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Each ships its own near-duplicate header component that delegates the menu to the shared dropdown.</w:t>
            </w:r>
          </w:p>
        </w:tc>
      </w:tr>
      <w:tr>
        <w:tc>
          <w:tcPr>
            <w:tcW w:type="dxa" w:w="32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Legacy client work</w:t>
            </w:r>
          </w:p>
        </w:tc>
        <w:tc>
          <w:tcPr>
            <w:tcW w:type="dxa" w:w="31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/projects/purdue, /projects/previous (hub), plus 11 case studies (timbertech, healthcare, mcdonalds-kiosk, intel, nodalytics, newdea, doublegood, advisestream, sphere-software, havas-agency, rich-products)</w:t>
            </w:r>
          </w:p>
        </w:tc>
        <w:tc>
          <w:tcPr>
            <w:tcW w:type="dxa" w:w="3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Thin nav tier; not reachable from the Work dropdown’s menu items individually — only the hub is.</w:t>
            </w:r>
          </w:p>
        </w:tc>
      </w:tr>
      <w:tr>
        <w:tc>
          <w:tcPr>
            <w:tcW w:type="dxa" w:w="32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Redirected / retired</w:t>
            </w:r>
          </w:p>
        </w:tc>
        <w:tc>
          <w:tcPr>
            <w:tcW w:type="dxa" w:w="31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/projects/research-practice, /favicon-generator (+8 tool variants), /sandbox/systems-module, /projects/timbertech/details, /projects/travel-and-ai/system-orchestrator, /mockups/trust-verification-report</w:t>
            </w:r>
          </w:p>
        </w:tc>
        <w:tc>
          <w:tcPr>
            <w:tcW w:type="dxa" w:w="3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Configured in vercel.json to redirect forward. See Finding 2 — not all of these redirects are confirmed firing in production.</w:t>
            </w:r>
          </w:p>
        </w:tc>
      </w:tr>
      <w:tr>
        <w:tc>
          <w:tcPr>
            <w:tcW w:type="dxa" w:w="32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Referenced but non-existent</w:t>
            </w:r>
          </w:p>
        </w:tc>
        <w:tc>
          <w:tcPr>
            <w:tcW w:type="dxa" w:w="31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/work, /contact</w:t>
            </w:r>
          </w:p>
        </w:tc>
        <w:tc>
          <w:tcPr>
            <w:tcW w:type="dxa" w:w="3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Checked for by ConditionalFooter.tsx’s styling logic, but no matching page exists in the route tree. Harmless today; a sign of a rename or cut page that was never fully cleaned up.</w:t>
            </w:r>
          </w:p>
        </w:tc>
      </w:tr>
    </w:tbl>
    <w:p>
      <w:pPr>
        <w:spacing w:after="160"/>
      </w:pPr>
    </w:p>
    <w:p>
      <w:r>
        <w:br w:type="page"/>
      </w:r>
    </w:p>
    <w:p>
      <w:pPr>
        <w:pStyle w:val="Heading1"/>
      </w:pPr>
      <w:r>
        <w:rPr>
          <w:rFonts w:ascii="Arial" w:cs="Arial" w:eastAsia="Arial" w:hAnsi="Arial"/>
          <w:sz w:val="21"/>
          <w:szCs w:val="21"/>
        </w:rPr>
        <w:t xml:space="preserve">Findings</w:t>
      </w:r>
    </w:p>
    <w:p>
      <w:pPr>
        <w:spacing w:after="160"/>
      </w:pPr>
      <w:r>
        <w:rPr>
          <w:rFonts w:ascii="Arial" w:cs="Arial" w:eastAsia="Arial" w:hAnsi="Arial"/>
          <w:sz w:val="21"/>
          <w:szCs w:val="21"/>
        </w:rPr>
        <w:t xml:space="preserve">Findings are grouped by the cross-cutting pattern they represent, not by which component happens to contain them — several show up simultaneously in the navbar, the footer, and a CTA, which is exactly why they were missed by prior audits that looked at each surface on its own.</w:t>
      </w:r>
    </w:p>
    <w:p>
      <w:pPr>
        <w:pBdr>
          <w:bottom w:val="single" w:color="2E5AAC" w:sz="6" w:space="4"/>
        </w:pBdr>
        <w:spacing w:after="130" w:before="340"/>
      </w:pPr>
      <w:r>
        <w:rPr>
          <w:rFonts w:ascii="Arial" w:cs="Arial" w:eastAsia="Arial" w:hAnsi="Arial"/>
          <w:b/>
          <w:bCs/>
          <w:color w:val="2E5AAC"/>
          <w:sz w:val="24"/>
          <w:szCs w:val="24"/>
        </w:rPr>
        <w:t xml:space="preserve">Finding 1 — </w:t>
      </w:r>
      <w:r>
        <w:rPr>
          <w:rFonts w:ascii="Arial" w:cs="Arial" w:eastAsia="Arial" w:hAnsi="Arial"/>
          <w:b/>
          <w:bCs/>
          <w:color w:val="111827"/>
          <w:sz w:val="24"/>
          <w:szCs w:val="24"/>
        </w:rPr>
        <w:t xml:space="preserve">No shared navigation shell — three tiers of nav richness by page type</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High — structural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in code and live</w:t>
      </w:r>
    </w:p>
    <w:p>
      <w:pPr>
        <w:spacing w:after="160"/>
      </w:pPr>
      <w:r>
        <w:rPr>
          <w:rFonts w:ascii="Arial" w:cs="Arial" w:eastAsia="Arial" w:hAnsi="Arial"/>
          <w:sz w:val="21"/>
          <w:szCs w:val="21"/>
        </w:rPr>
        <w:t xml:space="preserve">Because app/layout.tsx renders no header, navigation is entirely opt-in per page template. The result, mapped in the System Map above, is that a visitor’s ability to reach Practice, Services, or Contact depends entirely on which of three templates the current page happens to use — not on any deliberate wayfinding design. A visitor arriving on a client-work case study (a very plausible entry point from a search result or a shared link) lands in the thinnest tier of the whole site and has to backtrack through a hub page to reach anything else.</w:t>
      </w:r>
    </w:p>
    <w:p>
      <w:pPr>
        <w:spacing w:after="160"/>
      </w:pPr>
      <w:r>
        <w:rPr>
          <w:rFonts w:ascii="Arial" w:cs="Arial" w:eastAsia="Arial" w:hAnsi="Arial"/>
          <w:sz w:val="21"/>
          <w:szCs w:val="21"/>
        </w:rPr>
        <w:t xml:space="preserve">This also explains why so many of the other findings below exist: with no shared shell, every page family had to independently decide what “navigation” means, which is how the site ended up with near-duplicate header components (Finding 6) and six different scroll systems (Finding 4).</w:t>
      </w:r>
    </w:p>
    <w:p>
      <w:pPr>
        <w:pBdr>
          <w:bottom w:val="single" w:color="2E5AAC" w:sz="6" w:space="4"/>
        </w:pBdr>
        <w:spacing w:after="130" w:before="340"/>
      </w:pPr>
      <w:r>
        <w:rPr>
          <w:rFonts w:ascii="Arial" w:cs="Arial" w:eastAsia="Arial" w:hAnsi="Arial"/>
          <w:b/>
          <w:bCs/>
          <w:color w:val="2E5AAC"/>
          <w:sz w:val="24"/>
          <w:szCs w:val="24"/>
        </w:rPr>
        <w:t xml:space="preserve">Finding 2 — </w:t>
      </w:r>
      <w:r>
        <w:rPr>
          <w:rFonts w:ascii="Arial" w:cs="Arial" w:eastAsia="Arial" w:hAnsi="Arial"/>
          <w:b/>
          <w:bCs/>
          <w:color w:val="111827"/>
          <w:sz w:val="24"/>
          <w:szCs w:val="24"/>
        </w:rPr>
        <w:t xml:space="preserve">Production is running navigation logic older than the codebase</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High — live defect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live, contradicts shipped code</w:t>
      </w:r>
    </w:p>
    <w:p>
      <w:pPr>
        <w:spacing w:after="160"/>
      </w:pPr>
      <w:r>
        <w:rPr>
          <w:rFonts w:ascii="Arial" w:cs="Arial" w:eastAsia="Arial" w:hAnsi="Arial"/>
          <w:sz w:val="21"/>
          <w:szCs w:val="21"/>
        </w:rPr>
        <w:t xml:space="preserve">A prior internal audit (practice-architecture-audit.md) already identified that the practice page was buried at a portfolio-item URL and recommended promoting it to a top-level /practice URL with a permanent redirect from the old path. The codebase reflects that fix: app/practice/page.tsx exists, builds successfully, and vercel.json redirects /projects/research-practice → /practice/ (permanent).</w:t>
      </w:r>
    </w:p>
    <w:p>
      <w:pPr>
        <w:spacing w:after="160"/>
      </w:pPr>
      <w:r>
        <w:rPr>
          <w:rFonts w:ascii="Arial" w:cs="Arial" w:eastAsia="Arial" w:hAnsi="Arial"/>
          <w:sz w:val="21"/>
          <w:szCs w:val="21"/>
        </w:rPr>
        <w:t xml:space="preserve">On the live production site, this fix is not in effect:</w:t>
      </w:r>
    </w:p>
    <w:p>
      <w:pPr>
        <w:pStyle w:val="ListParagraph"/>
        <w:numPr>
          <w:ilvl w:val="0"/>
          <w:numId w:val="2"/>
        </w:numPr>
        <w:spacing w:after="110"/>
      </w:pPr>
      <w:r>
        <w:rPr>
          <w:rFonts w:ascii="Arial" w:cs="Arial" w:eastAsia="Arial" w:hAnsi="Arial"/>
          <w:sz w:val="21"/>
          <w:szCs w:val="21"/>
        </w:rPr>
        <w:t xml:space="preserve">Requesting /practice/ (or /practice) on the live domain returns an empty response with the same signature as a request to a URL that does not exist at all.</w:t>
      </w:r>
    </w:p>
    <w:p>
      <w:pPr>
        <w:pStyle w:val="ListParagraph"/>
        <w:numPr>
          <w:ilvl w:val="0"/>
          <w:numId w:val="2"/>
        </w:numPr>
        <w:spacing w:after="110"/>
      </w:pPr>
      <w:r>
        <w:rPr>
          <w:rFonts w:ascii="Arial" w:cs="Arial" w:eastAsia="Arial" w:hAnsi="Arial"/>
          <w:sz w:val="21"/>
          <w:szCs w:val="21"/>
        </w:rPr>
        <w:t xml:space="preserve">Requesting the old URL, /projects/research-practice/, does not redirect — it serves the full page directly, with the pre-fix title “Independent Research Practice | Dan Meier.”</w:t>
      </w:r>
    </w:p>
    <w:p>
      <w:pPr>
        <w:pStyle w:val="ListParagraph"/>
        <w:numPr>
          <w:ilvl w:val="0"/>
          <w:numId w:val="2"/>
        </w:numPr>
        <w:spacing w:after="110"/>
      </w:pPr>
      <w:r>
        <w:rPr>
          <w:rFonts w:ascii="Arial" w:cs="Arial" w:eastAsia="Arial" w:hAnsi="Arial"/>
          <w:sz w:val="21"/>
          <w:szCs w:val="21"/>
        </w:rPr>
        <w:t xml:space="preserve">Both the homepage’s primary CTA (“Explore the Practice,” hero and Work section) and the Services page’s “Method source — Systems Design Practice” link point at this same legacy /projects/research-practice/ URL live, not at /practice/ — so even once the redirect is fixed, these hardcoded links should be updated to the canonical path rather than relying on a redirect hop.</w:t>
      </w:r>
    </w:p>
    <w:p>
      <w:pPr>
        <w:spacing w:after="160"/>
      </w:pPr>
      <w:r>
        <w:rPr>
          <w:rFonts w:ascii="Arial" w:cs="Arial" w:eastAsia="Arial" w:hAnsi="Arial"/>
          <w:sz w:val="21"/>
          <w:szCs w:val="21"/>
        </w:rPr>
        <w:t xml:space="preserve">This is worth flagging above every other finding in this report because it means the “current state” visible in the code and the “current state” a visitor experiences are not the same thing right now, and any navigation decision made from the code alone risks being built on an already-outdated assumption about what is live.</w:t>
      </w:r>
    </w:p>
    <w:p>
      <w:pPr>
        <w:pBdr>
          <w:bottom w:val="single" w:color="2E5AAC" w:sz="6" w:space="4"/>
        </w:pBdr>
        <w:spacing w:after="130" w:before="340"/>
      </w:pPr>
      <w:r>
        <w:rPr>
          <w:rFonts w:ascii="Arial" w:cs="Arial" w:eastAsia="Arial" w:hAnsi="Arial"/>
          <w:b/>
          <w:bCs/>
          <w:color w:val="2E5AAC"/>
          <w:sz w:val="24"/>
          <w:szCs w:val="24"/>
        </w:rPr>
        <w:t xml:space="preserve">Finding 3 — </w:t>
      </w:r>
      <w:r>
        <w:rPr>
          <w:rFonts w:ascii="Arial" w:cs="Arial" w:eastAsia="Arial" w:hAnsi="Arial"/>
          <w:b/>
          <w:bCs/>
          <w:color w:val="111827"/>
          <w:sz w:val="24"/>
          <w:szCs w:val="24"/>
        </w:rPr>
        <w:t xml:space="preserve">“Contact” is overloaded and fragments across the system</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Medium — UX / trust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in code and live</w:t>
      </w:r>
    </w:p>
    <w:p>
      <w:pPr>
        <w:spacing w:after="160"/>
      </w:pPr>
      <w:r>
        <w:rPr>
          <w:rFonts w:ascii="Arial" w:cs="Arial" w:eastAsia="Arial" w:hAnsi="Arial"/>
          <w:sz w:val="21"/>
          <w:szCs w:val="21"/>
        </w:rPr>
        <w:t xml:space="preserve">Every surface in the mega-nav tier that says “Contact” routes to /services/scoping-call — a structured booking form (name, organization, system, friction, timeline, budget), not a lightweight way to say hello. That is a deliberate, consistent choice across that tier. But it breaks down at the edges:</w:t>
      </w:r>
    </w:p>
    <w:p>
      <w:pPr>
        <w:pStyle w:val="ListParagraph"/>
        <w:numPr>
          <w:ilvl w:val="0"/>
          <w:numId w:val="2"/>
        </w:numPr>
        <w:spacing w:after="110"/>
      </w:pPr>
      <w:r>
        <w:rPr>
          <w:rFonts w:ascii="Arial" w:cs="Arial" w:eastAsia="Arial" w:hAnsi="Arial"/>
          <w:sz w:val="21"/>
          <w:szCs w:val="21"/>
        </w:rPr>
        <w:t xml:space="preserve">On the homepage, the side-nav’s “Contact” dot does not go to the scoping-call form — it scrolls to an empty, aria-hidden anchor div positioned just above the footer. A prior internal audit (portfolio-homepage-audit.md) already flagged that the homepage has no real contact destination; this finding shows that gap is still substantively true today, even though a #contact anchor now technically exists to satisfy the side-nav link.</w:t>
      </w:r>
    </w:p>
    <w:p>
      <w:pPr>
        <w:pStyle w:val="ListParagraph"/>
        <w:numPr>
          <w:ilvl w:val="0"/>
          <w:numId w:val="2"/>
        </w:numPr>
        <w:spacing w:after="110"/>
      </w:pPr>
      <w:r>
        <w:rPr>
          <w:rFonts w:ascii="Arial" w:cs="Arial" w:eastAsia="Arial" w:hAnsi="Arial"/>
          <w:sz w:val="21"/>
          <w:szCs w:val="21"/>
        </w:rPr>
        <w:t xml:space="preserve">The footer’s mailto link points to danielstevenmeier@outlook.com, which differs from the address on file for this account (danielstevenmeier@gmail.com). Not a navigation-architecture defect on its own, but it is a live “Connect” surface a visitor would actually use, and worth confirming which address is correct.</w:t>
      </w:r>
    </w:p>
    <w:p>
      <w:pPr>
        <w:spacing w:after="160"/>
      </w:pPr>
      <w:r>
        <w:rPr>
          <w:rFonts w:ascii="Arial" w:cs="Arial" w:eastAsia="Arial" w:hAnsi="Arial"/>
          <w:sz w:val="21"/>
          <w:szCs w:val="21"/>
        </w:rPr>
        <w:t xml:space="preserve">A visitor who wants a two-line “get in touch” interaction currently has no low-friction path to one — only a full booking form or a footer email icon.</w:t>
      </w:r>
    </w:p>
    <w:p>
      <w:pPr>
        <w:pBdr>
          <w:bottom w:val="single" w:color="2E5AAC" w:sz="6" w:space="4"/>
        </w:pBdr>
        <w:spacing w:after="130" w:before="340"/>
      </w:pPr>
      <w:r>
        <w:rPr>
          <w:rFonts w:ascii="Arial" w:cs="Arial" w:eastAsia="Arial" w:hAnsi="Arial"/>
          <w:b/>
          <w:bCs/>
          <w:color w:val="2E5AAC"/>
          <w:sz w:val="24"/>
          <w:szCs w:val="24"/>
        </w:rPr>
        <w:t xml:space="preserve">Finding 4 — </w:t>
      </w:r>
      <w:r>
        <w:rPr>
          <w:rFonts w:ascii="Arial" w:cs="Arial" w:eastAsia="Arial" w:hAnsi="Arial"/>
          <w:b/>
          <w:bCs/>
          <w:color w:val="111827"/>
          <w:sz w:val="24"/>
          <w:szCs w:val="24"/>
        </w:rPr>
        <w:t xml:space="preserve">Six independent implementations of “scroll to a section”</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Medium — maintainability / risk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in code</w:t>
      </w:r>
    </w:p>
    <w:p>
      <w:pPr>
        <w:spacing w:after="160"/>
      </w:pPr>
      <w:r>
        <w:rPr>
          <w:rFonts w:ascii="Arial" w:cs="Arial" w:eastAsia="Arial" w:hAnsi="Arial"/>
          <w:sz w:val="21"/>
          <w:szCs w:val="21"/>
        </w:rPr>
        <w:t xml:space="preserve">At least six separate pieces of code each solve the same problem — smoothly scrolling the page to a target section or anchor — with their own offset math, timing heuristics, and completion detection, none apparently sharing a common utility:</w:t>
      </w:r>
    </w:p>
    <w:p>
      <w:pPr>
        <w:pStyle w:val="ListParagraph"/>
        <w:numPr>
          <w:ilvl w:val="0"/>
          <w:numId w:val="2"/>
        </w:numPr>
        <w:spacing w:after="110"/>
      </w:pPr>
      <w:r>
        <w:rPr>
          <w:rFonts w:ascii="Arial" w:cs="Arial" w:eastAsia="Arial" w:hAnsi="Arial"/>
          <w:sz w:val="21"/>
          <w:szCs w:val="21"/>
        </w:rPr>
        <w:t xml:space="preserve">HomepageSideNav.tsx — manual scroll-spy plus scrollIntoView, homepage-only.</w:t>
      </w:r>
    </w:p>
    <w:p>
      <w:pPr>
        <w:pStyle w:val="ListParagraph"/>
        <w:numPr>
          <w:ilvl w:val="0"/>
          <w:numId w:val="2"/>
        </w:numPr>
        <w:spacing w:after="110"/>
      </w:pPr>
      <w:r>
        <w:rPr>
          <w:rFonts w:ascii="Arial" w:cs="Arial" w:eastAsia="Arial" w:hAnsi="Arial"/>
          <w:sz w:val="21"/>
          <w:szCs w:val="21"/>
        </w:rPr>
        <w:t xml:space="preserve">StickyProgressNav.tsx — a generic numbered dot nav with polling-based scroll-completion detection.</w:t>
      </w:r>
    </w:p>
    <w:p>
      <w:pPr>
        <w:pStyle w:val="ListParagraph"/>
        <w:numPr>
          <w:ilvl w:val="0"/>
          <w:numId w:val="2"/>
        </w:numPr>
        <w:spacing w:after="110"/>
      </w:pPr>
      <w:r>
        <w:rPr>
          <w:rFonts w:ascii="Arial" w:cs="Arial" w:eastAsia="Arial" w:hAnsi="Arial"/>
          <w:sz w:val="21"/>
          <w:szCs w:val="21"/>
        </w:rPr>
        <w:t xml:space="preserve">PageNavIndicator.tsx — a differently themed progress bar plus dot nav, functionally overlapping with StickyProgressNav but built independently.</w:t>
      </w:r>
    </w:p>
    <w:p>
      <w:pPr>
        <w:pStyle w:val="ListParagraph"/>
        <w:numPr>
          <w:ilvl w:val="0"/>
          <w:numId w:val="2"/>
        </w:numPr>
        <w:spacing w:after="110"/>
      </w:pPr>
      <w:r>
        <w:rPr>
          <w:rFonts w:ascii="Arial" w:cs="Arial" w:eastAsia="Arial" w:hAnsi="Arial"/>
          <w:sz w:val="21"/>
          <w:szCs w:val="21"/>
        </w:rPr>
        <w:t xml:space="preserve">HashNavigationHandler.tsx — a site-wide interceptor for any a[href^="#"] click.</w:t>
      </w:r>
    </w:p>
    <w:p>
      <w:pPr>
        <w:pStyle w:val="ListParagraph"/>
        <w:numPr>
          <w:ilvl w:val="0"/>
          <w:numId w:val="2"/>
        </w:numPr>
        <w:spacing w:after="110"/>
      </w:pPr>
      <w:r>
        <w:rPr>
          <w:rFonts w:ascii="Arial" w:cs="Arial" w:eastAsia="Arial" w:hAnsi="Arial"/>
          <w:sz w:val="21"/>
          <w:szCs w:val="21"/>
        </w:rPr>
        <w:t xml:space="preserve">useScrollToHash.ts and useHashScrollWithResize.ts — two more hash-scroll hooks, each with their own delay/offset/retry logic.</w:t>
      </w:r>
    </w:p>
    <w:p>
      <w:pPr>
        <w:pStyle w:val="ListParagraph"/>
        <w:numPr>
          <w:ilvl w:val="0"/>
          <w:numId w:val="2"/>
        </w:numPr>
        <w:spacing w:after="110"/>
      </w:pPr>
      <w:r>
        <w:rPr>
          <w:rFonts w:ascii="Arial" w:cs="Arial" w:eastAsia="Arial" w:hAnsi="Arial"/>
          <w:sz w:val="21"/>
          <w:szCs w:val="21"/>
        </w:rPr>
        <w:t xml:space="preserve">utils/scrollUtils.ts — a large standalone module (smoothScrollTo, smoothScrollToId, scrollToElement, calculateTargetPosition, and more) implementing yet another version of the same behavior, with console.log statements left in.</w:t>
      </w:r>
    </w:p>
    <w:p>
      <w:pPr>
        <w:spacing w:after="160"/>
      </w:pPr>
      <w:r>
        <w:rPr>
          <w:rFonts w:ascii="Arial" w:cs="Arial" w:eastAsia="Arial" w:hAnsi="Arial"/>
          <w:sz w:val="21"/>
          <w:szCs w:val="21"/>
        </w:rPr>
        <w:t xml:space="preserve">This is not just redundancy: useHashScrollWithResize.ts still attaches a ResizeObserver to document.body, the exact pattern a prior internal root-cause analysis (NAVIGATION-CRASH-ROOT-CAUSE.md) already identified as a route-transition crash risk. That finding was never resolved — it was simply left in a file the crash doc’s later fixes didn’t touch.</w:t>
      </w:r>
    </w:p>
    <w:p>
      <w:pPr>
        <w:pBdr>
          <w:bottom w:val="single" w:color="2E5AAC" w:sz="6" w:space="4"/>
        </w:pBdr>
        <w:spacing w:after="130" w:before="340"/>
      </w:pPr>
      <w:r>
        <w:rPr>
          <w:rFonts w:ascii="Arial" w:cs="Arial" w:eastAsia="Arial" w:hAnsi="Arial"/>
          <w:b/>
          <w:bCs/>
          <w:color w:val="2E5AAC"/>
          <w:sz w:val="24"/>
          <w:szCs w:val="24"/>
        </w:rPr>
        <w:t xml:space="preserve">Finding 5 — </w:t>
      </w:r>
      <w:r>
        <w:rPr>
          <w:rFonts w:ascii="Arial" w:cs="Arial" w:eastAsia="Arial" w:hAnsi="Arial"/>
          <w:b/>
          <w:bCs/>
          <w:color w:val="111827"/>
          <w:sz w:val="24"/>
          <w:szCs w:val="24"/>
        </w:rPr>
        <w:t xml:space="preserve">The same track has three different names across three surfaces</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Low-Medium — taxonomy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in code and live</w:t>
      </w:r>
    </w:p>
    <w:p>
      <w:pPr>
        <w:spacing w:after="160"/>
      </w:pPr>
      <w:r>
        <w:rPr>
          <w:rFonts w:ascii="Arial" w:cs="Arial" w:eastAsia="Arial" w:hAnsi="Arial"/>
          <w:sz w:val="21"/>
          <w:szCs w:val="21"/>
        </w:rPr>
        <w:t xml:space="preserve">The independent research practice track is labeled differently depending on which navigation surface a visitor is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Surface</w:t>
            </w:r>
          </w:p>
        </w:tc>
        <w:tc>
          <w:tcPr>
            <w:tcW w:type="dxa" w:w="316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Label used</w:t>
            </w:r>
          </w:p>
        </w:tc>
        <w:tc>
          <w:tcPr>
            <w:tcW w:type="dxa" w:w="30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Component</w:t>
            </w:r>
          </w:p>
        </w:tc>
      </w:tr>
      <w:tr>
        <w:tc>
          <w:tcPr>
            <w:tcW w:type="dxa" w:w="32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 breadcrumb (on every legacy case-study page)</w:t>
            </w:r>
          </w:p>
        </w:tc>
        <w:tc>
          <w:tcPr>
            <w:tcW w:type="dxa" w:w="31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“Independent Research Practice”</w:t>
            </w:r>
          </w:p>
        </w:tc>
        <w:tc>
          <w:tcPr>
            <w:tcW w:type="dxa" w:w="3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ProjectBreadcrumb.tsx</w:t>
            </w:r>
          </w:p>
        </w:tc>
      </w:tr>
      <w:tr>
        <w:tc>
          <w:tcPr>
            <w:tcW w:type="dxa" w:w="32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Footer Quick Links</w:t>
            </w:r>
          </w:p>
        </w:tc>
        <w:tc>
          <w:tcPr>
            <w:tcW w:type="dxa" w:w="31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“Systems Design Practice”</w:t>
            </w:r>
          </w:p>
        </w:tc>
        <w:tc>
          <w:tcPr>
            <w:tcW w:type="dxa" w:w="3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StaticFooter.tsx</w:t>
            </w:r>
          </w:p>
        </w:tc>
      </w:tr>
      <w:tr>
        <w:tc>
          <w:tcPr>
            <w:tcW w:type="dxa" w:w="32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Work dropdown group heading</w:t>
            </w:r>
          </w:p>
        </w:tc>
        <w:tc>
          <w:tcPr>
            <w:tcW w:type="dxa" w:w="31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“Systems Design Practice”</w:t>
            </w:r>
          </w:p>
        </w:tc>
        <w:tc>
          <w:tcPr>
            <w:tcW w:type="dxa" w:w="3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utils/projectNavigation.ts (TRACK_GROUPS)</w:t>
            </w:r>
          </w:p>
        </w:tc>
      </w:tr>
    </w:tbl>
    <w:p>
      <w:pPr>
        <w:spacing w:after="160"/>
      </w:pPr>
    </w:p>
    <w:p>
      <w:pPr>
        <w:spacing w:after="160"/>
      </w:pPr>
      <w:r>
        <w:rPr>
          <w:rFonts w:ascii="Arial" w:cs="Arial" w:eastAsia="Arial" w:hAnsi="Arial"/>
          <w:sz w:val="21"/>
          <w:szCs w:val="21"/>
        </w:rPr>
        <w:t xml:space="preserve">Two of three surfaces already agree on “Systems Design Practice,” which is also the phrase used in the homepage’s meta title and hero copy — so the practical fix is narrow (update the breadcrumb), but a prior internal audit already flagged this exact taxonomy conflict as unresolved, and it still is in the code today.</w:t>
      </w:r>
    </w:p>
    <w:p>
      <w:pPr>
        <w:spacing w:after="160"/>
      </w:pPr>
      <w:r>
        <w:rPr>
          <w:rFonts w:ascii="Arial" w:cs="Arial" w:eastAsia="Arial" w:hAnsi="Arial"/>
          <w:sz w:val="21"/>
          <w:szCs w:val="21"/>
        </w:rPr>
        <w:t xml:space="preserve">The same pattern shows up in CTA wording pointing at the same destination: “See how we work together” (homepage), “Scope an engagement” (PracticeAnchor, mid-page), “Book A Scoping Call” and “Services &amp; Engagements” (footer) all lead to /services or /services/scoping-call. Four different phrasings for two destinations is not necessarily wrong, but it means there is no single, recognizable “work with me” call-to-action a repeat visitor can learn to recognize.</w:t>
      </w:r>
    </w:p>
    <w:p>
      <w:pPr>
        <w:pBdr>
          <w:bottom w:val="single" w:color="2E5AAC" w:sz="6" w:space="4"/>
        </w:pBdr>
        <w:spacing w:after="130" w:before="340"/>
      </w:pPr>
      <w:r>
        <w:rPr>
          <w:rFonts w:ascii="Arial" w:cs="Arial" w:eastAsia="Arial" w:hAnsi="Arial"/>
          <w:b/>
          <w:bCs/>
          <w:color w:val="2E5AAC"/>
          <w:sz w:val="24"/>
          <w:szCs w:val="24"/>
        </w:rPr>
        <w:t xml:space="preserve">Finding 6 — </w:t>
      </w:r>
      <w:r>
        <w:rPr>
          <w:rFonts w:ascii="Arial" w:cs="Arial" w:eastAsia="Arial" w:hAnsi="Arial"/>
          <w:b/>
          <w:bCs/>
          <w:color w:val="111827"/>
          <w:sz w:val="24"/>
          <w:szCs w:val="24"/>
        </w:rPr>
        <w:t xml:space="preserve">The flagship page header is duplicated roughly eight to ten times</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Medium — maintainability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in code</w:t>
      </w:r>
    </w:p>
    <w:p>
      <w:pPr>
        <w:spacing w:after="160"/>
      </w:pPr>
      <w:r>
        <w:rPr>
          <w:rFonts w:ascii="Arial" w:cs="Arial" w:eastAsia="Arial" w:hAnsi="Arial"/>
          <w:sz w:val="21"/>
          <w:szCs w:val="21"/>
        </w:rPr>
        <w:t xml:space="preserve">Rather than one shared header component, each flagship practice/concept page independently reimplements the same fixed, scroll-aware header shell (scroll-position state, the logo-as-home-button, the “Work” label, the hamburger animation) and then delegates only the actual menu to the shared ProjectPracticeNavDropdown. Four pages extract this into their own ProjectHeader.tsx file; at least six more inline the same pattern directly in their page.tsx. Small drifts are already visible between copies — different combinations of background, blur, and border classes for the “scrolled” state — which is the expected outcome of maintaining one visual pattern in eight-to-ten places instead of one.</w:t>
      </w:r>
    </w:p>
    <w:p>
      <w:pPr>
        <w:pBdr>
          <w:bottom w:val="single" w:color="2E5AAC" w:sz="6" w:space="4"/>
        </w:pBdr>
        <w:spacing w:after="130" w:before="340"/>
      </w:pPr>
      <w:r>
        <w:rPr>
          <w:rFonts w:ascii="Arial" w:cs="Arial" w:eastAsia="Arial" w:hAnsi="Arial"/>
          <w:b/>
          <w:bCs/>
          <w:color w:val="2E5AAC"/>
          <w:sz w:val="24"/>
          <w:szCs w:val="24"/>
        </w:rPr>
        <w:t xml:space="preserve">Finding 7 — </w:t>
      </w:r>
      <w:r>
        <w:rPr>
          <w:rFonts w:ascii="Arial" w:cs="Arial" w:eastAsia="Arial" w:hAnsi="Arial"/>
          <w:b/>
          <w:bCs/>
          <w:color w:val="111827"/>
          <w:sz w:val="24"/>
          <w:szCs w:val="24"/>
        </w:rPr>
        <w:t xml:space="preserve">Footer and Work dropdown draw from different, disagreeing sources</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Medium — data integrity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in code and live</w:t>
      </w:r>
    </w:p>
    <w:p>
      <w:pPr>
        <w:spacing w:after="160"/>
      </w:pPr>
      <w:r>
        <w:rPr>
          <w:rFonts w:ascii="Arial" w:cs="Arial" w:eastAsia="Arial" w:hAnsi="Arial"/>
          <w:sz w:val="21"/>
          <w:szCs w:val="21"/>
        </w:rPr>
        <w:t xml:space="preserve">The Work dropdown is genuinely data-driven — it is generated from data/projects.ts via utils/projectNavigation.ts, so every project defined there automatically appears. The footer’s project list is not: it is a hand-picked, hardcoded set of five projects (Field Notes, Practice, HADE, Architecture of Confidence, Digital Executor), silently omitting four of the nine flagship projects — Wayfinding Matrix, Intention Engine, Responsive Ecologies, and the Adaptive Outdoor Hospitality Companion — which are reachable only via the Work dropdown or the Practice page itself, never the footer.</w:t>
      </w:r>
    </w:p>
    <w:p>
      <w:pPr>
        <w:spacing w:after="160"/>
      </w:pPr>
      <w:r>
        <w:rPr>
          <w:rFonts w:ascii="Arial" w:cs="Arial" w:eastAsia="Arial" w:hAnsi="Arial"/>
          <w:sz w:val="21"/>
          <w:szCs w:val="21"/>
        </w:rPr>
        <w:t xml:space="preserve">Separately, the Work dropdown itself has no entry for the /projects/previous hub page — it lists all twelve individual client-work case studies but not the index page that groups them. A visitor wanting an overview of “all client work” has to already know to look at the footer’s “Client Work” link or a breadcrumb.</w:t>
      </w:r>
    </w:p>
    <w:p>
      <w:pPr>
        <w:pBdr>
          <w:bottom w:val="single" w:color="2E5AAC" w:sz="6" w:space="4"/>
        </w:pBdr>
        <w:spacing w:after="130" w:before="340"/>
      </w:pPr>
      <w:r>
        <w:rPr>
          <w:rFonts w:ascii="Arial" w:cs="Arial" w:eastAsia="Arial" w:hAnsi="Arial"/>
          <w:b/>
          <w:bCs/>
          <w:color w:val="2E5AAC"/>
          <w:sz w:val="24"/>
          <w:szCs w:val="24"/>
        </w:rPr>
        <w:t xml:space="preserve">Finding 8 — </w:t>
      </w:r>
      <w:r>
        <w:rPr>
          <w:rFonts w:ascii="Arial" w:cs="Arial" w:eastAsia="Arial" w:hAnsi="Arial"/>
          <w:b/>
          <w:bCs/>
          <w:color w:val="111827"/>
          <w:sz w:val="24"/>
          <w:szCs w:val="24"/>
        </w:rPr>
        <w:t xml:space="preserve">Dead navigation code and phantom routes have accumulated</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Low — housekeeping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in code</w:t>
      </w:r>
    </w:p>
    <w:p>
      <w:pPr>
        <w:spacing w:after="160"/>
      </w:pPr>
      <w:r>
        <w:rPr>
          <w:rFonts w:ascii="Arial" w:cs="Arial" w:eastAsia="Arial" w:hAnsi="Arial"/>
          <w:sz w:val="21"/>
          <w:szCs w:val="21"/>
        </w:rPr>
        <w:t xml:space="preserve">Several nav-related components are no longer imported anywhere but remain in the repository, describing an architecture that has since been replaced: components/Footer.tsx (superseded by StaticFooter.tsx, but still contains hardcoded production URLs), components/StaticNavbar.tsx (a hookless navbar built and wired up per an earlier doc, never actually imported today), components/AnchorScrollLoader.tsx (a homepage-only loading overlay, confirmed disabled), and the navbar-hunting reset logic inside HomePageBodyReset.tsx, which still searches for header/nav elements that no longer exist anywhere in the current layout.</w:t>
      </w:r>
    </w:p>
    <w:p>
      <w:pPr>
        <w:spacing w:after="160"/>
      </w:pPr>
      <w:r>
        <w:rPr>
          <w:rFonts w:ascii="Arial" w:cs="Arial" w:eastAsia="Arial" w:hAnsi="Arial"/>
          <w:sz w:val="21"/>
          <w:szCs w:val="21"/>
        </w:rPr>
        <w:t xml:space="preserve">Two internal audit documents (STATIC-NAVBAR-COMPLETE.md and GLOBAL-LAYOUT-SYSTEM.md) describe this now-removed global navbar as if it were current — anyone reading those docs without cross-checking the live code would misdescribe today’s navigation entirely. Separately, ConditionalFooter.tsx still checks for /work and /contact as if they were real routes; neither exists in the route tree.</w:t>
      </w:r>
    </w:p>
    <w:p>
      <w:pPr>
        <w:spacing w:after="160"/>
      </w:pPr>
      <w:r>
        <w:rPr>
          <w:rFonts w:ascii="Arial" w:cs="Arial" w:eastAsia="Arial" w:hAnsi="Arial"/>
          <w:sz w:val="21"/>
          <w:szCs w:val="21"/>
        </w:rPr>
        <w:t xml:space="preserve">None of this affects what a visitor experiences — it is inert. But it adds real cost to the next person (or agent) trying to understand “what navigation code actually runs,” which is exactly the problem this audit exists to prevent from recurring.</w:t>
      </w:r>
    </w:p>
    <w:p>
      <w:pPr>
        <w:pBdr>
          <w:bottom w:val="single" w:color="2E5AAC" w:sz="6" w:space="4"/>
        </w:pBdr>
        <w:spacing w:after="130" w:before="340"/>
      </w:pPr>
      <w:r>
        <w:rPr>
          <w:rFonts w:ascii="Arial" w:cs="Arial" w:eastAsia="Arial" w:hAnsi="Arial"/>
          <w:b/>
          <w:bCs/>
          <w:color w:val="2E5AAC"/>
          <w:sz w:val="24"/>
          <w:szCs w:val="24"/>
        </w:rPr>
        <w:t xml:space="preserve">Finding 9 — </w:t>
      </w:r>
      <w:r>
        <w:rPr>
          <w:rFonts w:ascii="Arial" w:cs="Arial" w:eastAsia="Arial" w:hAnsi="Arial"/>
          <w:b/>
          <w:bCs/>
          <w:color w:val="111827"/>
          <w:sz w:val="24"/>
          <w:szCs w:val="24"/>
        </w:rPr>
        <w:t xml:space="preserve">Legacy case-study pages carry pre-rebrand metadata and templated content bugs</w:t>
      </w:r>
    </w:p>
    <w:p>
      <w:pPr>
        <w:spacing w:after="120"/>
      </w:pPr>
      <w:r>
        <w:rPr>
          <w:rFonts w:ascii="Arial" w:cs="Arial" w:eastAsia="Arial" w:hAnsi="Arial"/>
          <w:b/>
          <w:bCs/>
          <w:color w:val="666666"/>
          <w:sz w:val="18"/>
          <w:szCs w:val="18"/>
        </w:rPr>
        <w:t xml:space="preserve">Severity: </w:t>
      </w:r>
      <w:r>
        <w:rPr>
          <w:rFonts w:ascii="Arial" w:cs="Arial" w:eastAsia="Arial" w:hAnsi="Arial"/>
          <w:color w:val="666666"/>
          <w:sz w:val="18"/>
          <w:szCs w:val="18"/>
        </w:rPr>
        <w:t xml:space="preserve">Low-Medium — content quality    </w:t>
      </w:r>
      <w:r>
        <w:rPr>
          <w:rFonts w:ascii="Arial" w:cs="Arial" w:eastAsia="Arial" w:hAnsi="Arial"/>
          <w:b/>
          <w:bCs/>
          <w:color w:val="666666"/>
          <w:sz w:val="18"/>
          <w:szCs w:val="18"/>
        </w:rPr>
        <w:t xml:space="preserve">Status: </w:t>
      </w:r>
      <w:r>
        <w:rPr>
          <w:rFonts w:ascii="Arial" w:cs="Arial" w:eastAsia="Arial" w:hAnsi="Arial"/>
          <w:color w:val="666666"/>
          <w:sz w:val="18"/>
          <w:szCs w:val="18"/>
        </w:rPr>
        <w:t xml:space="preserve">Confirmed live</w:t>
      </w:r>
    </w:p>
    <w:p>
      <w:pPr>
        <w:spacing w:after="160"/>
      </w:pPr>
      <w:r>
        <w:rPr>
          <w:rFonts w:ascii="Arial" w:cs="Arial" w:eastAsia="Arial" w:hAnsi="Arial"/>
          <w:sz w:val="21"/>
          <w:szCs w:val="21"/>
        </w:rPr>
        <w:t xml:space="preserve">Live pages under /projects/previous/* (verified on Nodalytics and Purdue) still carry the site’s old generic title tag, “Daniel Meier - Digital Designer &amp; Developer,” and meta description, “Portfolio showcasing digital design, development, and creative work,” instead of the current “Dan Meier — Systems Design Practice” positioning used everywhere else on the site. This is the same two-tier split described in Finding 1, showing up one layer deeper — in what search engines and shared links display, not just in the nav UI.</w:t>
      </w:r>
    </w:p>
    <w:p>
      <w:pPr>
        <w:spacing w:after="160"/>
      </w:pPr>
      <w:r>
        <w:rPr>
          <w:rFonts w:ascii="Arial" w:cs="Arial" w:eastAsia="Arial" w:hAnsi="Arial"/>
          <w:sz w:val="21"/>
          <w:szCs w:val="21"/>
        </w:rPr>
        <w:t xml:space="preserve">Separately, the “More Design Work” cross-link module on these legacy pages reuses identical placeholder description text for different companies — Newdea, AdviseStream, and Sphere Software all display the same sentence, “A digital platform designed to connect healthcare professionals and resources across developing nations,” regardless of what each company actually does. As a navigation surface meant to help a visitor decide where to click next, this content bug actively undermines that surface’s usefulness.</w:t>
      </w:r>
    </w:p>
    <w:p>
      <w:r>
        <w:br w:type="page"/>
      </w:r>
    </w:p>
    <w:p>
      <w:pPr>
        <w:pStyle w:val="Heading1"/>
      </w:pPr>
      <w:r>
        <w:rPr>
          <w:rFonts w:ascii="Arial" w:cs="Arial" w:eastAsia="Arial" w:hAnsi="Arial"/>
          <w:sz w:val="21"/>
          <w:szCs w:val="21"/>
        </w:rPr>
        <w:t xml:space="preserve">Recommendations</w:t>
      </w:r>
    </w:p>
    <w:p>
      <w:pPr>
        <w:spacing w:after="160"/>
      </w:pPr>
      <w:r>
        <w:rPr>
          <w:rFonts w:ascii="Arial" w:cs="Arial" w:eastAsia="Arial" w:hAnsi="Arial"/>
          <w:sz w:val="21"/>
          <w:szCs w:val="21"/>
        </w:rPr>
        <w:t xml:space="preserve">These are ordered to fix shared plumbing first — consistent with treating navigation as one system — rather than as a flat backlog of unrelated tickets.</w:t>
      </w:r>
    </w:p>
    <w:p>
      <w:pPr>
        <w:pStyle w:val="Heading2"/>
      </w:pPr>
      <w:r>
        <w:rPr>
          <w:rFonts w:ascii="Arial" w:cs="Arial" w:eastAsia="Arial" w:hAnsi="Arial"/>
          <w:sz w:val="21"/>
          <w:szCs w:val="21"/>
        </w:rPr>
        <w:t xml:space="preserve">1. Resolve the production/codebase gap immediately</w:t>
      </w:r>
    </w:p>
    <w:p>
      <w:pPr>
        <w:pStyle w:val="ListParagraph"/>
        <w:numPr>
          <w:ilvl w:val="0"/>
          <w:numId w:val="2"/>
        </w:numPr>
        <w:spacing w:after="110"/>
      </w:pPr>
      <w:r>
        <w:rPr>
          <w:rFonts w:ascii="Arial" w:cs="Arial" w:eastAsia="Arial" w:hAnsi="Arial"/>
          <w:sz w:val="21"/>
          <w:szCs w:val="21"/>
        </w:rPr>
        <w:t xml:space="preserve">Confirm why /practice/ 404s live while app/practice/page.tsx exists and builds locally, and why /projects/research-practice/ is serving directly instead of redirecting — this is most likely a stale or partial deployment and should be treated as a live defect, not a backlog item.</w:t>
      </w:r>
    </w:p>
    <w:p>
      <w:pPr>
        <w:pStyle w:val="ListParagraph"/>
        <w:numPr>
          <w:ilvl w:val="0"/>
          <w:numId w:val="2"/>
        </w:numPr>
        <w:spacing w:after="110"/>
      </w:pPr>
      <w:r>
        <w:rPr>
          <w:rFonts w:ascii="Arial" w:cs="Arial" w:eastAsia="Arial" w:hAnsi="Arial"/>
          <w:sz w:val="21"/>
          <w:szCs w:val="21"/>
        </w:rPr>
        <w:t xml:space="preserve">Once /practice/ is confirmed live, update the three hardcoded links still pointing at the legacy /projects/research-practice/ URL (homepage hero CTA, homepage Work-section card, Services page “Method source” link) to point at /practice/ directly.</w:t>
      </w:r>
    </w:p>
    <w:p>
      <w:pPr>
        <w:pStyle w:val="Heading2"/>
      </w:pPr>
      <w:r>
        <w:rPr>
          <w:rFonts w:ascii="Arial" w:cs="Arial" w:eastAsia="Arial" w:hAnsi="Arial"/>
          <w:sz w:val="21"/>
          <w:szCs w:val="21"/>
        </w:rPr>
        <w:t xml:space="preserve">2. Decide, deliberately, whether the three-tier navigation is intentional</w:t>
      </w:r>
    </w:p>
    <w:p>
      <w:pPr>
        <w:pStyle w:val="ListParagraph"/>
        <w:numPr>
          <w:ilvl w:val="0"/>
          <w:numId w:val="2"/>
        </w:numPr>
        <w:spacing w:after="110"/>
      </w:pPr>
      <w:r>
        <w:rPr>
          <w:rFonts w:ascii="Arial" w:cs="Arial" w:eastAsia="Arial" w:hAnsi="Arial"/>
          <w:sz w:val="21"/>
          <w:szCs w:val="21"/>
        </w:rPr>
        <w:t xml:space="preserve">If the thin nav on legacy case studies is acceptable, document it as a deliberate design decision so future audits don’t re-flag it as a bug. If it isn’t, extend the shared mega-nav (or a lighter version of it) to the 12 legacy pages so a visitor never has to backtrack through a hub just to reach Practice or Services.</w:t>
      </w:r>
    </w:p>
    <w:p>
      <w:pPr>
        <w:pStyle w:val="ListParagraph"/>
        <w:numPr>
          <w:ilvl w:val="0"/>
          <w:numId w:val="2"/>
        </w:numPr>
        <w:spacing w:after="110"/>
      </w:pPr>
      <w:r>
        <w:rPr>
          <w:rFonts w:ascii="Arial" w:cs="Arial" w:eastAsia="Arial" w:hAnsi="Arial"/>
          <w:sz w:val="21"/>
          <w:szCs w:val="21"/>
        </w:rPr>
        <w:t xml:space="preserve">Give the homepage at minimum a persistent, low-key way to reach /practice and /services — today it is reachable only by scrolling to a specific CTA or the footer, which is inconsistent with every other page on the site.</w:t>
      </w:r>
    </w:p>
    <w:p>
      <w:pPr>
        <w:pStyle w:val="Heading2"/>
      </w:pPr>
      <w:r>
        <w:rPr>
          <w:rFonts w:ascii="Arial" w:cs="Arial" w:eastAsia="Arial" w:hAnsi="Arial"/>
          <w:sz w:val="21"/>
          <w:szCs w:val="21"/>
        </w:rPr>
        <w:t xml:space="preserve">3. Consolidate the six scroll-to-anchor implementations into one</w:t>
      </w:r>
    </w:p>
    <w:p>
      <w:pPr>
        <w:pStyle w:val="ListParagraph"/>
        <w:numPr>
          <w:ilvl w:val="0"/>
          <w:numId w:val="2"/>
        </w:numPr>
        <w:spacing w:after="110"/>
      </w:pPr>
      <w:r>
        <w:rPr>
          <w:rFonts w:ascii="Arial" w:cs="Arial" w:eastAsia="Arial" w:hAnsi="Arial"/>
          <w:sz w:val="21"/>
          <w:szCs w:val="21"/>
        </w:rPr>
        <w:t xml:space="preserve">Build a single shared hook/utility for smooth-scroll-to-section with configurable offset, and migrate HomepageSideNav, StickyProgressNav, PageNavIndicator, HashNavigationHandler, and both existing hash-scroll hooks onto it.</w:t>
      </w:r>
    </w:p>
    <w:p>
      <w:pPr>
        <w:pStyle w:val="ListParagraph"/>
        <w:numPr>
          <w:ilvl w:val="0"/>
          <w:numId w:val="2"/>
        </w:numPr>
        <w:spacing w:after="110"/>
      </w:pPr>
      <w:r>
        <w:rPr>
          <w:rFonts w:ascii="Arial" w:cs="Arial" w:eastAsia="Arial" w:hAnsi="Arial"/>
          <w:sz w:val="21"/>
          <w:szCs w:val="21"/>
        </w:rPr>
        <w:t xml:space="preserve">In the process, retire the ResizeObserver-on-document.body pattern in useHashScrollWithResize.ts — it was already flagged as a crash risk and is the one piece of unfinished business from the earlier crash root-cause investigation.</w:t>
      </w:r>
    </w:p>
    <w:p>
      <w:pPr>
        <w:pStyle w:val="Heading2"/>
      </w:pPr>
      <w:r>
        <w:rPr>
          <w:rFonts w:ascii="Arial" w:cs="Arial" w:eastAsia="Arial" w:hAnsi="Arial"/>
          <w:sz w:val="21"/>
          <w:szCs w:val="21"/>
        </w:rPr>
        <w:t xml:space="preserve">4. Fix “Contact” once, everywhere</w:t>
      </w:r>
    </w:p>
    <w:p>
      <w:pPr>
        <w:pStyle w:val="ListParagraph"/>
        <w:numPr>
          <w:ilvl w:val="0"/>
          <w:numId w:val="2"/>
        </w:numPr>
        <w:spacing w:after="110"/>
      </w:pPr>
      <w:r>
        <w:rPr>
          <w:rFonts w:ascii="Arial" w:cs="Arial" w:eastAsia="Arial" w:hAnsi="Arial"/>
          <w:sz w:val="21"/>
          <w:szCs w:val="21"/>
        </w:rPr>
        <w:t xml:space="preserve">Either build a real, lightweight contact section/anchor on the homepage (a few lines of copy plus an email link, as a prior audit already recommended), or repoint the homepage’s “Contact” dot to the scoping-call form so the label means the same thing everywhere on the site.</w:t>
      </w:r>
    </w:p>
    <w:p>
      <w:pPr>
        <w:pStyle w:val="ListParagraph"/>
        <w:numPr>
          <w:ilvl w:val="0"/>
          <w:numId w:val="2"/>
        </w:numPr>
        <w:spacing w:after="110"/>
      </w:pPr>
      <w:r>
        <w:rPr>
          <w:rFonts w:ascii="Arial" w:cs="Arial" w:eastAsia="Arial" w:hAnsi="Arial"/>
          <w:sz w:val="21"/>
          <w:szCs w:val="21"/>
        </w:rPr>
        <w:t xml:space="preserve">Confirm which email address is correct and make the footer mailto consistent with it.</w:t>
      </w:r>
    </w:p>
    <w:p>
      <w:pPr>
        <w:pStyle w:val="Heading2"/>
      </w:pPr>
      <w:r>
        <w:rPr>
          <w:rFonts w:ascii="Arial" w:cs="Arial" w:eastAsia="Arial" w:hAnsi="Arial"/>
          <w:sz w:val="21"/>
          <w:szCs w:val="21"/>
        </w:rPr>
        <w:t xml:space="preserve">5. Extract the duplicated flagship header into one shared component</w:t>
      </w:r>
    </w:p>
    <w:p>
      <w:pPr>
        <w:pStyle w:val="ListParagraph"/>
        <w:numPr>
          <w:ilvl w:val="0"/>
          <w:numId w:val="2"/>
        </w:numPr>
        <w:spacing w:after="110"/>
      </w:pPr>
      <w:r>
        <w:rPr>
          <w:rFonts w:ascii="Arial" w:cs="Arial" w:eastAsia="Arial" w:hAnsi="Arial"/>
          <w:sz w:val="21"/>
          <w:szCs w:val="21"/>
        </w:rPr>
        <w:t xml:space="preserve">Replace the eight-to-ten near-identical header implementations with a single &lt;ProjectHeader&gt; component taking props for title/logo behavior, and let it be the one place “scrolled” styling is defined.</w:t>
      </w:r>
    </w:p>
    <w:p>
      <w:pPr>
        <w:pStyle w:val="Heading2"/>
      </w:pPr>
      <w:r>
        <w:rPr>
          <w:rFonts w:ascii="Arial" w:cs="Arial" w:eastAsia="Arial" w:hAnsi="Arial"/>
          <w:sz w:val="21"/>
          <w:szCs w:val="21"/>
        </w:rPr>
        <w:t xml:space="preserve">6. Single-source labels and project lists instead of hardcoding them per surface</w:t>
      </w:r>
    </w:p>
    <w:p>
      <w:pPr>
        <w:pStyle w:val="ListParagraph"/>
        <w:numPr>
          <w:ilvl w:val="0"/>
          <w:numId w:val="2"/>
        </w:numPr>
        <w:spacing w:after="110"/>
      </w:pPr>
      <w:r>
        <w:rPr>
          <w:rFonts w:ascii="Arial" w:cs="Arial" w:eastAsia="Arial" w:hAnsi="Arial"/>
          <w:sz w:val="21"/>
          <w:szCs w:val="21"/>
        </w:rPr>
        <w:t xml:space="preserve">Drive the footer’s project list from data/projects.ts the same way the Work dropdown already is, so new or removed projects don’t require a second manual update.</w:t>
      </w:r>
    </w:p>
    <w:p>
      <w:pPr>
        <w:pStyle w:val="ListParagraph"/>
        <w:numPr>
          <w:ilvl w:val="0"/>
          <w:numId w:val="2"/>
        </w:numPr>
        <w:spacing w:after="110"/>
      </w:pPr>
      <w:r>
        <w:rPr>
          <w:rFonts w:ascii="Arial" w:cs="Arial" w:eastAsia="Arial" w:hAnsi="Arial"/>
          <w:sz w:val="21"/>
          <w:szCs w:val="21"/>
        </w:rPr>
        <w:t xml:space="preserve">Standardize on one label for the research-practice track (“Systems Design Practice,” already used in two of three places) and update ProjectBreadcrumb.tsx to match.</w:t>
      </w:r>
    </w:p>
    <w:p>
      <w:pPr>
        <w:pStyle w:val="ListParagraph"/>
        <w:numPr>
          <w:ilvl w:val="0"/>
          <w:numId w:val="2"/>
        </w:numPr>
        <w:spacing w:after="110"/>
      </w:pPr>
      <w:r>
        <w:rPr>
          <w:rFonts w:ascii="Arial" w:cs="Arial" w:eastAsia="Arial" w:hAnsi="Arial"/>
          <w:sz w:val="21"/>
          <w:szCs w:val="21"/>
        </w:rPr>
        <w:t xml:space="preserve">Add a link to the /projects/previous hub inside the Work dropdown itself, not just the footer and breadcrumbs.</w:t>
      </w:r>
    </w:p>
    <w:p>
      <w:pPr>
        <w:pStyle w:val="Heading2"/>
      </w:pPr>
      <w:r>
        <w:rPr>
          <w:rFonts w:ascii="Arial" w:cs="Arial" w:eastAsia="Arial" w:hAnsi="Arial"/>
          <w:sz w:val="21"/>
          <w:szCs w:val="21"/>
        </w:rPr>
        <w:t xml:space="preserve">7. Clean up dead navigation code and phantom routes</w:t>
      </w:r>
    </w:p>
    <w:p>
      <w:pPr>
        <w:pStyle w:val="ListParagraph"/>
        <w:numPr>
          <w:ilvl w:val="0"/>
          <w:numId w:val="2"/>
        </w:numPr>
        <w:spacing w:after="110"/>
      </w:pPr>
      <w:r>
        <w:rPr>
          <w:rFonts w:ascii="Arial" w:cs="Arial" w:eastAsia="Arial" w:hAnsi="Arial"/>
          <w:sz w:val="21"/>
          <w:szCs w:val="21"/>
        </w:rPr>
        <w:t xml:space="preserve">Remove components/Footer.tsx, components/StaticNavbar.tsx, components/AnchorScrollLoader.tsx, and the navbar-hunting logic in HomePageBodyReset.tsx once confirmed unused — or archive the stale docs that describe them (STATIC-NAVBAR-COMPLETE.md, GLOBAL-LAYOUT-SYSTEM.md) so they aren’t mistaken for current architecture.</w:t>
      </w:r>
    </w:p>
    <w:p>
      <w:pPr>
        <w:pStyle w:val="ListParagraph"/>
        <w:numPr>
          <w:ilvl w:val="0"/>
          <w:numId w:val="2"/>
        </w:numPr>
        <w:spacing w:after="110"/>
      </w:pPr>
      <w:r>
        <w:rPr>
          <w:rFonts w:ascii="Arial" w:cs="Arial" w:eastAsia="Arial" w:hAnsi="Arial"/>
          <w:sz w:val="21"/>
          <w:szCs w:val="21"/>
        </w:rPr>
        <w:t xml:space="preserve">Remove the /work and /contact prefix checks in ConditionalFooter.tsx, or build the pages if they were actually intended.</w:t>
      </w:r>
    </w:p>
    <w:p>
      <w:pPr>
        <w:pStyle w:val="Heading2"/>
      </w:pPr>
      <w:r>
        <w:rPr>
          <w:rFonts w:ascii="Arial" w:cs="Arial" w:eastAsia="Arial" w:hAnsi="Arial"/>
          <w:sz w:val="21"/>
          <w:szCs w:val="21"/>
        </w:rPr>
        <w:t xml:space="preserve">8. Fix the legacy-page content and metadata gap</w:t>
      </w:r>
    </w:p>
    <w:p>
      <w:pPr>
        <w:pStyle w:val="ListParagraph"/>
        <w:numPr>
          <w:ilvl w:val="0"/>
          <w:numId w:val="2"/>
        </w:numPr>
        <w:spacing w:after="110"/>
      </w:pPr>
      <w:r>
        <w:rPr>
          <w:rFonts w:ascii="Arial" w:cs="Arial" w:eastAsia="Arial" w:hAnsi="Arial"/>
          <w:sz w:val="21"/>
          <w:szCs w:val="21"/>
        </w:rPr>
        <w:t xml:space="preserve">Update the 12 legacy client-work pages’ title/meta description to match the current site positioning.</w:t>
      </w:r>
    </w:p>
    <w:p>
      <w:pPr>
        <w:pStyle w:val="ListParagraph"/>
        <w:numPr>
          <w:ilvl w:val="0"/>
          <w:numId w:val="2"/>
        </w:numPr>
        <w:spacing w:after="110"/>
      </w:pPr>
      <w:r>
        <w:rPr>
          <w:rFonts w:ascii="Arial" w:cs="Arial" w:eastAsia="Arial" w:hAnsi="Arial"/>
          <w:sz w:val="21"/>
          <w:szCs w:val="21"/>
        </w:rPr>
        <w:t xml:space="preserve">Fix the templated “More Design Work” descriptions so each linked project shows its own copy rather than a shared placeholder sentence.</w:t>
      </w:r>
    </w:p>
    <w:p>
      <w:r>
        <w:br w:type="page"/>
      </w:r>
    </w:p>
    <w:p>
      <w:pPr>
        <w:pStyle w:val="Heading1"/>
      </w:pPr>
      <w:r>
        <w:rPr>
          <w:rFonts w:ascii="Arial" w:cs="Arial" w:eastAsia="Arial" w:hAnsi="Arial"/>
          <w:sz w:val="21"/>
          <w:szCs w:val="21"/>
        </w:rPr>
        <w:t xml:space="preserve">Appendix: CTA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CTA text</w:t>
            </w:r>
          </w:p>
        </w:tc>
        <w:tc>
          <w:tcPr>
            <w:tcW w:type="dxa" w:w="200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Destination</w:t>
            </w:r>
          </w:p>
        </w:tc>
        <w:tc>
          <w:tcPr>
            <w:tcW w:type="dxa" w:w="4760"/>
            <w:tcBorders>
              <w:top w:val="single" w:color="D9D9D9" w:sz="2"/>
              <w:left w:val="single" w:color="D9D9D9" w:sz="2"/>
              <w:bottom w:val="single" w:color="D9D9D9" w:sz="2"/>
              <w:right w:val="single" w:color="D9D9D9" w:sz="2"/>
            </w:tcBorders>
            <w:shd w:fill="1F2937" w:val="clear"/>
            <w:tcMar>
              <w:top w:type="dxa" w:w="80"/>
              <w:left w:type="dxa" w:w="120"/>
              <w:bottom w:type="dxa" w:w="80"/>
              <w:right w:type="dxa" w:w="120"/>
            </w:tcMar>
            <w:vAlign w:val="center"/>
          </w:tcPr>
          <w:p>
            <w:r>
              <w:rPr>
                <w:rFonts w:ascii="Arial" w:cs="Arial" w:eastAsia="Arial" w:hAnsi="Arial"/>
                <w:b/>
                <w:bCs/>
                <w:color w:val="FFFFFF"/>
                <w:sz w:val="17"/>
                <w:szCs w:val="17"/>
              </w:rPr>
              <w:t xml:space="preserve">Where it appears</w:t>
            </w:r>
          </w:p>
        </w:tc>
      </w:tr>
      <w:tr>
        <w:tc>
          <w:tcPr>
            <w:tcW w:type="dxa" w:w="2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Explore the Practice</w:t>
            </w:r>
          </w:p>
        </w:tc>
        <w:tc>
          <w:tcPr>
            <w:tcW w:type="dxa" w:w="2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/projects/research-practice/ (legacy URL, live)</w:t>
            </w:r>
          </w:p>
        </w:tc>
        <w:tc>
          <w:tcPr>
            <w:tcW w:type="dxa" w:w="47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Homepage hero; homepage Work-section card</w:t>
            </w:r>
          </w:p>
        </w:tc>
      </w:tr>
      <w:tr>
        <w:tc>
          <w:tcPr>
            <w:tcW w:type="dxa" w:w="26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See how we work together</w:t>
            </w:r>
          </w:p>
        </w:tc>
        <w:tc>
          <w:tcPr>
            <w:tcW w:type="dxa" w:w="2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/services</w:t>
            </w:r>
          </w:p>
        </w:tc>
        <w:tc>
          <w:tcPr>
            <w:tcW w:type="dxa" w:w="47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Homepage, Travelogue section (primary homepage CTA)</w:t>
            </w:r>
          </w:p>
        </w:tc>
      </w:tr>
      <w:tr>
        <w:tc>
          <w:tcPr>
            <w:tcW w:type="dxa" w:w="2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Scope an engagement</w:t>
            </w:r>
          </w:p>
        </w:tc>
        <w:tc>
          <w:tcPr>
            <w:tcW w:type="dxa" w:w="2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/services</w:t>
            </w:r>
          </w:p>
        </w:tc>
        <w:tc>
          <w:tcPr>
            <w:tcW w:type="dxa" w:w="47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PracticeAnchor.tsx (mounted at the foot of flagship project pages)</w:t>
            </w:r>
          </w:p>
        </w:tc>
      </w:tr>
      <w:tr>
        <w:tc>
          <w:tcPr>
            <w:tcW w:type="dxa" w:w="26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Book A Scoping Call</w:t>
            </w:r>
          </w:p>
        </w:tc>
        <w:tc>
          <w:tcPr>
            <w:tcW w:type="dxa" w:w="2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/services/scoping-call</w:t>
            </w:r>
          </w:p>
        </w:tc>
        <w:tc>
          <w:tcPr>
            <w:tcW w:type="dxa" w:w="47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Footer</w:t>
            </w:r>
          </w:p>
        </w:tc>
      </w:tr>
      <w:tr>
        <w:tc>
          <w:tcPr>
            <w:tcW w:type="dxa" w:w="2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Services &amp; Engagements</w:t>
            </w:r>
          </w:p>
        </w:tc>
        <w:tc>
          <w:tcPr>
            <w:tcW w:type="dxa" w:w="2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/services/</w:t>
            </w:r>
          </w:p>
        </w:tc>
        <w:tc>
          <w:tcPr>
            <w:tcW w:type="dxa" w:w="47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Footer</w:t>
            </w:r>
          </w:p>
        </w:tc>
      </w:tr>
      <w:tr>
        <w:tc>
          <w:tcPr>
            <w:tcW w:type="dxa" w:w="26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Method source — Systems Design Practice</w:t>
            </w:r>
          </w:p>
        </w:tc>
        <w:tc>
          <w:tcPr>
            <w:tcW w:type="dxa" w:w="2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/projects/research-practice/ (legacy URL, live)</w:t>
            </w:r>
          </w:p>
        </w:tc>
        <w:tc>
          <w:tcPr>
            <w:tcW w:type="dxa" w:w="47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Services page, “Why This Practice” section</w:t>
            </w:r>
          </w:p>
        </w:tc>
      </w:tr>
      <w:tr>
        <w:tc>
          <w:tcPr>
            <w:tcW w:type="dxa" w:w="2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View Client Work</w:t>
            </w:r>
          </w:p>
        </w:tc>
        <w:tc>
          <w:tcPr>
            <w:tcW w:type="dxa" w:w="2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/projects/previous</w:t>
            </w:r>
          </w:p>
        </w:tc>
        <w:tc>
          <w:tcPr>
            <w:tcW w:type="dxa" w:w="47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Homepage Work-section card; data/projects.ts TRACK_META</w:t>
            </w:r>
          </w:p>
        </w:tc>
      </w:tr>
      <w:tr>
        <w:tc>
          <w:tcPr>
            <w:tcW w:type="dxa" w:w="26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View Project</w:t>
            </w:r>
          </w:p>
        </w:tc>
        <w:tc>
          <w:tcPr>
            <w:tcW w:type="dxa" w:w="2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/projects/previous/{id}</w:t>
            </w:r>
          </w:p>
        </w:tc>
        <w:tc>
          <w:tcPr>
            <w:tcW w:type="dxa" w:w="47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ViewMoreWorkSection.tsx cross-links on legacy pages</w:t>
            </w:r>
          </w:p>
        </w:tc>
      </w:tr>
      <w:tr>
        <w:tc>
          <w:tcPr>
            <w:tcW w:type="dxa" w:w="2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Back to Projects</w:t>
            </w:r>
          </w:p>
        </w:tc>
        <w:tc>
          <w:tcPr>
            <w:tcW w:type="dxa" w:w="2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/projects/previous</w:t>
            </w:r>
          </w:p>
        </w:tc>
        <w:tc>
          <w:tcPr>
            <w:tcW w:type="dxa" w:w="47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All 12 legacy client-work pages</w:t>
            </w:r>
          </w:p>
        </w:tc>
      </w:tr>
      <w:tr>
        <w:tc>
          <w:tcPr>
            <w:tcW w:type="dxa" w:w="26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Contact (nav item)</w:t>
            </w:r>
          </w:p>
        </w:tc>
        <w:tc>
          <w:tcPr>
            <w:tcW w:type="dxa" w:w="200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/services/scoping-call/</w:t>
            </w:r>
          </w:p>
        </w:tc>
        <w:tc>
          <w:tcPr>
            <w:tcW w:type="dxa" w:w="4760"/>
            <w:tcBorders>
              <w:top w:val="single" w:color="D9D9D9" w:sz="2"/>
              <w:left w:val="single" w:color="D9D9D9" w:sz="2"/>
              <w:bottom w:val="single" w:color="D9D9D9" w:sz="2"/>
              <w:right w:val="single" w:color="D9D9D9" w:sz="2"/>
            </w:tcBorders>
            <w:shd w:fill="F5F6F8" w:val="clear"/>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ProjectPracticeNavDropdown, desktop and mobile</w:t>
            </w:r>
          </w:p>
        </w:tc>
      </w:tr>
      <w:tr>
        <w:tc>
          <w:tcPr>
            <w:tcW w:type="dxa" w:w="26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Contact (side-nav dot)</w:t>
            </w:r>
          </w:p>
        </w:tc>
        <w:tc>
          <w:tcPr>
            <w:tcW w:type="dxa" w:w="200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#contact (empty anchor above footer)</w:t>
            </w:r>
          </w:p>
        </w:tc>
        <w:tc>
          <w:tcPr>
            <w:tcW w:type="dxa" w:w="4760"/>
            <w:tcBorders>
              <w:top w:val="single" w:color="D9D9D9" w:sz="2"/>
              <w:left w:val="single" w:color="D9D9D9" w:sz="2"/>
              <w:bottom w:val="single" w:color="D9D9D9" w:sz="2"/>
              <w:right w:val="single" w:color="D9D9D9" w:sz="2"/>
            </w:tcBorders>
            <w:tcMar>
              <w:top w:type="dxa" w:w="80"/>
              <w:left w:type="dxa" w:w="120"/>
              <w:bottom w:type="dxa" w:w="80"/>
              <w:right w:type="dxa" w:w="120"/>
            </w:tcMar>
            <w:vAlign w:val="center"/>
          </w:tcPr>
          <w:p>
            <w:r>
              <w:rPr>
                <w:rFonts w:ascii="Arial" w:cs="Arial" w:eastAsia="Arial" w:hAnsi="Arial"/>
                <w:b w:val="false"/>
                <w:bCs w:val="false"/>
                <w:color w:val="000000"/>
                <w:sz w:val="17"/>
                <w:szCs w:val="17"/>
              </w:rPr>
              <w:t xml:space="preserve">HomepageSideNav.tsx, homepage only</w:t>
            </w:r>
          </w:p>
        </w:tc>
      </w:tr>
    </w:tbl>
    <w:p>
      <w:pPr>
        <w:spacing w:after="160"/>
      </w:pPr>
    </w:p>
    <w:p>
      <w:pPr>
        <w:pStyle w:val="Heading1"/>
      </w:pPr>
      <w:r>
        <w:rPr>
          <w:rFonts w:ascii="Arial" w:cs="Arial" w:eastAsia="Arial" w:hAnsi="Arial"/>
          <w:sz w:val="21"/>
          <w:szCs w:val="21"/>
        </w:rPr>
        <w:t xml:space="preserve">Appendix: Prior Internal Audit Documents Reviewed</w:t>
      </w:r>
    </w:p>
    <w:p>
      <w:pPr>
        <w:spacing w:after="160"/>
      </w:pPr>
      <w:r>
        <w:rPr>
          <w:rFonts w:ascii="Arial" w:cs="Arial" w:eastAsia="Arial" w:hAnsi="Arial"/>
          <w:sz w:val="21"/>
          <w:szCs w:val="21"/>
        </w:rPr>
        <w:t xml:space="preserve">Twelve existing documents in the repository were read in full as part of this audit’s methodology. Three (STATIC-NAVBAR-COMPLETE.md, GLOBAL-LAYOUT-SYSTEM.md, and by extension NAVBAR-TINT-FIX.md’s premise) describe a global navbar architecture that has since been removed and should not be used as a reference for current navigation behavior. The rest — NAVIGATION-FIXES.md, NAVIGATION-CRASH-ROOT-CAUSE.md, practice-architecture-audit.md, portfolio-homepage-audit.md, portfolio-homepage-strategy.md, portfolio-audit-rubric.md, STATIC-FIRST-COMPLETE.md, STATIC-HOMEPAGE-FIX.md, and portfolio-widow-audit-prompt.md — remain broadly accurate and were used throughout this report to establish which findings were already known versus newly identified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666666"/>
        <w:sz w:val="16"/>
        <w:szCs w:val="16"/>
      </w:rPr>
      <w:t xml:space="preserve">Navigation System Audit</w:t>
    </w:r>
    <w:r>
      <w:rPr>
        <w:rFonts w:ascii="Arial" w:cs="Arial" w:eastAsia="Arial" w:hAnsi="Arial"/>
        <w:color w:val="666666"/>
        <w:sz w:val="16"/>
        <w:szCs w:val="16"/>
      </w:rPr>
      <w:t xml:space="preserve">	dan-meier-portfolio.vercel.app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1827" w:sz="10" w:space="6"/>
      </w:pBdr>
      <w:spacing w:after="200" w:before="400"/>
      <w:outlineLvl w:val="0"/>
    </w:pPr>
    <w:rPr>
      <w:rFonts w:ascii="Arial" w:cs="Arial" w:eastAsia="Arial" w:hAnsi="Arial"/>
      <w:b/>
      <w:bCs/>
      <w:color w:val="111827"/>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5AA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2026-07-02T03:58:10.599Z</dcterms:created>
  <dcterms:modified xsi:type="dcterms:W3CDTF">2026-07-02T03:58:10.600Z</dcterms:modified>
</cp:coreProperties>
</file>

<file path=docProps/custom.xml><?xml version="1.0" encoding="utf-8"?>
<Properties xmlns="http://schemas.openxmlformats.org/officeDocument/2006/custom-properties" xmlns:vt="http://schemas.openxmlformats.org/officeDocument/2006/docPropsVTypes"/>
</file>