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78" w:rsidRDefault="00073278" w:rsidP="0007327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73278" w:rsidRDefault="00073278" w:rsidP="0007327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73278" w:rsidRDefault="00073278" w:rsidP="00073278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3C4B48" w:rsidRDefault="003C4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>HALL NO.</w:t>
      </w:r>
      <w:r w:rsidR="00F42133">
        <w:rPr>
          <w:rFonts w:ascii="Times New Roman" w:eastAsia="Times New Roman" w:hAnsi="Times New Roman" w:cs="Times New Roman"/>
          <w:sz w:val="28"/>
          <w:szCs w:val="28"/>
        </w:rPr>
        <w:t xml:space="preserve"> – CE201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9:30am - 11:00am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P1</w:t>
      </w:r>
    </w:p>
    <w:p w:rsidR="003C4B48" w:rsidRDefault="003C4B4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3C4B48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Bidirectional EV Battery Charger in V2G-G2V Mode With Improved Power Quality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Modelling Proton</w:t>
            </w:r>
            <w:r>
              <w:rPr>
                <w:sz w:val="20"/>
                <w:szCs w:val="20"/>
              </w:rPr>
              <w:t xml:space="preserve"> Exchange Membrane Fuel Cell for Power Generation using Multi-Stage Power Conversion System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Battery Technologies and Its Challenges in Electrical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Simulation and Performance Analysis of a Fuel Cell Hybrid Electric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Comparison of Multilevel and 2-level Inverters for High Voltage E-drive Application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Electrical Vehicle Bi-Directional Charging Station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review on direct torque control strategies in induction motor drives for </w:t>
            </w:r>
            <w:r>
              <w:rPr>
                <w:sz w:val="20"/>
                <w:szCs w:val="20"/>
              </w:rPr>
              <w:t>electric vehicle applications.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 Overview of the Regenerative Braking Technique and Energy Storage Systems in Electric, Hybrid, and Plug-In Hybrid Electric Vehicles</w:t>
            </w:r>
          </w:p>
        </w:tc>
      </w:tr>
    </w:tbl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/>
    <w:sectPr w:rsidR="003C4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48"/>
    <w:rsid w:val="00073278"/>
    <w:rsid w:val="001233FA"/>
    <w:rsid w:val="00206404"/>
    <w:rsid w:val="002F45D4"/>
    <w:rsid w:val="00356C1C"/>
    <w:rsid w:val="003C4B48"/>
    <w:rsid w:val="00D007A7"/>
    <w:rsid w:val="00D75AF2"/>
    <w:rsid w:val="00F4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9FF7A-75D4-4F8C-9096-7E9D5915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10</cp:revision>
  <cp:lastPrinted>2023-02-16T08:05:00Z</cp:lastPrinted>
  <dcterms:created xsi:type="dcterms:W3CDTF">2023-02-11T12:02:00Z</dcterms:created>
  <dcterms:modified xsi:type="dcterms:W3CDTF">2023-02-16T08:05:00Z</dcterms:modified>
</cp:coreProperties>
</file>