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200"/>
        <w:gridCol w:w="2880"/>
      </w:tblGrid>
      <w:tr>
        <w:tc>
          <w:tcPr>
            <w:tcW w:type="dxa" w:w="5184"/>
            <w:shd w:fill="152536"/>
            <w:tcMar>
              <w:top w:w="120" w:type="dxa"/>
              <w:start w:w="160" w:type="dxa"/>
              <w:bottom w:w="120" w:type="dxa"/>
              <w:end w:w="160" w:type="dxa"/>
            </w:tcMar>
          </w:tcPr>
          <w:p>
            <w:r>
              <w:rPr>
                <w:rFonts w:ascii="Aptos" w:hAnsi="Aptos" w:eastAsia="Aptos"/>
                <w:b/>
                <w:i w:val="0"/>
                <w:color w:val="FFFFFF"/>
                <w:sz w:val="36"/>
              </w:rPr>
              <w:t>DANIEL SLEIMAN</w:t>
            </w:r>
          </w:p>
          <w:p>
            <w:r>
              <w:rPr>
                <w:rFonts w:ascii="Aptos" w:hAnsi="Aptos" w:eastAsia="Aptos"/>
                <w:b w:val="0"/>
                <w:i w:val="0"/>
                <w:color w:val="D7E3E9"/>
                <w:sz w:val="18"/>
              </w:rPr>
              <w:t>Civil Engineering (Honours) | Structural &amp; Façade Engineering</w:t>
            </w:r>
          </w:p>
        </w:tc>
        <w:tc>
          <w:tcPr>
            <w:tcW w:type="dxa" w:w="5184"/>
            <w:shd w:fill="152536"/>
            <w:tcMar>
              <w:top w:w="120" w:type="dxa"/>
              <w:start w:w="160" w:type="dxa"/>
              <w:bottom w:w="120" w:type="dxa"/>
              <w:end w:w="160" w:type="dxa"/>
            </w:tcMar>
          </w:tcPr>
          <w:p>
            <w:pPr>
              <w:jc w:val="right"/>
            </w:pPr>
            <w:r>
              <w:rPr>
                <w:rFonts w:ascii="Aptos" w:hAnsi="Aptos" w:eastAsia="Aptos"/>
                <w:b w:val="0"/>
                <w:i w:val="0"/>
                <w:color w:val="FFFFFF"/>
                <w:sz w:val="17"/>
              </w:rPr>
              <w:t>Sydney, NSW</w:t>
              <w:br/>
            </w:r>
            <w:r>
              <w:rPr>
                <w:rFonts w:ascii="Aptos" w:hAnsi="Aptos" w:eastAsia="Aptos"/>
                <w:b w:val="0"/>
                <w:i w:val="0"/>
                <w:color w:val="FFFFFF"/>
                <w:sz w:val="17"/>
              </w:rPr>
              <w:t>[Phone]</w:t>
              <w:br/>
            </w:r>
            <w:r>
              <w:rPr>
                <w:rFonts w:ascii="Aptos" w:hAnsi="Aptos" w:eastAsia="Aptos"/>
                <w:b w:val="0"/>
                <w:i w:val="0"/>
                <w:color w:val="FFFFFF"/>
                <w:sz w:val="17"/>
              </w:rPr>
              <w:t>[Email]</w:t>
              <w:br/>
            </w:r>
          </w:p>
        </w:tc>
      </w:tr>
    </w:tbl>
    <w:p>
      <w:pPr>
        <w:spacing w:before="160" w:after="60"/>
      </w:pPr>
      <w:r>
        <w:rPr>
          <w:rFonts w:ascii="Aptos" w:hAnsi="Aptos" w:eastAsia="Aptos"/>
          <w:b/>
          <w:i w:val="0"/>
          <w:color w:val="1E1E1E"/>
          <w:sz w:val="20"/>
        </w:rPr>
        <w:t>Dear Hiring Manager,</w:t>
      </w:r>
    </w:p>
    <w:p>
      <w:pPr>
        <w:spacing w:after="120" w:line="259" w:lineRule="auto"/>
      </w:pPr>
      <w:r>
        <w:rPr>
          <w:rFonts w:ascii="Aptos" w:hAnsi="Aptos" w:eastAsia="Aptos"/>
          <w:b w:val="0"/>
          <w:i w:val="0"/>
          <w:color w:val="1E1E1E"/>
          <w:sz w:val="19"/>
        </w:rPr>
        <w:t>I am writing to apply for the Industrus Engineering Graduate Program. I am a final-year Civil Engineering (Honours) student at UTS and, alongside my degree, I have spent approximately two and a half years working in structural and façade consultancy. That combination has given me exposure to real drawings, calculations, site conditions, compliance reviews and project stakeholders before graduating. I am now looking for a graduate role where I can broaden that experience, take on greater responsibility and continue developing as a well-rounded engineer.</w:t>
      </w:r>
    </w:p>
    <w:p>
      <w:pPr>
        <w:spacing w:before="100" w:after="40"/>
      </w:pPr>
      <w:r>
        <w:rPr>
          <w:rFonts w:ascii="Aptos" w:hAnsi="Aptos" w:eastAsia="Aptos"/>
          <w:b/>
          <w:i w:val="0"/>
          <w:color w:val="2F6B8A"/>
          <w:sz w:val="19"/>
        </w:rPr>
        <w:t>A commitment to ethical conduct and the highest standards of professional accountability</w:t>
      </w:r>
    </w:p>
    <w:p>
      <w:pPr>
        <w:spacing w:after="80" w:line="254" w:lineRule="auto"/>
      </w:pPr>
      <w:r>
        <w:rPr>
          <w:rFonts w:ascii="Aptos" w:hAnsi="Aptos" w:eastAsia="Aptos"/>
          <w:b w:val="0"/>
          <w:i w:val="0"/>
          <w:color w:val="1E1E1E"/>
          <w:sz w:val="18"/>
        </w:rPr>
        <w:t>During a façade review, I identified an exposed fixing through the external weathering line that did not provide a reliable face seal. Rather than accepting sealant inside the penetration as sufficient, I raised the issue, referred back to the approved review requirements and explained the risk of water tracking into the concealed space. The experience reinforced that professional accountability means documenting the basis of a recommendation and being clear about risk, even when the position is inconvenient.</w:t>
      </w:r>
    </w:p>
    <w:p>
      <w:pPr>
        <w:spacing w:before="100" w:after="40"/>
      </w:pPr>
      <w:r>
        <w:rPr>
          <w:rFonts w:ascii="Aptos" w:hAnsi="Aptos" w:eastAsia="Aptos"/>
          <w:b/>
          <w:i w:val="0"/>
          <w:color w:val="2F6B8A"/>
          <w:sz w:val="19"/>
        </w:rPr>
        <w:t>Demonstrated ability to effectively communicate with engineers and stakeholders from different fields</w:t>
      </w:r>
    </w:p>
    <w:p>
      <w:pPr>
        <w:spacing w:after="80" w:line="254" w:lineRule="auto"/>
      </w:pPr>
      <w:r>
        <w:rPr>
          <w:rFonts w:ascii="Aptos" w:hAnsi="Aptos" w:eastAsia="Aptos"/>
          <w:b w:val="0"/>
          <w:i w:val="0"/>
          <w:color w:val="1E1E1E"/>
          <w:sz w:val="18"/>
        </w:rPr>
        <w:t>My role requires regular communication with architects, builders, façade contractors, suppliers and senior engineers. During site inspections and water testing, I often need to turn a technical observation into a clear action for the people carrying out the work. I have learned to keep correspondence concise, prepare practical mark-ups and explain the reason behind a requirement in language suited to the audience.</w:t>
      </w:r>
    </w:p>
    <w:p>
      <w:pPr>
        <w:spacing w:before="100" w:after="40"/>
      </w:pPr>
      <w:r>
        <w:rPr>
          <w:rFonts w:ascii="Aptos" w:hAnsi="Aptos" w:eastAsia="Aptos"/>
          <w:b/>
          <w:i w:val="0"/>
          <w:color w:val="2F6B8A"/>
          <w:sz w:val="19"/>
        </w:rPr>
        <w:t>The ability to engage with a creative, innovative and proactive environment</w:t>
      </w:r>
    </w:p>
    <w:p>
      <w:pPr>
        <w:spacing w:after="80" w:line="254" w:lineRule="auto"/>
      </w:pPr>
      <w:r>
        <w:rPr>
          <w:rFonts w:ascii="Aptos" w:hAnsi="Aptos" w:eastAsia="Aptos"/>
          <w:b w:val="0"/>
          <w:i w:val="0"/>
          <w:color w:val="1E1E1E"/>
          <w:sz w:val="18"/>
        </w:rPr>
        <w:t>I try not to treat a failed review as the end of the task. When a member or façade detail does not satisfy the required loading or geometry, I work through practical alternatives such as revising the section, changing the fixing arrangement or identifying a more suitable proprietary profile before escalating the issue for senior review. This has taught me to combine calculations with buildability and focus on solutions that can actually be implemented on site.</w:t>
      </w:r>
    </w:p>
    <w:p>
      <w:r>
        <w:br w:type="page"/>
      </w:r>
    </w:p>
    <w:p>
      <w:pPr>
        <w:spacing w:before="100" w:after="40"/>
      </w:pPr>
      <w:r>
        <w:rPr>
          <w:rFonts w:ascii="Aptos" w:hAnsi="Aptos" w:eastAsia="Aptos"/>
          <w:b/>
          <w:i w:val="0"/>
          <w:color w:val="2F6B8A"/>
          <w:sz w:val="19"/>
        </w:rPr>
        <w:t>Demonstrated ability to use and manage information</w:t>
      </w:r>
    </w:p>
    <w:p>
      <w:pPr>
        <w:spacing w:after="80" w:line="254" w:lineRule="auto"/>
      </w:pPr>
      <w:r>
        <w:rPr>
          <w:rFonts w:ascii="Aptos" w:hAnsi="Aptos" w:eastAsia="Aptos"/>
          <w:b w:val="0"/>
          <w:i w:val="0"/>
          <w:color w:val="1E1E1E"/>
          <w:sz w:val="18"/>
        </w:rPr>
        <w:t>Façade projects involve information from many sources: architectural and structural drawings, BCA documentation, product data, test reports, shop drawings, inspection records and correspondence. I have become disciplined about checking revisions, comparing information across disciplines and keeping the technical basis of a recommendation traceable. This matters because an outdated drawing or mismatched test report can materially change a compliance conclusion.</w:t>
      </w:r>
    </w:p>
    <w:p>
      <w:pPr>
        <w:spacing w:before="100" w:after="40"/>
      </w:pPr>
      <w:r>
        <w:rPr>
          <w:rFonts w:ascii="Aptos" w:hAnsi="Aptos" w:eastAsia="Aptos"/>
          <w:b/>
          <w:i w:val="0"/>
          <w:color w:val="2F6B8A"/>
          <w:sz w:val="19"/>
        </w:rPr>
        <w:t>The ability to manage your own performance in a professional environment</w:t>
      </w:r>
    </w:p>
    <w:p>
      <w:pPr>
        <w:spacing w:after="80" w:line="254" w:lineRule="auto"/>
      </w:pPr>
      <w:r>
        <w:rPr>
          <w:rFonts w:ascii="Aptos" w:hAnsi="Aptos" w:eastAsia="Aptos"/>
          <w:b w:val="0"/>
          <w:i w:val="0"/>
          <w:color w:val="1E1E1E"/>
          <w:sz w:val="18"/>
        </w:rPr>
        <w:t>I have balanced a demanding engineering degree with ongoing consultancy work for more than two years. The workload has forced me to become organised and realistic about priorities. I break larger tasks into clear deliverables, identify missing information early and ask for guidance before an uncertainty becomes a delay. I also take feedback seriously and use it to improve the next piece of work, which has allowed me to take on more responsibility over time.</w:t>
      </w:r>
    </w:p>
    <w:p>
      <w:pPr>
        <w:spacing w:before="100" w:after="40"/>
      </w:pPr>
      <w:r>
        <w:rPr>
          <w:rFonts w:ascii="Aptos" w:hAnsi="Aptos" w:eastAsia="Aptos"/>
          <w:b/>
          <w:i w:val="0"/>
          <w:color w:val="2F6B8A"/>
          <w:sz w:val="19"/>
        </w:rPr>
        <w:t>A demonstrated ability to work as part of a team and show leadership when required</w:t>
      </w:r>
    </w:p>
    <w:p>
      <w:pPr>
        <w:spacing w:after="80" w:line="254" w:lineRule="auto"/>
      </w:pPr>
      <w:r>
        <w:rPr>
          <w:rFonts w:ascii="Aptos" w:hAnsi="Aptos" w:eastAsia="Aptos"/>
          <w:b w:val="0"/>
          <w:i w:val="0"/>
          <w:color w:val="1E1E1E"/>
          <w:sz w:val="18"/>
        </w:rPr>
        <w:t>Before engineering consultancy, I worked as a Leading Hand in construction and as an Online Team Leader at Woolworths Parramatta. Those roles taught me that leadership is less about giving instructions and more about being dependable, communicating priorities and helping a team keep moving when conditions change. In engineering, I apply the same mindset by taking ownership of my tasks while recognising when a decision needs input from a senior engineer, architect, contractor or supplier.</w:t>
      </w:r>
    </w:p>
    <w:p>
      <w:pPr>
        <w:spacing w:before="100" w:after="100" w:line="259" w:lineRule="auto"/>
      </w:pPr>
      <w:r>
        <w:rPr>
          <w:rFonts w:ascii="Aptos" w:hAnsi="Aptos" w:eastAsia="Aptos"/>
          <w:b w:val="0"/>
          <w:i w:val="0"/>
          <w:color w:val="1E1E1E"/>
          <w:sz w:val="19"/>
        </w:rPr>
        <w:t>I believe my strongest value as a graduate is that I am not starting from zero. I already understand the pace, responsibility and ambiguity of live engineering projects, but I am still early enough in my career to be highly coachable and open to different disciplines and ways of working. I would welcome the opportunity to discuss how my structural, façade and construction experience could contribute to Industrus while I continue developing through the graduate program.</w:t>
      </w:r>
    </w:p>
    <w:p>
      <w:pPr>
        <w:spacing w:after="20"/>
      </w:pPr>
      <w:r>
        <w:rPr>
          <w:rFonts w:ascii="Aptos" w:hAnsi="Aptos" w:eastAsia="Aptos"/>
          <w:b w:val="0"/>
          <w:i w:val="0"/>
          <w:color w:val="1E1E1E"/>
          <w:sz w:val="19"/>
        </w:rPr>
        <w:t>Kind regards,</w:t>
      </w:r>
    </w:p>
    <w:p>
      <w:r>
        <w:rPr>
          <w:rFonts w:ascii="Aptos" w:hAnsi="Aptos" w:eastAsia="Aptos"/>
          <w:b/>
          <w:i w:val="0"/>
          <w:color w:val="1E1E1E"/>
          <w:sz w:val="20"/>
        </w:rPr>
        <w:t>Daniel Sleiman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8B969D"/>
        <w:sz w:val="16"/>
      </w:rPr>
      <w:t>Daniel Sleiman  |  Industrus Engineering Graduate Program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