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Stage — GRC Analyst Track</w:t>
      </w:r>
    </w:p>
    <w:p>
      <w:pPr>
        <w:pStyle w:val="Author"/>
      </w:pPr>
      <w:r>
        <w:t xml:space="preserve">netforge / TRAN Foundation Programme — Guided Brief for Approval</w:t>
      </w:r>
    </w:p>
    <w:p>
      <w:pPr>
        <w:pStyle w:val="Date"/>
      </w:pPr>
      <w:r>
        <w:t xml:space="preserve">Prepared 10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grc-analyst-advanced-track"/>
    <w:p>
      <w:pPr>
        <w:pStyle w:val="Heading1"/>
      </w:pPr>
      <w:r>
        <w:t xml:space="preserve">GRC Analyst — Advanced Track</w:t>
      </w:r>
    </w:p>
    <w:p>
      <w:pPr>
        <w:pStyle w:val="FirstParagraph"/>
      </w:pPr>
      <w:r>
        <w:rPr>
          <w:b/>
          <w:bCs/>
        </w:rPr>
        <w:t xml:space="preserve">For approval before build. Read it end-to-end and decide whether it is hard enough and clear enough to hand to interns.</w:t>
      </w:r>
    </w:p>
    <w:p>
      <w:pPr>
        <w:pStyle w:val="BodyText"/>
      </w:pPr>
      <w:r>
        <w:t xml:space="preserve">168 interns are in Advanced Stage. This track ranks the GRC interns against each other and advances the</w:t>
      </w:r>
      <w:r>
        <w:t xml:space="preserve"> </w:t>
      </w:r>
      <w:r>
        <w:rPr>
          <w:b/>
          <w:bCs/>
        </w:rPr>
        <w:t xml:space="preserve">top 3</w:t>
      </w:r>
      <w:r>
        <w:t xml:space="preserve">. It is one of three tracks (SOC, GRC, Ethical Hacking); together they crown</w:t>
      </w:r>
      <w:r>
        <w:t xml:space="preserve"> </w:t>
      </w:r>
      <w:r>
        <w:rPr>
          <w:b/>
          <w:bCs/>
        </w:rPr>
        <w:t xml:space="preserve">9 finalists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why-this-track-had-to-change-the-most"/>
    <w:p>
      <w:pPr>
        <w:pStyle w:val="Heading2"/>
      </w:pPr>
      <w:r>
        <w:t xml:space="preserve">Why this track had to change the most</w:t>
      </w:r>
    </w:p>
    <w:p>
      <w:pPr>
        <w:pStyle w:val="FirstParagraph"/>
      </w:pPr>
      <w:r>
        <w:t xml:space="preserve">The old GRC plan asked for a clean document from a clean prompt at every stage — map the control, score the two risks, list the laws. That is data-entry, not governance. Real GRC is</w:t>
      </w:r>
      <w:r>
        <w:t xml:space="preserve"> </w:t>
      </w:r>
      <w:r>
        <w:rPr>
          <w:b/>
          <w:bCs/>
        </w:rPr>
        <w:t xml:space="preserve">deciding what matters when Engineering, Legal, Finance, and the Board disagree and the evidence is thin.</w:t>
      </w:r>
      <w:r>
        <w:t xml:space="preserve"> </w:t>
      </w:r>
      <w:r>
        <w:t xml:space="preserve">This track is</w:t>
      </w:r>
      <w:r>
        <w:t xml:space="preserve"> </w:t>
      </w:r>
      <w:r>
        <w:rPr>
          <w:i/>
          <w:iCs/>
        </w:rPr>
        <w:t xml:space="preserve">intellectually</w:t>
      </w:r>
      <w:r>
        <w:t xml:space="preserve"> </w:t>
      </w:r>
      <w:r>
        <w:t xml:space="preserve">brutal: the inputs conflict, the evidence is weak or stale, 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answer is a defensible judgment call, and the intern has to own it in front of a board.</w:t>
      </w:r>
    </w:p>
    <w:p>
      <w:pPr>
        <w:pStyle w:val="BodyText"/>
      </w:pPr>
      <w:r>
        <w:t xml:space="preserve">The other big change: GRC becomes</w:t>
      </w:r>
      <w:r>
        <w:t xml:space="preserve"> </w:t>
      </w:r>
      <w:r>
        <w:rPr>
          <w:b/>
          <w:bCs/>
        </w:rPr>
        <w:t xml:space="preserve">hands-on</w:t>
      </w:r>
      <w:r>
        <w:t xml:space="preserve">. Instead of only reading documents we hand out, interns</w:t>
      </w:r>
      <w:r>
        <w:t xml:space="preserve"> </w:t>
      </w:r>
      <w:r>
        <w:rPr>
          <w:b/>
          <w:bCs/>
        </w:rPr>
        <w:t xml:space="preserve">stand up a real open-source product and scan it</w:t>
      </w:r>
      <w:r>
        <w:t xml:space="preserve">, then build their risk register and audit binder from evidence</w:t>
      </w:r>
      <w:r>
        <w:t xml:space="preserve"> </w:t>
      </w:r>
      <w:r>
        <w:rPr>
          <w:i/>
          <w:iCs/>
        </w:rPr>
        <w:t xml:space="preserve">they generated themselves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graduate of this track can:</w:t>
      </w:r>
      <w:r>
        <w:t xml:space="preserve"> </w:t>
      </w:r>
      <w:r>
        <w:t xml:space="preserve">take conflicting stakeholder inputs and imperfect evidence and produce a defensible</w:t>
      </w:r>
      <w:r>
        <w:t xml:space="preserve"> </w:t>
      </w:r>
      <w:r>
        <w:rPr>
          <w:i/>
          <w:iCs/>
        </w:rPr>
        <w:t xml:space="preserve">decision</w:t>
      </w:r>
      <w:r>
        <w:t xml:space="preserve"> </w:t>
      </w:r>
      <w:r>
        <w:t xml:space="preserve">(not just an analysis), cite the exact framework clause or regulation that backs it, quantify residual risk honestly, and hold the position under board-level questioning.</w:t>
      </w:r>
    </w:p>
    <w:p>
      <w:r>
        <w:pict>
          <v:rect style="width:0;height:1.5pt" o:hralign="center" o:hrstd="t" o:hr="t"/>
        </w:pict>
      </w:r>
    </w:p>
    <w:bookmarkEnd w:id="9"/>
    <w:bookmarkStart w:id="10" w:name="authorization-legitimacy"/>
    <w:p>
      <w:pPr>
        <w:pStyle w:val="Heading2"/>
      </w:pPr>
      <w:r>
        <w:t xml:space="preserve">Authorization &amp; legitimacy</w:t>
      </w:r>
    </w:p>
    <w:p>
      <w:pPr>
        <w:pStyle w:val="FirstParagraph"/>
      </w:pPr>
      <w:r>
        <w:t xml:space="preserve">GRC is governance and compliance work — there is nothing offensive here at all. The one hands-on element is running a</w:t>
      </w:r>
      <w:r>
        <w:t xml:space="preserve"> </w:t>
      </w:r>
      <w:r>
        <w:rPr>
          <w:b/>
          <w:bCs/>
        </w:rPr>
        <w:t xml:space="preserve">compliance/config scanner</w:t>
      </w:r>
      <w:r>
        <w:t xml:space="preserve"> </w:t>
      </w:r>
      <w:r>
        <w:t xml:space="preserve">(OpenSCAP, Lynis) against an open-source product the intern installed on their own machine. That is exactly what a real GRC analyst does to gather audit evidence. No real company, no real data, no netforge systems.</w:t>
      </w:r>
    </w:p>
    <w:p>
      <w:r>
        <w:pict>
          <v:rect style="width:0;height:1.5pt" o:hralign="center" o:hrstd="t" o:hr="t"/>
        </w:pict>
      </w:r>
    </w:p>
    <w:bookmarkEnd w:id="10"/>
    <w:bookmarkStart w:id="11" w:name="how-the-difficulty-escalates"/>
    <w:p>
      <w:pPr>
        <w:pStyle w:val="Heading2"/>
      </w:pPr>
      <w:r>
        <w:t xml:space="preserve">How the difficulty escalates</w:t>
      </w:r>
    </w:p>
    <w:p>
      <w:pPr>
        <w:pStyle w:val="FirstParagraph"/>
      </w:pPr>
      <w:r>
        <w:t xml:space="preserve">Every project is built on a</w:t>
      </w:r>
      <w:r>
        <w:t xml:space="preserve"> </w:t>
      </w:r>
      <w:r>
        <w:rPr>
          <w:b/>
          <w:bCs/>
        </w:rPr>
        <w:t xml:space="preserve">conflict</w:t>
      </w:r>
      <w:r>
        <w:t xml:space="preserve"> </w:t>
      </w:r>
      <w:r>
        <w:t xml:space="preserve">— at least two stakeholder positions that cannot both win. The intern must decide and justify, not summarize both sides.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What makes it harder than the one before</w:t>
            </w:r>
          </w:p>
        </w:tc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Policy Failure &amp; Control-Gap Review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Engineering vs. Legal disagree in writing; NDPA 2023 in scope</w:t>
            </w:r>
          </w:p>
        </w:tc>
        <w:tc>
          <w:tcPr/>
          <w:p>
            <w:pPr>
              <w:pStyle w:val="Compact"/>
            </w:pPr>
            <w:r>
              <w:t xml:space="preserve">1 allowed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Vendor Risk</w:t>
            </w:r>
            <w:r>
              <w:t xml:space="preserve"> </w:t>
            </w:r>
            <w:r>
              <w:rPr>
                <w:i/>
                <w:iCs/>
              </w:rPr>
              <w:t xml:space="preserve">Decision</w:t>
            </w:r>
            <w:r>
              <w:t xml:space="preserve"> </w:t>
            </w:r>
            <w:r>
              <w:t xml:space="preserve">(not checklist)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Vendor’s self-report contradicts its own auditor</w:t>
            </w:r>
          </w:p>
        </w:tc>
        <w:tc>
          <w:tcPr/>
          <w:p>
            <w:pPr>
              <w:pStyle w:val="Compact"/>
            </w:pPr>
            <w:r>
              <w:t xml:space="preserve">1 allowed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Enterprise Risk Register + Budget Tradeoff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Only 3 initiatives funded; you must defer real risks on purpose</w:t>
            </w:r>
          </w:p>
        </w:tc>
        <w:tc>
          <w:tcPr/>
          <w:p>
            <w:pPr>
              <w:pStyle w:val="Compact"/>
            </w:pPr>
            <w:r>
              <w:t xml:space="preserve">1 allowed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Audit Readiness &amp; Evidence Binder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You must grade the</w:t>
            </w:r>
            <w:r>
              <w:t xml:space="preserve"> </w:t>
            </w:r>
            <w:r>
              <w:rPr>
                <w:i/>
                <w:iCs/>
              </w:rPr>
              <w:t xml:space="preserve">evidence</w:t>
            </w:r>
            <w:r>
              <w:t xml:space="preserve">, and the evidence contradicts IT’s claim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Breach Governance Capstone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Three jurisdictions’ clocks at once; board wants one number, evidence gives a range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Written +</w:t>
            </w:r>
            <w:r>
              <w:t xml:space="preserve"> </w:t>
            </w:r>
            <w:r>
              <w:rPr>
                <w:b/>
                <w:bCs/>
              </w:rPr>
              <w:t xml:space="preserve">live oral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what-interns-set-up-themselves"/>
    <w:p>
      <w:pPr>
        <w:pStyle w:val="Heading2"/>
      </w:pPr>
      <w:r>
        <w:t xml:space="preserve">What interns set up themselves</w:t>
      </w:r>
    </w:p>
    <w:p>
      <w:pPr>
        <w:pStyle w:val="FirstParagraph"/>
      </w:pPr>
      <w:r>
        <w:t xml:space="preserve">Document packs we provide; the hands-on subject the intern hosts.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real open-source product to govern</w:t>
      </w:r>
      <w:r>
        <w:t xml:space="preserve"> </w:t>
      </w:r>
      <w:r>
        <w:t xml:space="preserve">(assigned or chosen):</w:t>
      </w:r>
      <w:r>
        <w:t xml:space="preserve"> </w:t>
      </w:r>
      <w:r>
        <w:rPr>
          <w:b/>
          <w:bCs/>
        </w:rPr>
        <w:t xml:space="preserve">Keycloak</w:t>
      </w:r>
      <w:r>
        <w:t xml:space="preserve"> </w:t>
      </w:r>
      <w:r>
        <w:t xml:space="preserve">(identity — rich for access-control review),</w:t>
      </w:r>
      <w:r>
        <w:t xml:space="preserve"> </w:t>
      </w:r>
      <w:r>
        <w:rPr>
          <w:b/>
          <w:bCs/>
        </w:rPr>
        <w:t xml:space="preserve">Nextcloud</w:t>
      </w:r>
      <w:r>
        <w:t xml:space="preserve">,</w:t>
      </w:r>
      <w:r>
        <w:t xml:space="preserve"> </w:t>
      </w:r>
      <w:r>
        <w:rPr>
          <w:b/>
          <w:bCs/>
        </w:rPr>
        <w:t xml:space="preserve">Gitea</w:t>
      </w:r>
      <w:r>
        <w:t xml:space="preserve">,</w:t>
      </w:r>
      <w:r>
        <w:t xml:space="preserve"> </w:t>
      </w:r>
      <w:r>
        <w:rPr>
          <w:b/>
          <w:bCs/>
        </w:rPr>
        <w:t xml:space="preserve">Mattermost</w:t>
      </w:r>
      <w:r>
        <w:t xml:space="preserve">,</w:t>
      </w:r>
      <w:r>
        <w:t xml:space="preserve"> </w:t>
      </w:r>
      <w:r>
        <w:rPr>
          <w:b/>
          <w:bCs/>
        </w:rPr>
        <w:t xml:space="preserve">Metabase</w:t>
      </w:r>
      <w:r>
        <w:t xml:space="preserve">, or</w:t>
      </w:r>
      <w:r>
        <w:t xml:space="preserve"> </w:t>
      </w:r>
      <w:r>
        <w:rPr>
          <w:b/>
          <w:bCs/>
        </w:rPr>
        <w:t xml:space="preserve">Ghost</w:t>
      </w:r>
      <w:r>
        <w:t xml:space="preserve">. The intern installs it on their own machine.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/ evidence tooling they run:</w:t>
      </w:r>
      <w:r>
        <w:t xml:space="preserve"> </w:t>
      </w:r>
      <w:r>
        <w:rPr>
          <w:b/>
          <w:bCs/>
        </w:rPr>
        <w:t xml:space="preserve">OpenSCAP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Lynis</w:t>
      </w:r>
      <w:r>
        <w:t xml:space="preserve"> </w:t>
      </w:r>
      <w:r>
        <w:t xml:space="preserve">(config-compliance scanning to produce real audit evidence),</w:t>
      </w:r>
      <w:r>
        <w:t xml:space="preserve"> </w:t>
      </w:r>
      <w:r>
        <w:rPr>
          <w:b/>
          <w:bCs/>
        </w:rPr>
        <w:t xml:space="preserve">OWASP Threat Dragon</w:t>
      </w:r>
      <w:r>
        <w:t xml:space="preserve"> </w:t>
      </w:r>
      <w:r>
        <w:t xml:space="preserve">(threat modeling).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Provided by us:</w:t>
      </w:r>
      <w:r>
        <w:t xml:space="preserve"> </w:t>
      </w:r>
      <w:r>
        <w:t xml:space="preserve">policy excerpts, mock SOC 2 reports, contracts, board minutes, data inventories, the intern’s unique</w:t>
      </w:r>
      <w:r>
        <w:t xml:space="preserve"> </w:t>
      </w:r>
      <w:r>
        <w:rPr>
          <w:b/>
          <w:bCs/>
        </w:rPr>
        <w:t xml:space="preserve">seed</w:t>
      </w:r>
      <w:r>
        <w:t xml:space="preserve"> </w:t>
      </w:r>
      <w:r>
        <w:t xml:space="preserve">(unique vendor names / clause numbers / jurisdictions), the written scope, and the grading key.</w:t>
      </w:r>
    </w:p>
    <w:p>
      <w:pPr>
        <w:pStyle w:val="FirstParagraph"/>
      </w:pPr>
      <w:r>
        <w:rPr>
          <w:b/>
          <w:bCs/>
        </w:rPr>
        <w:t xml:space="preserve">Where it runs vs. where it’s submitted:</w:t>
      </w:r>
      <w:r>
        <w:t xml:space="preserve"> </w:t>
      </w:r>
      <w:r>
        <w:t xml:space="preserve">the scanner and the product run on the intern’s machine; only the</w:t>
      </w:r>
      <w:r>
        <w:t xml:space="preserve"> </w:t>
      </w:r>
      <w:r>
        <w:rPr>
          <w:b/>
          <w:bCs/>
        </w:rPr>
        <w:t xml:space="preserve">report/binder is submitted on netforge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the-five-projects"/>
    <w:p>
      <w:pPr>
        <w:pStyle w:val="Heading1"/>
      </w:pPr>
      <w:r>
        <w:t xml:space="preserve">The five projects</w:t>
      </w:r>
    </w:p>
    <w:p>
      <w:r>
        <w:pict>
          <v:rect style="width:0;height:1.5pt" o:hralign="center" o:hrstd="t" o:hr="t"/>
        </w:pict>
      </w:r>
    </w:p>
    <w:bookmarkStart w:id="14" w:name="X83d265df380370604c143b945679333d3d4bd45"/>
    <w:p>
      <w:pPr>
        <w:pStyle w:val="Heading2"/>
      </w:pPr>
      <w:r>
        <w:t xml:space="preserve">Project 1 — Policy Failure &amp; Control-Gap Review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5 days ·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one allowed ·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Policy is where governance meets reality. The skill is spotting the gap that actually creates regulatory or business risk — and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flagging things that merely look old but are fine.</w:t>
      </w:r>
    </w:p>
    <w:p>
      <w:pPr>
        <w:pStyle w:val="BodyText"/>
      </w:pPr>
      <w:r>
        <w:rPr>
          <w:b/>
          <w:bCs/>
        </w:rPr>
        <w:t xml:space="preserve">Scenario.</w:t>
      </w:r>
      <w:r>
        <w:t xml:space="preserve"> </w:t>
      </w:r>
      <w:r>
        <w:t xml:space="preserve">AkwaabaHealth grew 30 → 300 staff. Its acceptable-use, remote-work, BYOD, access-control, and data-classification policies are stale.</w:t>
      </w:r>
      <w:r>
        <w:t xml:space="preserve"> </w:t>
      </w:r>
      <w:r>
        <w:rPr>
          <w:b/>
          <w:bCs/>
        </w:rPr>
        <w:t xml:space="preserve">Engineering calls policy</w:t>
      </w:r>
      <w:r>
        <w:rPr>
          <w:b/>
          <w:bCs/>
        </w:rPr>
        <w:t xml:space="preserve"> </w:t>
      </w:r>
      <w:r>
        <w:rPr>
          <w:b/>
          <w:bCs/>
        </w:rPr>
        <w:t xml:space="preserve">“paperwork”</w:t>
      </w:r>
      <w:r>
        <w:rPr>
          <w:b/>
          <w:bCs/>
        </w:rPr>
        <w:t xml:space="preserve">; Legal says the gap is now a regulatory exposure because patient data is in scope.</w:t>
      </w:r>
      <w:r>
        <w:t xml:space="preserve"> </w:t>
      </w:r>
      <w:r>
        <w:t xml:space="preserve">Their positions are in the pack, in writing, and they conflict.</w:t>
      </w:r>
    </w:p>
    <w:p>
      <w:pPr>
        <w:pStyle w:val="BodyText"/>
      </w:pPr>
      <w:r>
        <w:rPr>
          <w:b/>
          <w:bCs/>
        </w:rPr>
        <w:t xml:space="preserve">How you could do it.</w:t>
      </w:r>
      <w:r>
        <w:t xml:space="preserve"> </w:t>
      </w:r>
      <w:r>
        <w:t xml:space="preserve">Review the 4–5 policy excerpts. Find contradictions and missing controls. Map gaps to NIST CSF 2.0, ISO/IEC 27001:2022 Annex A,</w:t>
      </w:r>
      <w:r>
        <w:t xml:space="preserve"> </w:t>
      </w:r>
      <w:r>
        <w:rPr>
          <w:b/>
          <w:bCs/>
        </w:rPr>
        <w:t xml:space="preserve">and NDPA 2023</w:t>
      </w:r>
      <w:r>
        <w:t xml:space="preserve"> </w:t>
      </w:r>
      <w:r>
        <w:t xml:space="preserve">obligations. Draft a focused, enforceable policy addendum. Then take a side on the Engineering/Legal conflict and defend it.</w:t>
      </w:r>
    </w:p>
    <w:p>
      <w:pPr>
        <w:pStyle w:val="BodyText"/>
      </w:pPr>
      <w:r>
        <w:rPr>
          <w:b/>
          <w:bCs/>
        </w:rPr>
        <w:t xml:space="preserve">What you need.</w:t>
      </w:r>
      <w:r>
        <w:t xml:space="preserve"> </w:t>
      </w:r>
      <w:r>
        <w:t xml:space="preserve">The provided policy pack and seed. The NIST CSF 2.0, ISO 27001:2022, and NDPA 2023 references (linked in the appendix). No paid tools.</w:t>
      </w:r>
    </w:p>
    <w:p>
      <w:pPr>
        <w:pStyle w:val="BodyText"/>
      </w:pPr>
      <w:r>
        <w:rPr>
          <w:b/>
          <w:bCs/>
        </w:rPr>
        <w:t xml:space="preserve">What to submit.</w:t>
      </w:r>
      <w:r>
        <w:t xml:space="preserve"> </w:t>
      </w:r>
      <w:r>
        <w:t xml:space="preserve">Policy Gap Report · a 2-page addendum · a control-mapping table · a risk statement per major gap · the</w:t>
      </w:r>
      <w:r>
        <w:t xml:space="preserve"> </w:t>
      </w:r>
      <w:r>
        <w:t xml:space="preserve">“one mistake”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Difficulty upgrades (the traps).</w:t>
      </w:r>
      <w:r>
        <w:t xml:space="preserve"> </w:t>
      </w:r>
      <w:r>
        <w:t xml:space="preserve">One clause</w:t>
      </w:r>
      <w:r>
        <w:t xml:space="preserve"> </w:t>
      </w:r>
      <w:r>
        <w:rPr>
          <w:b/>
          <w:bCs/>
        </w:rPr>
        <w:t xml:space="preserve">looks outdated but is still acceptable</w:t>
      </w:r>
      <w:r>
        <w:t xml:space="preserve"> </w:t>
      </w:r>
      <w:r>
        <w:t xml:space="preserve">— flagging it costs points (false positive). One modern control exists in a tool but</w:t>
      </w:r>
      <w:r>
        <w:t xml:space="preserve"> </w:t>
      </w:r>
      <w:r>
        <w:rPr>
          <w:b/>
          <w:bCs/>
        </w:rPr>
        <w:t xml:space="preserve">is not mandated by policy</w:t>
      </w:r>
      <w:r>
        <w:t xml:space="preserve"> </w:t>
      </w:r>
      <w:r>
        <w:t xml:space="preserve">(the gap is governance, not technology). A genuine</w:t>
      </w:r>
      <w:r>
        <w:t xml:space="preserve"> </w:t>
      </w:r>
      <w:r>
        <w:rPr>
          <w:b/>
          <w:bCs/>
        </w:rPr>
        <w:t xml:space="preserve">privacy-vs-monitoring</w:t>
      </w:r>
      <w:r>
        <w:t xml:space="preserve"> </w:t>
      </w:r>
      <w:r>
        <w:t xml:space="preserve">conflict with no clean answer — you must rule and defend.</w:t>
      </w:r>
    </w:p>
    <w:p>
      <w:pPr>
        <w:pStyle w:val="BodyText"/>
      </w:pPr>
      <w:r>
        <w:rPr>
          <w:b/>
          <w:bCs/>
        </w:rPr>
        <w:t xml:space="preserve">How it’s graded.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identification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Practical / enforceable drafting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mapping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Business-risk explanation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Portfolio artifact.</w:t>
      </w:r>
      <w:r>
        <w:t xml:space="preserve"> </w:t>
      </w:r>
      <w:r>
        <w:rPr>
          <w:i/>
          <w:iCs/>
        </w:rPr>
        <w:t xml:space="preserve">Policy Gap Report + Addendum.</w:t>
      </w:r>
    </w:p>
    <w:p>
      <w:r>
        <w:pict>
          <v:rect style="width:0;height:1.5pt" o:hralign="center" o:hrstd="t" o:hr="t"/>
        </w:pict>
      </w:r>
    </w:p>
    <w:bookmarkEnd w:id="14"/>
    <w:bookmarkStart w:id="15" w:name="X5d974e099aaf24a88723bce0974bd2a06c79dea"/>
    <w:p>
      <w:pPr>
        <w:pStyle w:val="Heading2"/>
      </w:pPr>
      <w:r>
        <w:t xml:space="preserve">Project 2 — Vendor Risk</w:t>
      </w:r>
      <w:r>
        <w:t xml:space="preserve"> </w:t>
      </w:r>
      <w:r>
        <w:rPr>
          <w:i/>
          <w:iCs/>
        </w:rPr>
        <w:t xml:space="preserve">Decision</w:t>
      </w:r>
      <w:r>
        <w:t xml:space="preserve">, Not Checklist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7 days ·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one allowed ·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Procurement always wants a yes today. The analyst’s job is to make a</w:t>
      </w:r>
      <w:r>
        <w:t xml:space="preserve"> </w:t>
      </w:r>
      <w:r>
        <w:rPr>
          <w:i/>
          <w:iCs/>
        </w:rPr>
        <w:t xml:space="preserve">defensible decision</w:t>
      </w:r>
      <w:r>
        <w:t xml:space="preserve"> </w:t>
      </w:r>
      <w:r>
        <w:t xml:space="preserve">under time pressure — and to catch where a vendor’s paperwork quietly contradicts itself.</w:t>
      </w:r>
    </w:p>
    <w:p>
      <w:pPr>
        <w:pStyle w:val="BodyText"/>
      </w:pPr>
      <w:r>
        <w:rPr>
          <w:b/>
          <w:bCs/>
        </w:rPr>
        <w:t xml:space="preserve">Scenario.</w:t>
      </w:r>
      <w:r>
        <w:t xml:space="preserve"> </w:t>
      </w:r>
      <w:r>
        <w:t xml:space="preserve">AkwaabaHealth wants to onboard a payroll/HR vendor that will process employee and some patient-adjacent data. Procurement wants sign-off</w:t>
      </w:r>
      <w:r>
        <w:t xml:space="preserve"> </w:t>
      </w:r>
      <w:r>
        <w:rPr>
          <w:b/>
          <w:bCs/>
        </w:rPr>
        <w:t xml:space="preserve">today</w:t>
      </w:r>
      <w:r>
        <w:t xml:space="preserve">. You hold a SOC 2 Type II excerpt, a completed questionnaire, a DPA excerpt, a subprocessor list, and a breach-notification clause — and they don’t fully agree with each other.</w:t>
      </w:r>
    </w:p>
    <w:p>
      <w:pPr>
        <w:pStyle w:val="BodyText"/>
      </w:pPr>
      <w:r>
        <w:rPr>
          <w:b/>
          <w:bCs/>
        </w:rPr>
        <w:t xml:space="preserve">How you could do it.</w:t>
      </w:r>
      <w:r>
        <w:t xml:space="preserve"> </w:t>
      </w:r>
      <w:r>
        <w:t xml:space="preserve">Find control exceptions.</w:t>
      </w:r>
      <w:r>
        <w:t xml:space="preserve"> </w:t>
      </w:r>
      <w:r>
        <w:rPr>
          <w:b/>
          <w:bCs/>
        </w:rPr>
        <w:t xml:space="preserve">Cross-check the questionnaire’s claims against the audit evidence</w:t>
      </w:r>
      <w:r>
        <w:t xml:space="preserve"> </w:t>
      </w:r>
      <w:r>
        <w:t xml:space="preserve">— on at least one control, the vendor’s self-report and its auditor’s findings conflict, and trusting the questionnaire is the trap. Evaluate subprocessor risk. Then</w:t>
      </w:r>
      <w:r>
        <w:t xml:space="preserve"> </w:t>
      </w:r>
      <w:r>
        <w:rPr>
          <w:b/>
          <w:bCs/>
        </w:rPr>
        <w:t xml:space="preserve">rule: approve / conditionally approve / reject / defer</w:t>
      </w:r>
      <w:r>
        <w:t xml:space="preserve">, and write the conditions. Draft follow-up questions and contract redlines.</w:t>
      </w:r>
    </w:p>
    <w:p>
      <w:pPr>
        <w:pStyle w:val="BodyText"/>
      </w:pPr>
      <w:r>
        <w:rPr>
          <w:b/>
          <w:bCs/>
        </w:rPr>
        <w:t xml:space="preserve">What you need.</w:t>
      </w:r>
      <w:r>
        <w:t xml:space="preserve"> </w:t>
      </w:r>
      <w:r>
        <w:t xml:space="preserve">The provided vendor pack and seed.</w:t>
      </w:r>
    </w:p>
    <w:p>
      <w:pPr>
        <w:pStyle w:val="BodyText"/>
      </w:pPr>
      <w:r>
        <w:rPr>
          <w:b/>
          <w:bCs/>
        </w:rPr>
        <w:t xml:space="preserve">What to submit.</w:t>
      </w:r>
      <w:r>
        <w:t xml:space="preserve"> </w:t>
      </w:r>
      <w:r>
        <w:t xml:space="preserve">Vendor Risk Memo · a vendor risk register · the decision-with-conditions · a follow-up questionnaire · contract-clause redline notes · the</w:t>
      </w:r>
      <w:r>
        <w:t xml:space="preserve"> </w:t>
      </w:r>
      <w:r>
        <w:t xml:space="preserve">“one mistake”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Difficulty upgrades.</w:t>
      </w:r>
      <w:r>
        <w:t xml:space="preserve"> </w:t>
      </w:r>
      <w:r>
        <w:t xml:space="preserve">Vendor has strong encryption but</w:t>
      </w:r>
      <w:r>
        <w:t xml:space="preserve"> </w:t>
      </w:r>
      <w:r>
        <w:rPr>
          <w:b/>
          <w:bCs/>
        </w:rPr>
        <w:t xml:space="preserve">weak offboarding/data-deletion</w:t>
      </w:r>
      <w:r>
        <w:t xml:space="preserve"> </w:t>
      </w:r>
      <w:r>
        <w:t xml:space="preserve">— the trap is approving on the strength of the good control. One subprocessor has</w:t>
      </w:r>
      <w:r>
        <w:t xml:space="preserve"> </w:t>
      </w:r>
      <w:r>
        <w:rPr>
          <w:b/>
          <w:bCs/>
        </w:rPr>
        <w:t xml:space="preserve">no independent assurance</w:t>
      </w:r>
      <w:r>
        <w:t xml:space="preserve">. The breach clause says</w:t>
      </w:r>
      <w:r>
        <w:t xml:space="preserve"> </w:t>
      </w:r>
      <w:r>
        <w:t xml:space="preserve">“notify after confirmation,”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too slow for AkwaabaHealth’s own NDPA/GDPR obligations</w:t>
      </w:r>
      <w:r>
        <w:t xml:space="preserve"> </w:t>
      </w:r>
      <w:r>
        <w:t xml:space="preserve">— you must catch that the vendor’s timeline breaks the customer’s legal timeline.</w:t>
      </w:r>
    </w:p>
    <w:p>
      <w:pPr>
        <w:pStyle w:val="BodyText"/>
      </w:pPr>
      <w:r>
        <w:rPr>
          <w:b/>
          <w:bCs/>
        </w:rPr>
        <w:t xml:space="preserve">How it’s graded.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identification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quality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cross-checking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/ control conditions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impact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clarity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Portfolio artifact.</w:t>
      </w:r>
      <w:r>
        <w:t xml:space="preserve"> </w:t>
      </w:r>
      <w:r>
        <w:rPr>
          <w:i/>
          <w:iCs/>
        </w:rPr>
        <w:t xml:space="preserve">Vendor Risk Assessment Memo.</w:t>
      </w:r>
    </w:p>
    <w:p>
      <w:r>
        <w:pict>
          <v:rect style="width:0;height:1.5pt" o:hralign="center" o:hrstd="t" o:hr="t"/>
        </w:pict>
      </w:r>
    </w:p>
    <w:bookmarkEnd w:id="15"/>
    <w:bookmarkStart w:id="16" w:name="Xbf503be79e0b97d64b8cadec7221742b953ff35"/>
    <w:p>
      <w:pPr>
        <w:pStyle w:val="Heading2"/>
      </w:pPr>
      <w:r>
        <w:t xml:space="preserve">Project 3 — Enterprise Risk Register + Budget Tradeoff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9 days ·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one allowed ·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There is never enough budget. The senior skill is ranking honestly, and</w:t>
      </w:r>
      <w:r>
        <w:t xml:space="preserve"> </w:t>
      </w:r>
      <w:r>
        <w:rPr>
          <w:b/>
          <w:bCs/>
        </w:rPr>
        <w:t xml:space="preserve">deferring real risks on purpose</w:t>
      </w:r>
      <w:r>
        <w:t xml:space="preserve"> </w:t>
      </w:r>
      <w:r>
        <w:t xml:space="preserve">while saying so out loud — not pretending everything can be fixed.</w:t>
      </w:r>
    </w:p>
    <w:p>
      <w:pPr>
        <w:pStyle w:val="BodyText"/>
      </w:pPr>
      <w:r>
        <w:rPr>
          <w:b/>
          <w:bCs/>
        </w:rPr>
        <w:t xml:space="preserve">Scenario.</w:t>
      </w:r>
      <w:r>
        <w:t xml:space="preserve"> </w:t>
      </w:r>
      <w:r>
        <w:t xml:space="preserve">The board funds</w:t>
      </w:r>
      <w:r>
        <w:t xml:space="preserve"> </w:t>
      </w:r>
      <w:r>
        <w:rPr>
          <w:b/>
          <w:bCs/>
        </w:rPr>
        <w:t xml:space="preserve">only three</w:t>
      </w:r>
      <w:r>
        <w:t xml:space="preserve"> </w:t>
      </w:r>
      <w:r>
        <w:t xml:space="preserve">security initiatives this quarter. You get an asset inventory, a vulnerability-scan summary, incident history, cyber-insurance requirements, and a business-priorities memo. Finance and Security want different things.</w:t>
      </w:r>
    </w:p>
    <w:p>
      <w:pPr>
        <w:pStyle w:val="BodyText"/>
      </w:pPr>
      <w:r>
        <w:rPr>
          <w:b/>
          <w:bCs/>
        </w:rPr>
        <w:t xml:space="preserve">How you could do it.</w:t>
      </w:r>
      <w:r>
        <w:t xml:space="preserve"> </w:t>
      </w:r>
      <w:r>
        <w:t xml:space="preserve">Build a risk register (8–10 risks). Score inherent and residual risk on a standard 5×5 matrix. Assign owners. Choose treatment (accept / mitigate / transfer / avoid). Rank the top 3 investments and</w:t>
      </w:r>
      <w:r>
        <w:t xml:space="preserve"> </w:t>
      </w:r>
      <w:r>
        <w:rPr>
          <w:b/>
          <w:bCs/>
        </w:rPr>
        <w:t xml:space="preserve">explicitly defer at least 3 real risks</w:t>
      </w:r>
      <w:r>
        <w:t xml:space="preserve">, in writing, owning the deferral.</w:t>
      </w:r>
      <w:r>
        <w:t xml:space="preserve"> </w:t>
      </w:r>
      <w:r>
        <w:rPr>
          <w:b/>
          <w:bCs/>
        </w:rPr>
        <w:t xml:space="preserve">Enrich this with real evidence:</w:t>
      </w:r>
      <w:r>
        <w:t xml:space="preserve"> </w:t>
      </w:r>
      <w:r>
        <w:t xml:space="preserve">run OpenSCAP/Lynis against your assigned open-source product and fold genuine findings into the register.</w:t>
      </w:r>
    </w:p>
    <w:p>
      <w:pPr>
        <w:pStyle w:val="BodyText"/>
      </w:pPr>
      <w:r>
        <w:rPr>
          <w:b/>
          <w:bCs/>
        </w:rPr>
        <w:t xml:space="preserve">What you need.</w:t>
      </w:r>
      <w:r>
        <w:t xml:space="preserve"> </w:t>
      </w:r>
      <w:r>
        <w:t xml:space="preserve">The provided pack and seed. Your self-hosted product + OpenSCAP/Lynis.</w:t>
      </w:r>
    </w:p>
    <w:p>
      <w:pPr>
        <w:pStyle w:val="BodyText"/>
      </w:pPr>
      <w:r>
        <w:rPr>
          <w:b/>
          <w:bCs/>
        </w:rPr>
        <w:t xml:space="preserve">What to submit.</w:t>
      </w:r>
      <w:r>
        <w:t xml:space="preserve"> </w:t>
      </w:r>
      <w:r>
        <w:t xml:space="preserve">A risk register · a 1-page budget recommendation · a</w:t>
      </w:r>
      <w:r>
        <w:t xml:space="preserve"> </w:t>
      </w:r>
      <w:r>
        <w:rPr>
          <w:b/>
          <w:bCs/>
        </w:rPr>
        <w:t xml:space="preserve">deferral list with justification</w:t>
      </w:r>
      <w:r>
        <w:t xml:space="preserve"> </w:t>
      </w:r>
      <w:r>
        <w:t xml:space="preserve">· an assumption log · the</w:t>
      </w:r>
      <w:r>
        <w:t xml:space="preserve"> </w:t>
      </w:r>
      <w:r>
        <w:t xml:space="preserve">“one mistake”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Difficulty upgrades.</w:t>
      </w:r>
      <w:r>
        <w:t xml:space="preserve"> </w:t>
      </w:r>
      <w:r>
        <w:rPr>
          <w:b/>
          <w:bCs/>
        </w:rPr>
        <w:t xml:space="preserve">Planted false lead:</w:t>
      </w:r>
      <w:r>
        <w:t xml:space="preserve"> </w:t>
      </w:r>
      <w:r>
        <w:t xml:space="preserve">the scariest-sounding vuln (critical CVSS) sits on a</w:t>
      </w:r>
      <w:r>
        <w:t xml:space="preserve"> </w:t>
      </w:r>
      <w:r>
        <w:rPr>
          <w:b/>
          <w:bCs/>
        </w:rPr>
        <w:t xml:space="preserve">low-value, isolated asset</w:t>
      </w:r>
      <w:r>
        <w:t xml:space="preserve">, while a medium finding sits on a</w:t>
      </w:r>
      <w:r>
        <w:t xml:space="preserve"> </w:t>
      </w:r>
      <w:r>
        <w:rPr>
          <w:b/>
          <w:bCs/>
        </w:rPr>
        <w:t xml:space="preserve">crown-jewel</w:t>
      </w:r>
      <w:r>
        <w:t xml:space="preserve"> </w:t>
      </w:r>
      <w:r>
        <w:t xml:space="preserve">system — ranking by CVSS alone fails. One expensive control is attractive but</w:t>
      </w:r>
      <w:r>
        <w:t xml:space="preserve"> </w:t>
      </w:r>
      <w:r>
        <w:rPr>
          <w:b/>
          <w:bCs/>
        </w:rPr>
        <w:t xml:space="preserve">not the first-quarter priority</w:t>
      </w:r>
      <w:r>
        <w:t xml:space="preserve">. The insurance requirement forces one specific control regardless of ranking.</w:t>
      </w:r>
    </w:p>
    <w:p>
      <w:pPr>
        <w:pStyle w:val="BodyText"/>
      </w:pPr>
      <w:r>
        <w:rPr>
          <w:b/>
          <w:bCs/>
        </w:rPr>
        <w:t xml:space="preserve">How it’s graded.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Risk-statement quality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rationale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practicality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prioritization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clarity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Deferral discipline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Portfolio artifact.</w:t>
      </w:r>
      <w:r>
        <w:t xml:space="preserve"> </w:t>
      </w:r>
      <w:r>
        <w:rPr>
          <w:i/>
          <w:iCs/>
        </w:rPr>
        <w:t xml:space="preserve">Enterprise Risk Register.</w:t>
      </w:r>
    </w:p>
    <w:p>
      <w:r>
        <w:pict>
          <v:rect style="width:0;height:1.5pt" o:hralign="center" o:hrstd="t" o:hr="t"/>
        </w:pict>
      </w:r>
    </w:p>
    <w:bookmarkEnd w:id="16"/>
    <w:bookmarkStart w:id="17" w:name="X9c2470e40512fc69a8cb110eadde62f66452a05"/>
    <w:p>
      <w:pPr>
        <w:pStyle w:val="Heading2"/>
      </w:pPr>
      <w:r>
        <w:t xml:space="preserve">Project 4 — Audit Readiness &amp; Evidence Binder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10 days ·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none ·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written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Auditors don’t accept</w:t>
      </w:r>
      <w:r>
        <w:t xml:space="preserve"> </w:t>
      </w:r>
      <w:r>
        <w:t xml:space="preserve">“we have a policy.”</w:t>
      </w:r>
      <w:r>
        <w:t xml:space="preserve"> </w:t>
      </w:r>
      <w:r>
        <w:t xml:space="preserve">They accept</w:t>
      </w:r>
      <w:r>
        <w:t xml:space="preserve"> </w:t>
      </w:r>
      <w:r>
        <w:rPr>
          <w:i/>
          <w:iCs/>
        </w:rPr>
        <w:t xml:space="preserve">evidence</w:t>
      </w:r>
      <w:r>
        <w:t xml:space="preserve">. The skill is grading evidence quality honestly — and refusing to overclaim compliance, which is the cardinal sin of the profession.</w:t>
      </w:r>
    </w:p>
    <w:p>
      <w:pPr>
        <w:pStyle w:val="BodyText"/>
      </w:pPr>
      <w:r>
        <w:rPr>
          <w:b/>
          <w:bCs/>
        </w:rPr>
        <w:t xml:space="preserve">Scenario.</w:t>
      </w:r>
      <w:r>
        <w:t xml:space="preserve"> </w:t>
      </w:r>
      <w:r>
        <w:t xml:space="preserve">AkwaabaHealth is preparing for ISO 27001 certification and a customer security audit. IT claims the controls are in place. The evidence is scattered, stale, and in one case</w:t>
      </w:r>
      <w:r>
        <w:t xml:space="preserve"> </w:t>
      </w:r>
      <w:r>
        <w:rPr>
          <w:b/>
          <w:bCs/>
        </w:rPr>
        <w:t xml:space="preserve">contradicts</w:t>
      </w:r>
      <w:r>
        <w:t xml:space="preserve"> </w:t>
      </w:r>
      <w:r>
        <w:t xml:space="preserve">IT’s claim.</w:t>
      </w:r>
    </w:p>
    <w:p>
      <w:pPr>
        <w:pStyle w:val="BodyText"/>
      </w:pPr>
      <w:r>
        <w:rPr>
          <w:b/>
          <w:bCs/>
        </w:rPr>
        <w:t xml:space="preserve">How you could do it.</w:t>
      </w:r>
      <w:r>
        <w:t xml:space="preserve"> </w:t>
      </w:r>
      <w:r>
        <w:t xml:space="preserve">Map 10–12 controls to evidence. Classify each compliant / partially / non-compliant / not-tested.</w:t>
      </w:r>
      <w:r>
        <w:t xml:space="preserve"> </w:t>
      </w:r>
      <w:r>
        <w:rPr>
          <w:b/>
          <w:bCs/>
        </w:rPr>
        <w:t xml:space="preserve">Grade the evidence itself:</w:t>
      </w:r>
      <w:r>
        <w:t xml:space="preserve"> </w:t>
      </w:r>
      <w:r>
        <w:t xml:space="preserve">strong / weak / missing / stale. Build a remediation tracker. Write an auditor-facing evidence binder and a management representation memo. Where you can, generate real evidence with an OpenSCAP/Lynis scan of your product. Answer 3 defense questions in 24 hours.</w:t>
      </w:r>
    </w:p>
    <w:p>
      <w:pPr>
        <w:pStyle w:val="BodyText"/>
      </w:pPr>
      <w:r>
        <w:rPr>
          <w:b/>
          <w:bCs/>
        </w:rPr>
        <w:t xml:space="preserve">What you need.</w:t>
      </w:r>
      <w:r>
        <w:t xml:space="preserve"> </w:t>
      </w:r>
      <w:r>
        <w:t xml:space="preserve">The provided control set and seed. Your self-hosted product + scanner.</w:t>
      </w:r>
    </w:p>
    <w:p>
      <w:pPr>
        <w:pStyle w:val="BodyText"/>
      </w:pPr>
      <w:r>
        <w:rPr>
          <w:b/>
          <w:bCs/>
        </w:rPr>
        <w:t xml:space="preserve">What to submit.</w:t>
      </w:r>
      <w:r>
        <w:t xml:space="preserve"> </w:t>
      </w:r>
      <w:r>
        <w:t xml:space="preserve">An audit-readiness matrix · an evidence binder · a remediation tracker · a management representation memo · written defense answers · the</w:t>
      </w:r>
      <w:r>
        <w:t xml:space="preserve"> </w:t>
      </w:r>
      <w:r>
        <w:t xml:space="preserve">“one mistake”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Difficulty upgrades.</w:t>
      </w:r>
      <w:r>
        <w:t xml:space="preserve"> </w:t>
      </w:r>
      <w:r>
        <w:t xml:space="preserve">Screenshots exist but are</w:t>
      </w:r>
      <w:r>
        <w:t xml:space="preserve"> </w:t>
      </w:r>
      <w:r>
        <w:rPr>
          <w:b/>
          <w:bCs/>
        </w:rPr>
        <w:t xml:space="preserve">outdated</w:t>
      </w:r>
      <w:r>
        <w:t xml:space="preserve"> </w:t>
      </w:r>
      <w:r>
        <w:t xml:space="preserve">— accepting them is the failure. A policy exists on paper with</w:t>
      </w:r>
      <w:r>
        <w:t xml:space="preserve"> </w:t>
      </w:r>
      <w:r>
        <w:rPr>
          <w:b/>
          <w:bCs/>
        </w:rPr>
        <w:t xml:space="preserve">no operational evidence</w:t>
      </w:r>
      <w:r>
        <w:t xml:space="preserve"> </w:t>
      </w:r>
      <w:r>
        <w:t xml:space="preserve">it’s followed. A tool covers most in-scope assets but not all. IT’s self-assessment says</w:t>
      </w:r>
      <w:r>
        <w:t xml:space="preserve"> </w:t>
      </w:r>
      <w:r>
        <w:t xml:space="preserve">“compliant”</w:t>
      </w:r>
      <w:r>
        <w:t xml:space="preserve">; the evidence says</w:t>
      </w:r>
      <w:r>
        <w:t xml:space="preserve"> </w:t>
      </w:r>
      <w:r>
        <w:t xml:space="preserve">“partial”</w:t>
      </w:r>
      <w:r>
        <w:t xml:space="preserve"> </w:t>
      </w:r>
      <w:r>
        <w:t xml:space="preserve">— the binder must tell the truth to the auditor, not flatter IT.</w:t>
      </w:r>
    </w:p>
    <w:p>
      <w:pPr>
        <w:pStyle w:val="BodyText"/>
      </w:pPr>
      <w:r>
        <w:rPr>
          <w:b/>
          <w:bCs/>
        </w:rPr>
        <w:t xml:space="preserve">How it’s graded.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interpretation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Evidence-quality assessment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/ remediation practicality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Audit-ready organization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Honesty / no overclaiming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Portfolio artifact.</w:t>
      </w:r>
      <w:r>
        <w:t xml:space="preserve"> </w:t>
      </w:r>
      <w:r>
        <w:rPr>
          <w:i/>
          <w:iCs/>
        </w:rPr>
        <w:t xml:space="preserve">Audit Evidence Binder.</w:t>
      </w:r>
    </w:p>
    <w:p>
      <w:r>
        <w:pict>
          <v:rect style="width:0;height:1.5pt" o:hralign="center" o:hrstd="t" o:hr="t"/>
        </w:pict>
      </w:r>
    </w:p>
    <w:bookmarkEnd w:id="17"/>
    <w:bookmarkStart w:id="18" w:name="project-5-breach-governance-capstone"/>
    <w:p>
      <w:pPr>
        <w:pStyle w:val="Heading2"/>
      </w:pPr>
      <w:r>
        <w:t xml:space="preserve">Project 5 — Breach Governance Capstone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10 days ·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none ·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written +</w:t>
      </w:r>
      <w:r>
        <w:t xml:space="preserve"> </w:t>
      </w:r>
      <w:r>
        <w:rPr>
          <w:b/>
          <w:bCs/>
        </w:rPr>
        <w:t xml:space="preserve">live oral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When a breach hits, governance runs several regulatory clocks at once under incomplete facts, and the board wants certainty the evidence can’t give. This is the hardest judgment work in the field — and where the top 3 separate.</w:t>
      </w:r>
    </w:p>
    <w:p>
      <w:pPr>
        <w:pStyle w:val="BodyText"/>
      </w:pPr>
      <w:r>
        <w:rPr>
          <w:b/>
          <w:bCs/>
        </w:rPr>
        <w:t xml:space="preserve">Scenario.</w:t>
      </w:r>
      <w:r>
        <w:t xml:space="preserve"> </w:t>
      </w:r>
      <w:r>
        <w:t xml:space="preserve">The Sankofa Pay compromise (the SOC track’s incident) exfiltrated data that lands in AkwaabaHealth’s lap: health-related PII of</w:t>
      </w:r>
      <w:r>
        <w:t xml:space="preserve"> </w:t>
      </w:r>
      <w:r>
        <w:rPr>
          <w:b/>
          <w:bCs/>
        </w:rPr>
        <w:t xml:space="preserve">EU, California, and Nigerian</w:t>
      </w:r>
      <w:r>
        <w:t xml:space="preserve"> </w:t>
      </w:r>
      <w:r>
        <w:t xml:space="preserve">subjects. Technical containment is underway; governance is behind. You get the technical incident summary, a data inventory, customer geography, DPO notes, board minutes, draft customer comms, and external audit findings —</w:t>
      </w:r>
      <w:r>
        <w:t xml:space="preserve"> </w:t>
      </w:r>
      <w:r>
        <w:rPr>
          <w:b/>
          <w:bCs/>
        </w:rPr>
        <w:t xml:space="preserve">some facts confirmed, some still under investigation.</w:t>
      </w:r>
    </w:p>
    <w:p>
      <w:pPr>
        <w:pStyle w:val="BodyText"/>
      </w:pPr>
      <w:r>
        <w:rPr>
          <w:b/>
          <w:bCs/>
        </w:rPr>
        <w:t xml:space="preserve">How you could do it.</w:t>
      </w:r>
      <w:r>
        <w:t xml:space="preserve"> </w:t>
      </w:r>
      <w:r>
        <w:t xml:space="preserve">Determine which obligations are triggered (</w:t>
      </w:r>
      <w:r>
        <w:rPr>
          <w:b/>
          <w:bCs/>
        </w:rPr>
        <w:t xml:space="preserve">GDPR Arts. 33/34, CCPA/CPRA, NDPA 2023 / NDPC guidance</w:t>
      </w:r>
      <w:r>
        <w:t xml:space="preserve">, PCI DSS where card-adjacent). Build the regulatory timeline against the real discovery date — running all three jurisdictions’ clocks at once. Draft the regulator-notification outline and the customer-notification language. Identify the compliance failures that allowed it. Prepare a board memo and a 30/60/90 remediation roadmap. Defend it, orally.</w:t>
      </w:r>
    </w:p>
    <w:p>
      <w:pPr>
        <w:pStyle w:val="BodyText"/>
      </w:pPr>
      <w:r>
        <w:rPr>
          <w:b/>
          <w:bCs/>
        </w:rPr>
        <w:t xml:space="preserve">What you need.</w:t>
      </w:r>
      <w:r>
        <w:t xml:space="preserve"> </w:t>
      </w:r>
      <w:r>
        <w:t xml:space="preserve">The provided capstone pack and seed. The regulation references.</w:t>
      </w:r>
    </w:p>
    <w:p>
      <w:pPr>
        <w:pStyle w:val="BodyText"/>
      </w:pPr>
      <w:r>
        <w:rPr>
          <w:b/>
          <w:bCs/>
        </w:rPr>
        <w:t xml:space="preserve">What to submit.</w:t>
      </w:r>
      <w:r>
        <w:t xml:space="preserve"> </w:t>
      </w:r>
      <w:r>
        <w:t xml:space="preserve">Breach Notification &amp; Compliance Report · a regulatory timeline · draft notifications · a board memo · a 30/60/90 roadmap · written +</w:t>
      </w:r>
      <w:r>
        <w:t xml:space="preserve"> </w:t>
      </w:r>
      <w:r>
        <w:rPr>
          <w:b/>
          <w:bCs/>
        </w:rPr>
        <w:t xml:space="preserve">live oral</w:t>
      </w:r>
      <w:r>
        <w:t xml:space="preserve"> </w:t>
      </w:r>
      <w:r>
        <w:t xml:space="preserve">defense · the</w:t>
      </w:r>
      <w:r>
        <w:t xml:space="preserve"> </w:t>
      </w:r>
      <w:r>
        <w:t xml:space="preserve">“one mistake”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Difficulty upgrades.</w:t>
      </w:r>
      <w:r>
        <w:t xml:space="preserve"> </w:t>
      </w:r>
      <w:r>
        <w:rPr>
          <w:b/>
          <w:bCs/>
        </w:rPr>
        <w:t xml:space="preserve">Multiple jurisdictions with different clocks</w:t>
      </w:r>
      <w:r>
        <w:t xml:space="preserve"> </w:t>
      </w:r>
      <w:r>
        <w:t xml:space="preserve">— GDPR’s 72-hour window, NDPA’s timeline, California’s requirements — from one discovery date.</w:t>
      </w:r>
      <w:r>
        <w:t xml:space="preserve"> </w:t>
      </w:r>
      <w:r>
        <w:rPr>
          <w:b/>
          <w:bCs/>
        </w:rPr>
        <w:t xml:space="preserve">The board wants a single number</w:t>
      </w:r>
      <w:r>
        <w:t xml:space="preserve"> </w:t>
      </w:r>
      <w:r>
        <w:t xml:space="preserve">(records affected / expected fine); the evidence only supports a</w:t>
      </w:r>
      <w:r>
        <w:t xml:space="preserve"> </w:t>
      </w:r>
      <w:r>
        <w:rPr>
          <w:b/>
          <w:bCs/>
        </w:rPr>
        <w:t xml:space="preserve">range</w:t>
      </w:r>
      <w:r>
        <w:t xml:space="preserve">, and you must present the range and refuse false precision — and defend that refusal. A mandatory</w:t>
      </w:r>
      <w:r>
        <w:t xml:space="preserve"> </w:t>
      </w:r>
      <w:r>
        <w:rPr>
          <w:b/>
          <w:bCs/>
        </w:rPr>
        <w:t xml:space="preserve">“what we should NOT say yet”</w:t>
      </w:r>
      <w:r>
        <w:t xml:space="preserve"> </w:t>
      </w:r>
      <w:r>
        <w:t xml:space="preserve">section, because premature disclosure of unconfirmed facts creates legal exposure.</w:t>
      </w:r>
    </w:p>
    <w:p>
      <w:pPr>
        <w:pStyle w:val="BodyText"/>
      </w:pPr>
      <w:r>
        <w:rPr>
          <w:b/>
          <w:bCs/>
        </w:rPr>
        <w:t xml:space="preserve">How it’s graded.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/ regulatory reasoning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accuracy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Board-level recommendation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quality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root-cause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 (written + oral)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Portfolio artifact.</w:t>
      </w:r>
      <w:r>
        <w:t xml:space="preserve"> </w:t>
      </w:r>
      <w:r>
        <w:rPr>
          <w:i/>
          <w:iCs/>
        </w:rPr>
        <w:t xml:space="preserve">Breach Governance Case Pack.</w:t>
      </w:r>
    </w:p>
    <w:p>
      <w:r>
        <w:pict>
          <v:rect style="width:0;height:1.5pt" o:hralign="center" o:hrstd="t" o:hr="t"/>
        </w:pict>
      </w:r>
    </w:p>
    <w:bookmarkEnd w:id="18"/>
    <w:bookmarkStart w:id="19" w:name="grading-bands-and-the-cut"/>
    <w:p>
      <w:pPr>
        <w:pStyle w:val="Heading2"/>
      </w:pPr>
      <w:r>
        <w:t xml:space="preserve">Grading, bands, and the cut</w:t>
      </w:r>
    </w:p>
    <w:p>
      <w:pPr>
        <w:pStyle w:val="Compact"/>
        <w:numPr>
          <w:ilvl w:val="0"/>
          <w:numId w:val="1002"/>
        </w:numPr>
      </w:pPr>
      <w:r>
        <w:t xml:space="preserve">Pass threshold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every project; below that, eliminated.</w:t>
      </w:r>
    </w:p>
    <w:p>
      <w:pPr>
        <w:pStyle w:val="Compact"/>
        <w:numPr>
          <w:ilvl w:val="0"/>
          <w:numId w:val="1002"/>
        </w:numPr>
      </w:pPr>
      <w:r>
        <w:t xml:space="preserve">Ranking is</w:t>
      </w:r>
      <w:r>
        <w:t xml:space="preserve"> </w:t>
      </w:r>
      <w:r>
        <w:rPr>
          <w:b/>
          <w:bCs/>
        </w:rPr>
        <w:t xml:space="preserve">cumulative and within-track</w:t>
      </w:r>
      <w:r>
        <w:t xml:space="preserve">, weighted: P1×1, P2×1, P3×1.5, P4×2, P5×2.5.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 3 GRC interns advance.</w:t>
      </w:r>
      <w:r>
        <w:t xml:space="preserve"> </w:t>
      </w:r>
      <w:r>
        <w:t xml:space="preserve">Ties break on oral-defense performance.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Finalist-caliber</w:t>
            </w:r>
          </w:p>
        </w:tc>
        <w:tc>
          <w:tcPr/>
          <w:p>
            <w:pPr>
              <w:pStyle w:val="Compact"/>
            </w:pPr>
            <w:r>
              <w:t xml:space="preserve">92–100</w:t>
            </w:r>
          </w:p>
        </w:tc>
        <w:tc>
          <w:tcPr/>
          <w:p>
            <w:pPr>
              <w:pStyle w:val="Compact"/>
            </w:pPr>
            <w:r>
              <w:t xml:space="preserve">The 3 finalists come from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Hire-ready</w:t>
            </w:r>
          </w:p>
        </w:tc>
        <w:tc>
          <w:tcPr/>
          <w:p>
            <w:pPr>
              <w:pStyle w:val="Compact"/>
            </w:pPr>
            <w:r>
              <w:t xml:space="preserve">85–91</w:t>
            </w:r>
          </w:p>
        </w:tc>
        <w:tc>
          <w:tcPr/>
          <w:p>
            <w:pPr>
              <w:pStyle w:val="Compact"/>
            </w:pPr>
            <w:r>
              <w:t xml:space="preserve">Strong, not top-of-track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Advancing</w:t>
            </w:r>
          </w:p>
        </w:tc>
        <w:tc>
          <w:tcPr/>
          <w:p>
            <w:pPr>
              <w:pStyle w:val="Compact"/>
            </w:pPr>
            <w:r>
              <w:t xml:space="preserve">78–84</w:t>
            </w:r>
          </w:p>
        </w:tc>
        <w:tc>
          <w:tcPr/>
          <w:p>
            <w:pPr>
              <w:pStyle w:val="Compact"/>
            </w:pPr>
            <w:r>
              <w:t xml:space="preserve">Continues, not in contention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Borderline</w:t>
            </w:r>
          </w:p>
        </w:tc>
        <w:tc>
          <w:tcPr/>
          <w:p>
            <w:pPr>
              <w:pStyle w:val="Compact"/>
            </w:pPr>
            <w:r>
              <w:t xml:space="preserve">70–77</w:t>
            </w:r>
          </w:p>
        </w:tc>
        <w:tc>
          <w:tcPr/>
          <w:p>
            <w:pPr>
              <w:pStyle w:val="Compact"/>
            </w:pPr>
            <w:r>
              <w:t xml:space="preserve">Survives, flagged, effectively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Eliminated</w:t>
            </w:r>
          </w:p>
        </w:tc>
        <w:tc>
          <w:tcPr/>
          <w:p>
            <w:pPr>
              <w:pStyle w:val="Compact"/>
            </w:pPr>
            <w:r>
              <w:t xml:space="preserve">&lt; 70</w:t>
            </w:r>
          </w:p>
        </w:tc>
        <w:tc>
          <w:tcPr/>
          <w:p>
            <w:pPr>
              <w:pStyle w:val="Compact"/>
            </w:pPr>
            <w:r>
              <w:t xml:space="preserve">Does not advance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Stage — GRC Analyst Track</dc:title>
  <dc:creator>netforge / TRAN Foundation Programme — Guided Brief for Approval</dc:creator>
  <cp:keywords/>
  <dcterms:created xsi:type="dcterms:W3CDTF">2026-07-10T13:10:03Z</dcterms:created>
  <dcterms:modified xsi:type="dcterms:W3CDTF">2026-07-10T13:10:03Z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Prepared 10 July 2026</vt:lpwstr>
  </property>
</Properties>
</file>