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3 Capstone</w:t>
      </w:r>
    </w:p>
    <w:p>
      <w:pPr>
        <w:pStyle w:val="BodyText"/>
      </w:pPr>
      <w:r>
        <w:rPr>
          <w:i/>
          <w:iCs/>
        </w:rPr>
        <w:t xml:space="preserve">Editable template — Deliverable 5 of 5: The Incident Response Report (PICERL). This is the document Sankofa’s response stands or falls on — Legal, the board, and the regulator all read it. It follows the NIST SP 800-61r2 PICERL lifecycle, and it folds in your triage, timeline, IOCs, and ATT&amp;CK map. Minimum 1,500 words. Submit the Google Doc link + a 100+ word abstract in the answer box. Edit in Google Docs (recommended). Replace every [BRACKETED] prompt and delete every grey guidance line before you submit.</w:t>
      </w:r>
    </w:p>
    <w:p>
      <w:r>
        <w:pict>
          <v:rect style="width:0;height:1.5pt" o:hralign="center" o:hrstd="t" o:hr="t"/>
        </w:pict>
      </w:r>
    </w:p>
    <w:bookmarkStart w:id="14" w:name="Xe1979b2d58810cfc48621bf922a469865bf1d52"/>
    <w:p>
      <w:pPr>
        <w:pStyle w:val="Heading1"/>
      </w:pPr>
      <w:r>
        <w:t xml:space="preserve">Deliverable 5 — Incident Response Report (PICERL)</w:t>
      </w:r>
    </w:p>
    <w:bookmarkStart w:id="9" w:name="before-you-start"/>
    <w:p>
      <w:pPr>
        <w:pStyle w:val="Heading3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Audience:</w:t>
      </w:r>
      <w:r>
        <w:t xml:space="preserve"> </w:t>
      </w:r>
      <w:r>
        <w:rPr>
          <w:b/>
          <w:bCs/>
        </w:rPr>
        <w:t xml:space="preserve">Legal, the board, the regulator.</w:t>
      </w:r>
      <w:r>
        <w:t xml:space="preserve"> </w:t>
      </w:r>
      <w:r>
        <w:t xml:space="preserve">Facts, impact, decisions — keep raw log lines in the appendix and reference them.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exact section headings below, in this order</w:t>
      </w:r>
      <w:r>
        <w:t xml:space="preserve"> </w:t>
      </w:r>
      <w:r>
        <w:t xml:space="preserve">(NIST SP 800-61r2 PICERL). Graders look for them by name.</w:t>
      </w:r>
    </w:p>
    <w:p>
      <w:pPr>
        <w:pStyle w:val="Compact"/>
        <w:numPr>
          <w:ilvl w:val="0"/>
          <w:numId w:val="1001"/>
        </w:numPr>
      </w:pPr>
      <w:r>
        <w:t xml:space="preserve">It must be</w:t>
      </w:r>
      <w:r>
        <w:t xml:space="preserve"> </w:t>
      </w:r>
      <w:r>
        <w:rPr>
          <w:b/>
          <w:bCs/>
        </w:rPr>
        <w:t xml:space="preserve">internally consistent</w:t>
      </w:r>
      <w:r>
        <w:t xml:space="preserve"> </w:t>
      </w:r>
      <w:r>
        <w:t xml:space="preserve">with your D1–D4: the timeline, the IOCs, the root cause all match.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Minimum 1,500 words.</w:t>
      </w:r>
      <w:r>
        <w:t xml:space="preserve"> </w:t>
      </w:r>
      <w:r>
        <w:t xml:space="preserve">No section shorter than two sentences; no section longer than ~350 words except the appendix and the timeline.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Citations required (8+):</w:t>
      </w:r>
      <w:r>
        <w:t xml:space="preserve"> </w:t>
      </w:r>
      <w:r>
        <w:t xml:space="preserve">NIST SP 800-61r2 by section number, 4+ MITRE ATT&amp;CK technique IDs, 1+ CISA playbook, 1+ detection-engineering reference (Sigma / Wazuh / osquery / Falco / Atomic Red Team), and one sentence flagging</w:t>
      </w:r>
      <w:r>
        <w:t xml:space="preserve"> </w:t>
      </w:r>
      <w:r>
        <w:rPr>
          <w:b/>
          <w:bCs/>
        </w:rPr>
        <w:t xml:space="preserve">NDPA 2023 §40</w:t>
      </w:r>
      <w:r>
        <w:t xml:space="preserve"> </w:t>
      </w:r>
      <w:r>
        <w:t xml:space="preserve">applicability.</w:t>
      </w:r>
    </w:p>
    <w:p>
      <w:pPr>
        <w:pStyle w:val="BlockText"/>
      </w:pPr>
      <w:r>
        <w:t xml:space="preserve">This is a scaffold, not an answer key. The analysis is yours; this gives you the section order and the bar graders expect.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submit"/>
    <w:p>
      <w:pPr>
        <w:pStyle w:val="Heading2"/>
      </w:pPr>
      <w:r>
        <w:t xml:space="preserve">What you submit</w:t>
      </w:r>
    </w:p>
    <w:p>
      <w:pPr>
        <w:pStyle w:val="FirstParagraph"/>
      </w:pPr>
      <w:r>
        <w:t xml:space="preserve">A Google Doc (≥1,500 words), sharing set to</w:t>
      </w:r>
      <w:r>
        <w:t xml:space="preserve"> </w:t>
      </w:r>
      <w:r>
        <w:rPr>
          <w:b/>
          <w:bCs/>
        </w:rPr>
        <w:t xml:space="preserve">“Anyone with the link → Viewer.”</w:t>
      </w:r>
      <w:r>
        <w:t xml:space="preserve"> </w:t>
      </w:r>
      <w:r>
        <w:t xml:space="preserve">In the answer box paste the</w:t>
      </w:r>
      <w:r>
        <w:t xml:space="preserve"> </w:t>
      </w:r>
      <w:r>
        <w:rPr>
          <w:b/>
          <w:bCs/>
        </w:rPr>
        <w:t xml:space="preserve">Doc URL + a 100+ word abstract</w:t>
      </w:r>
      <w:r>
        <w:t xml:space="preserve">. The report itself contains the sections below.</w:t>
      </w:r>
    </w:p>
    <w:p>
      <w:pPr>
        <w:pStyle w:val="BodyText"/>
      </w:pPr>
      <w:r>
        <w:rPr>
          <w:b/>
          <w:bCs/>
        </w:rPr>
        <w:t xml:space="preserve">First line of your document:</w:t>
      </w:r>
    </w:p>
    <w:p>
      <w:pPr>
        <w:pStyle w:val="BodyText"/>
      </w:pPr>
      <w:r>
        <w:rPr>
          <w:rStyle w:val="VerbatimChar"/>
        </w:rPr>
        <w:t xml:space="preserve">Stage 3 · Incident report · [Your Full Name] · [UBI-2026-####]</w:t>
      </w:r>
    </w:p>
    <w:bookmarkEnd w:id="10"/>
    <w:bookmarkStart w:id="13" w:name="Xdbdc1bd9007e2664e3d21c161e034ca6902b750"/>
    <w:p>
      <w:pPr>
        <w:pStyle w:val="Heading2"/>
      </w:pPr>
      <w:r>
        <w:t xml:space="preserve">Required sections (these headings, in this order)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Executive summary</w:t>
      </w:r>
      <w:r>
        <w:t xml:space="preserve"> </w:t>
      </w:r>
      <w:r>
        <w:t xml:space="preserve">(≤200 words) — [what happened in plain language, what was lost/exposed, what is contained, what is NOT yet contained, and the action the board is asked to authorise. A reader who stops here can still brief their boss.]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[hosts, users, and data classes in scope (and out of scope) — one short paragraph each.]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Preparation — what worked / what didn’t</w:t>
      </w:r>
      <w:r>
        <w:t xml:space="preserve"> </w:t>
      </w:r>
      <w:r>
        <w:t xml:space="preserve">— [Sankofa’s pre-incident posture. Did detection catch the beacon? Was the</w:t>
      </w:r>
      <w:r>
        <w:t xml:space="preserve"> </w:t>
      </w:r>
      <w:r>
        <w:rPr>
          <w:rStyle w:val="VerbatimChar"/>
        </w:rPr>
        <w:t xml:space="preserve">sudoers.d</w:t>
      </w:r>
      <w:r>
        <w:t xml:space="preserve"> </w:t>
      </w:r>
      <w:r>
        <w:t xml:space="preserve">change reviewed? Cite the evidence for each control that was present or absent.]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Identification — how we found it</w:t>
      </w:r>
      <w:r>
        <w:t xml:space="preserve"> </w:t>
      </w:r>
      <w:r>
        <w:t xml:space="preserve">— [the detection that triggered investigation; the forensic artefacts you pulled (memory dump, filesystem index, syslog, SIEM, netflow); chain of custody.]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Containment — what stopped the bleeding</w:t>
      </w:r>
      <w:r>
        <w:t xml:space="preserve"> </w:t>
      </w:r>
      <w:r>
        <w:t xml:space="preserve">— [hosts isolated, credentials rotated, network rules pushed, and the ORDER you did them in — justify each ordering choice.]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Eradication — what got removed</w:t>
      </w:r>
      <w:r>
        <w:t xml:space="preserve"> </w:t>
      </w:r>
      <w:r>
        <w:t xml:space="preserve">— [the persistence removed (the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.helper</w:t>
      </w:r>
      <w:r>
        <w:t xml:space="preserve"> </w:t>
      </w:r>
      <w:r>
        <w:t xml:space="preserve">binary, the autostart entry, the cron); the sudoers entry fixed; any pivoted credentials revoked; the C2 domain</w:t>
      </w:r>
      <w:r>
        <w:t xml:space="preserve"> </w:t>
      </w:r>
      <w:r>
        <w:rPr>
          <w:rStyle w:val="VerbatimChar"/>
        </w:rPr>
        <w:t xml:space="preserve">gri0t-c2.dynamic-update.net</w:t>
      </w:r>
      <w:r>
        <w:t xml:space="preserve"> </w:t>
      </w:r>
      <w:r>
        <w:t xml:space="preserve">sinkholed/blocked.]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Recovery — how we returned to normal</w:t>
      </w:r>
      <w:r>
        <w:t xml:space="preserve"> </w:t>
      </w:r>
      <w:r>
        <w:t xml:space="preserve">— [reimage vs in-place clean; restore vs rebuild; the validation step that confirmed eradication (fresh image, fresh keys, monitored 72h with no beacons).]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Lessons learned — three actions</w:t>
      </w:r>
      <w:r>
        <w:t xml:space="preserve"> </w:t>
      </w:r>
      <w:r>
        <w:t xml:space="preserve">— [three concrete actions, each with a named owner ROLE and a deadline, each backed by an artefact in this incident. Not platitudes.]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Timeline table</w:t>
      </w:r>
      <w:r>
        <w:t xml:space="preserve"> </w:t>
      </w:r>
      <w:r>
        <w:t xml:space="preserve">— [reuse/refine your D2 timeline. Columns exactly:</w:t>
      </w:r>
      <w:r>
        <w:t xml:space="preserve"> </w:t>
      </w:r>
      <w:r>
        <w:rPr>
          <w:rStyle w:val="VerbatimChar"/>
        </w:rPr>
        <w:t xml:space="preserve">Timestamp UTC | Event | Evidence (path or tab:timestamp) | ATT&amp;CK ID | Confidence (H/M/L) | Confidence rationale (≤25 words)</w:t>
      </w:r>
      <w:r>
        <w:t xml:space="preserve">.</w:t>
      </w:r>
      <w:r>
        <w:t xml:space="preserve"> </w:t>
      </w:r>
      <w:r>
        <w:rPr>
          <w:b/>
          <w:bCs/>
        </w:rPr>
        <w:t xml:space="preserve">Minimum 12 rows.</w:t>
      </w:r>
      <w:r>
        <w:t xml:space="preserve"> </w:t>
      </w:r>
      <w:r>
        <w:t xml:space="preserve">H = direct evidence; M = correlated/indirect; L = inferred from absence. A table that is all H is wrong — real IR has uncertainty.]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ATT&amp;CK map summary</w:t>
      </w:r>
      <w:r>
        <w:t xml:space="preserve"> </w:t>
      </w:r>
      <w:r>
        <w:t xml:space="preserve">— [reference your D4; restate the</w:t>
      </w:r>
      <w:r>
        <w:t xml:space="preserve"> </w:t>
      </w:r>
      <w:r>
        <w:rPr>
          <w:b/>
          <w:bCs/>
        </w:rPr>
        <w:t xml:space="preserve">top 6</w:t>
      </w:r>
      <w:r>
        <w:t xml:space="preserve"> </w:t>
      </w:r>
      <w:r>
        <w:t xml:space="preserve">techniques here with a one-line justification each.]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 register update</w:t>
      </w:r>
      <w:r>
        <w:t xml:space="preserve"> </w:t>
      </w:r>
      <w:r>
        <w:t xml:space="preserve">— [three NEW risks this incident surfaces — e.g. </w:t>
      </w:r>
      <w:r>
        <w:t xml:space="preserve">“unreviewed sudoers grants survive indefinitely”</w:t>
      </w:r>
      <w:r>
        <w:t xml:space="preserve"> </w:t>
      </w:r>
      <w:r>
        <w:t xml:space="preserve">— each with likelihood × impact and a proposed control. Not</w:t>
      </w:r>
      <w:r>
        <w:t xml:space="preserve"> </w:t>
      </w:r>
      <w:r>
        <w:t xml:space="preserve">“we got breached.”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References (8+)</w:t>
      </w:r>
      <w:r>
        <w:t xml:space="preserve"> </w:t>
      </w:r>
      <w:r>
        <w:t xml:space="preserve">— [NIST SP 800-61r2 by section (e.g. §2 lifecycle, §3.3.4 containment); 4+ MITRE ATT&amp;CK IDs; 1+ CISA playbook; 1+ detection reference; NDPA 2023 §40 with a one-line note on whether this breach meets the notification threshold.]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appendix</w:t>
      </w:r>
      <w:r>
        <w:t xml:space="preserve"> </w:t>
      </w:r>
      <w:r>
        <w:t xml:space="preserve">— [every file, tab, timestamp, command, ATT&amp;CK ID, and external reference cited above, in one numbered list.]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Rejected alternate theory</w:t>
      </w:r>
      <w:r>
        <w:t xml:space="preserve"> </w:t>
      </w:r>
      <w:r>
        <w:t xml:space="preserve">(80+ words) — [one plausible explanation you considered and REJECTED, with the artefact that ruled it out. Generic</w:t>
      </w:r>
      <w:r>
        <w:t xml:space="preserve"> </w:t>
      </w:r>
      <w:r>
        <w:t xml:space="preserve">“I considered other theories”</w:t>
      </w:r>
      <w:r>
        <w:t xml:space="preserve"> </w:t>
      </w:r>
      <w:r>
        <w:t xml:space="preserve">scores zero. Example shape:</w:t>
      </w:r>
      <w:r>
        <w:t xml:space="preserve"> </w:t>
      </w:r>
      <w:r>
        <w:t xml:space="preserve">“I considered direct insider abuse by o.adegoke — ruled out by [the artefact that disproves it].”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mistake I almost made</w:t>
      </w:r>
      <w:r>
        <w:t xml:space="preserve"> </w:t>
      </w:r>
      <w:r>
        <w:t xml:space="preserve">(80+ words) — [a specific drafting moment: the order of containment vs eradication, nearly understating the blast radius, or missing logs misleading you. This goes</w:t>
      </w:r>
      <w:r>
        <w:t xml:space="preserve"> </w:t>
      </w:r>
      <w:r>
        <w:rPr>
          <w:b/>
          <w:bCs/>
        </w:rPr>
        <w:t xml:space="preserve">inside the Doc</w:t>
      </w:r>
      <w:r>
        <w:t xml:space="preserve"> </w:t>
      </w:r>
      <w:r>
        <w:t xml:space="preserve">— it is a section of the report, not the answer-box abstract. Vague answers score zero.]</w:t>
      </w:r>
    </w:p>
    <w:p>
      <w:r>
        <w:pict>
          <v:rect style="width:0;height:1.5pt" o:hralign="center" o:hrstd="t" o:hr="t"/>
        </w:pict>
      </w:r>
    </w:p>
    <w:bookmarkStart w:id="11" w:name="where-the-marks-are-won-what-we-look-for"/>
    <w:p>
      <w:pPr>
        <w:pStyle w:val="Heading3"/>
      </w:pPr>
      <w:r>
        <w:t xml:space="preserve">Where the marks are won (what we look for)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stand-alone executive summary</w:t>
      </w:r>
      <w:r>
        <w:t xml:space="preserve"> </w:t>
      </w:r>
      <w:r>
        <w:t xml:space="preserve">— a board member could act on it without reading further.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 sections present, in order, named correctly</w:t>
      </w:r>
      <w:r>
        <w:t xml:space="preserve"> </w:t>
      </w:r>
      <w:r>
        <w:t xml:space="preserve">— and 1,500+ words.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cause as a cause</w:t>
      </w:r>
      <w:r>
        <w:t xml:space="preserve"> </w:t>
      </w:r>
      <w:r>
        <w:t xml:space="preserve">— the compromised SSH key + the</w:t>
      </w:r>
      <w:r>
        <w:t xml:space="preserve"> </w:t>
      </w:r>
      <w:r>
        <w:rPr>
          <w:rStyle w:val="VerbatimChar"/>
        </w:rPr>
        <w:t xml:space="preserve">sudo less</w:t>
      </w:r>
      <w:r>
        <w:t xml:space="preserve"> </w:t>
      </w:r>
      <w:r>
        <w:t xml:space="preserve">misconfiguration becoming persistent root — not</w:t>
      </w:r>
      <w:r>
        <w:t xml:space="preserve"> </w:t>
      </w:r>
      <w:r>
        <w:t xml:space="preserve">“malware ran.”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real timeline table</w:t>
      </w:r>
      <w:r>
        <w:t xml:space="preserve"> </w:t>
      </w:r>
      <w:r>
        <w:t xml:space="preserve">— 12+ rows, with honest H/M/L confidence (not everything H) and ATT&amp;CK IDs.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Owned, dated lessons + a real risk register</w:t>
      </w:r>
      <w:r>
        <w:t xml:space="preserve"> </w:t>
      </w:r>
      <w:r>
        <w:t xml:space="preserve">— actions with owner roles and deadlines; risks that are not just</w:t>
      </w:r>
      <w:r>
        <w:t xml:space="preserve"> </w:t>
      </w:r>
      <w:r>
        <w:t xml:space="preserve">“we got breached.”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rejected-theory and one-mistake sections are specific</w:t>
      </w:r>
      <w:r>
        <w:t xml:space="preserve"> </w:t>
      </w:r>
      <w:r>
        <w:t xml:space="preserve">— these are the AI-resistant sections; generic answers score zero.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8+ real citations</w:t>
      </w:r>
      <w:r>
        <w:t xml:space="preserve"> </w:t>
      </w:r>
      <w:r>
        <w:t xml:space="preserve">— NIST by section, ATT&amp;CK IDs, CISA, a detection reference, NDPA §40 — and consistency with your D1–D4.</w:t>
      </w:r>
    </w:p>
    <w:bookmarkEnd w:id="11"/>
    <w:bookmarkStart w:id="12" w:name="before-you-submit-confirm"/>
    <w:p>
      <w:pPr>
        <w:pStyle w:val="Heading3"/>
      </w:pPr>
      <w:r>
        <w:t xml:space="preserve">Before you submit, confirm</w:t>
      </w:r>
    </w:p>
    <w:p>
      <w:pPr>
        <w:pStyle w:val="Compact"/>
        <w:numPr>
          <w:ilvl w:val="0"/>
          <w:numId w:val="1004"/>
        </w:numPr>
      </w:pPr>
      <w:r>
        <w:t xml:space="preserve">First line is the</w:t>
      </w:r>
      <w:r>
        <w:t xml:space="preserve"> </w:t>
      </w:r>
      <w:r>
        <w:rPr>
          <w:rStyle w:val="VerbatimChar"/>
        </w:rPr>
        <w:t xml:space="preserve">Stage 3 · Incident report · Name · Code</w:t>
      </w:r>
      <w:r>
        <w:t xml:space="preserve"> </w:t>
      </w:r>
      <w:r>
        <w:t xml:space="preserve">identity line.</w:t>
      </w:r>
    </w:p>
    <w:p>
      <w:pPr>
        <w:pStyle w:val="Compact"/>
        <w:numPr>
          <w:ilvl w:val="0"/>
          <w:numId w:val="1005"/>
        </w:numPr>
      </w:pPr>
      <w:r>
        <w:t xml:space="preserve">All 15 sections present, in order, with the exact headings; 1,500+ words.</w:t>
      </w:r>
    </w:p>
    <w:p>
      <w:pPr>
        <w:pStyle w:val="Compact"/>
        <w:numPr>
          <w:ilvl w:val="0"/>
          <w:numId w:val="1006"/>
        </w:numPr>
      </w:pPr>
      <w:r>
        <w:t xml:space="preserve">Timeline table has 12+ rows with the six columns incl. Confidence (not all H).</w:t>
      </w:r>
    </w:p>
    <w:p>
      <w:pPr>
        <w:pStyle w:val="Compact"/>
        <w:numPr>
          <w:ilvl w:val="0"/>
          <w:numId w:val="1007"/>
        </w:numPr>
      </w:pPr>
      <w:r>
        <w:t xml:space="preserve">Rejected-alternate-theory and one-mistake sections are specific and inside the Doc.</w:t>
      </w:r>
    </w:p>
    <w:p>
      <w:pPr>
        <w:pStyle w:val="Compact"/>
        <w:numPr>
          <w:ilvl w:val="0"/>
          <w:numId w:val="1008"/>
        </w:numPr>
      </w:pPr>
      <w:r>
        <w:t xml:space="preserve">8+ citations incl. NIST §, 4+ ATT&amp;CK IDs, CISA, a detection ref, and NDPA §40.</w:t>
      </w:r>
    </w:p>
    <w:p>
      <w:pPr>
        <w:pStyle w:val="Compact"/>
        <w:numPr>
          <w:ilvl w:val="0"/>
          <w:numId w:val="1009"/>
        </w:numPr>
      </w:pPr>
      <w:r>
        <w:t xml:space="preserve">Doc sharing is</w:t>
      </w:r>
      <w:r>
        <w:t xml:space="preserve"> </w:t>
      </w:r>
      <w:r>
        <w:t xml:space="preserve">“Anyone with the link → Viewer”</w:t>
      </w:r>
      <w:r>
        <w:t xml:space="preserve">; answer box has the URL + 100-word abstract.</w:t>
      </w:r>
    </w:p>
    <w:p>
      <w:pPr>
        <w:pStyle w:val="Compact"/>
        <w:numPr>
          <w:ilvl w:val="0"/>
          <w:numId w:val="101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or grey guidance lines remain.</w:t>
      </w:r>
    </w:p>
    <w:bookmarkEnd w:id="12"/>
    <w:bookmarkEnd w:id="13"/>
    <w:bookmarkEnd w:id="14"/>
    <w:sectPr>
      <w:headerReference r:id="rIdUBIHd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CBD5E1"/>
      </w:pBdr>
      <w:spacing w:after="0"/>
      <w:tabs>
        <w:tab w:val="right" w:pos="9360"/>
      </w:tabs>
    </w:pPr>
    <w:r>
      <w:rPr>
        <w:rFonts w:ascii="Calibri" w:hAnsi="Calibri"/>
        <w:b/>
        <w:color w:val="1E40AF"/>
        <w:sz w:val="18"/>
      </w:rPr>
      <w:t xml:space="preserve">UBUNTU BRIDGE INITIATIVE</w:t>
    </w:r>
    <w:r>
      <w:rPr>
        <w:rFonts w:ascii="Calibri" w:hAnsi="Calibri"/>
        <w:color w:val="64748B"/>
        <w:sz w:val="18"/>
      </w:rPr>
      <w:tab/>
      <w:t xml:space="preserve">Cybersecurity Internship  ·  Cohort 1  ·  Stage 2 Capstone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111827"/>
      <w:sz w:val="22"/>
      <w:szCs w:val="22"/>
    </w:rPr>
    <w:pPr>
      <w:spacing w:after="140" w:line="276" w:lineRule="auto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  <w:rFonts w:ascii="Calibri" w:hAnsi="Calibri"/>
      <w:color w:val="1E40AF"/>
      <w:sz w:val="46"/>
      <w:szCs w:val="46"/>
      <w:spacing w:val="-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Fonts w:ascii="Calibri" w:hAnsi="Calibri"/>
      <w:color w:val="1E40AF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Fonts w:ascii="Calibri" w:hAnsi="Calibri"/>
      <w:color w:val="1E40AF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  <w:rFonts w:ascii="Calibri" w:hAnsi="Calibri"/>
      <w:color w:val="0F172A"/>
      <w:b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3B82F6" w:space="10" w:sz="22" w:val="single"/>
      </w:pBdr>
      <w:shd w:color="auto" w:fill="EFF4FF" w:val="clear"/>
    </w:pPr>
    <w:rPr>
      <w:color w:val="1E293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UBIHdr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2026-06-24T13:43:56Z</dcterms:created>
  <dcterms:modified xsi:type="dcterms:W3CDTF">2026-06-24T13:43:56Z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