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Ubuntu Bridge Initiative · Cybersecurity Internship · Cohort 1 · Stage 3 Capstone</w:t>
      </w:r>
    </w:p>
    <w:p>
      <w:pPr>
        <w:pStyle w:val="BodyText"/>
      </w:pPr>
      <w:r>
        <w:rPr>
          <w:i/>
          <w:iCs/>
        </w:rPr>
        <w:t xml:space="preserve">Editable template — Deliverable 3 of 5: IOC list. You extract the indicators of compromise from the evidence and format them so another analyst could block or hunt for them tomorrow. Edit in Google Docs or Microsoft Word (keep it as a table); a STIX 2.1 JSON bundle is an optional bonus. Replace every [BRACKETED] prompt and delete every grey guidance line before you submit.</w:t>
      </w:r>
    </w:p>
    <w:p>
      <w:r>
        <w:pict>
          <v:rect style="width:0;height:1.5pt" o:hralign="center" o:hrstd="t" o:hr="t"/>
        </w:pict>
      </w:r>
    </w:p>
    <w:bookmarkStart w:id="15" w:name="deliverable-3-ioc-list"/>
    <w:p>
      <w:pPr>
        <w:pStyle w:val="Heading1"/>
      </w:pPr>
      <w:r>
        <w:t xml:space="preserve">Deliverable 3 — IOC list</w:t>
      </w:r>
    </w:p>
    <w:bookmarkStart w:id="9" w:name="before-you-start"/>
    <w:p>
      <w:pPr>
        <w:pStyle w:val="Heading3"/>
      </w:pPr>
      <w:r>
        <w:t xml:space="preserve">Before you start</w:t>
      </w:r>
    </w:p>
    <w:p>
      <w:pPr>
        <w:pStyle w:val="Compact"/>
        <w:numPr>
          <w:ilvl w:val="0"/>
          <w:numId w:val="1001"/>
        </w:numPr>
      </w:pPr>
      <w:r>
        <w:t xml:space="preserve">An IOC is something another team can</w:t>
      </w:r>
      <w:r>
        <w:t xml:space="preserve"> </w:t>
      </w:r>
      <w:r>
        <w:rPr>
          <w:b/>
          <w:bCs/>
        </w:rPr>
        <w:t xml:space="preserve">act on</w:t>
      </w:r>
      <w:r>
        <w:t xml:space="preserve"> </w:t>
      </w:r>
      <w:r>
        <w:t xml:space="preserve">— block, alert, or hunt for. Cover the types present: IP addresses, domains/URLs, file paths and hashes, user-agent strings, and persistence artefacts.</w:t>
      </w:r>
    </w:p>
    <w:p>
      <w:pPr>
        <w:pStyle w:val="Compact"/>
        <w:numPr>
          <w:ilvl w:val="0"/>
          <w:numId w:val="1001"/>
        </w:numPr>
      </w:pPr>
      <w:r>
        <w:t xml:space="preserve">Every IOC must be tied to where you saw it (the source file + line). An indicator with no provenance is not usable.</w:t>
      </w:r>
    </w:p>
    <w:p>
      <w:pPr>
        <w:pStyle w:val="Compact"/>
        <w:numPr>
          <w:ilvl w:val="0"/>
          <w:numId w:val="1001"/>
        </w:numPr>
      </w:pPr>
      <w:r>
        <w:t xml:space="preserve">Watch the false positives: internal infrastructure that appears in the logs (internal DNS, OS update/NTP endpoints, the host’s own address) is</w:t>
      </w:r>
      <w:r>
        <w:t xml:space="preserve"> </w:t>
      </w:r>
      <w:r>
        <w:rPr>
          <w:b/>
          <w:bCs/>
        </w:rPr>
        <w:t xml:space="preserve">not</w:t>
      </w:r>
      <w:r>
        <w:t xml:space="preserve"> </w:t>
      </w:r>
      <w:r>
        <w:t xml:space="preserve">an indicator of compromise. Listing benign infrastructure as malicious is a real deduction.</w:t>
      </w:r>
    </w:p>
    <w:p>
      <w:pPr>
        <w:pStyle w:val="BlockText"/>
      </w:pPr>
      <w:r>
        <w:t xml:space="preserve">This is a scaffold, not an answer key. You extract and classify the indicators yourself.</w:t>
      </w:r>
    </w:p>
    <w:p>
      <w:r>
        <w:pict>
          <v:rect style="width:0;height:1.5pt" o:hralign="center" o:hrstd="t" o:hr="t"/>
        </w:pict>
      </w:r>
    </w:p>
    <w:bookmarkEnd w:id="9"/>
    <w:bookmarkStart w:id="10" w:name="what-you-submit"/>
    <w:p>
      <w:pPr>
        <w:pStyle w:val="Heading2"/>
      </w:pPr>
      <w:r>
        <w:t xml:space="preserve">What you submit</w:t>
      </w:r>
    </w:p>
    <w:p>
      <w:pPr>
        <w:pStyle w:val="FirstParagraph"/>
      </w:pPr>
      <w:r>
        <w:t xml:space="preserve">A document (</w:t>
      </w:r>
      <w:r>
        <w:rPr>
          <w:rStyle w:val="VerbatimChar"/>
        </w:rPr>
        <w:t xml:space="preserve">iocs</w:t>
      </w:r>
      <w:r>
        <w:t xml:space="preserve">) with one IOC table. Optionally, also paste a STIX 2.1 bundle of a subset for bonus credit (see the last section).</w:t>
      </w:r>
    </w:p>
    <w:p>
      <w:pPr>
        <w:pStyle w:val="BodyText"/>
      </w:pPr>
      <w:r>
        <w:rPr>
          <w:b/>
          <w:bCs/>
        </w:rPr>
        <w:t xml:space="preserve">First line of your document:</w:t>
      </w:r>
    </w:p>
    <w:p>
      <w:pPr>
        <w:pStyle w:val="BodyText"/>
      </w:pPr>
      <w:r>
        <w:rPr>
          <w:rStyle w:val="VerbatimChar"/>
        </w:rPr>
        <w:t xml:space="preserve">Stage 3 · IOC list · [Your Full Name] · [UBI-2026-####]</w:t>
      </w:r>
    </w:p>
    <w:bookmarkEnd w:id="10"/>
    <w:bookmarkStart w:id="11" w:name="the-ioc-table"/>
    <w:p>
      <w:pPr>
        <w:pStyle w:val="Heading2"/>
      </w:pPr>
      <w:r>
        <w:t xml:space="preserve">The IOC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Indicator value</w:t>
            </w:r>
          </w:p>
        </w:tc>
        <w:tc>
          <w:tcPr/>
          <w:p>
            <w:pPr>
              <w:pStyle w:val="Compact"/>
            </w:pPr>
            <w:r>
              <w:t xml:space="preserve">Context (what it is / what it did)</w:t>
            </w:r>
          </w:p>
        </w:tc>
        <w:tc>
          <w:tcPr/>
          <w:p>
            <w:pPr>
              <w:pStyle w:val="Compact"/>
            </w:pPr>
            <w:r>
              <w:t xml:space="preserve">Source (file · line)</w:t>
            </w:r>
          </w:p>
        </w:tc>
        <w:tc>
          <w:tcPr/>
          <w:p>
            <w:pPr>
              <w:pStyle w:val="Compact"/>
            </w:pPr>
            <w:r>
              <w:t xml:space="preserve">Confidence</w:t>
            </w:r>
          </w:p>
        </w:tc>
      </w:tr>
      <w:tr>
        <w:tc>
          <w:tcPr/>
          <w:p>
            <w:pPr>
              <w:pStyle w:val="Compact"/>
            </w:pPr>
            <w:r>
              <w:t xml:space="preserve">IP address</w:t>
            </w:r>
          </w:p>
        </w:tc>
        <w:tc>
          <w:tcPr/>
          <w:p>
            <w:pPr>
              <w:pStyle w:val="Compact"/>
            </w:pPr>
            <w:r>
              <w:t xml:space="preserve">[value]</w:t>
            </w:r>
          </w:p>
        </w:tc>
        <w:tc>
          <w:tcPr/>
          <w:p>
            <w:pPr>
              <w:pStyle w:val="Compact"/>
            </w:pPr>
            <w:r>
              <w:t xml:space="preserve">[C2 / exfil destination / login origin]</w:t>
            </w:r>
          </w:p>
        </w:tc>
        <w:tc>
          <w:tcPr/>
          <w:p>
            <w:pPr>
              <w:pStyle w:val="Compact"/>
            </w:pPr>
            <w:r>
              <w:t xml:space="preserve">[</w:t>
            </w:r>
            <w:r>
              <w:rPr>
                <w:rStyle w:val="VerbatimChar"/>
              </w:rPr>
              <w:t xml:space="preserve">06-netflow.csv</w:t>
            </w:r>
            <w:r>
              <w:t xml:space="preserve"> </w:t>
            </w:r>
            <w:r>
              <w:t xml:space="preserve">row /</w:t>
            </w:r>
            <w:r>
              <w:t xml:space="preserve"> </w:t>
            </w:r>
            <w:r>
              <w:rPr>
                <w:rStyle w:val="VerbatimChar"/>
              </w:rPr>
              <w:t xml:space="preserve">04-siem-export.csv</w:t>
            </w:r>
            <w:r>
              <w:t xml:space="preserve">]</w:t>
            </w:r>
          </w:p>
        </w:tc>
        <w:tc>
          <w:tcPr/>
          <w:p>
            <w:pPr>
              <w:pStyle w:val="Compact"/>
            </w:pPr>
            <w:r>
              <w:t xml:space="preserve">[High/Med/Low]</w:t>
            </w:r>
          </w:p>
        </w:tc>
      </w:tr>
      <w:tr>
        <w:tc>
          <w:tcPr/>
          <w:p>
            <w:pPr>
              <w:pStyle w:val="Compact"/>
            </w:pPr>
            <w:r>
              <w:t xml:space="preserve">URL / domain</w:t>
            </w:r>
          </w:p>
        </w:tc>
        <w:tc>
          <w:tcPr/>
          <w:p>
            <w:pPr>
              <w:pStyle w:val="Compact"/>
            </w:pPr>
            <w:r>
              <w:t xml:space="preserve">[value]</w:t>
            </w:r>
          </w:p>
        </w:tc>
        <w:tc>
          <w:tcPr/>
          <w:p>
            <w:pPr>
              <w:pStyle w:val="Compact"/>
            </w:pPr>
            <w:r>
              <w:t xml:space="preserve">[beacon endpoint]</w:t>
            </w:r>
          </w:p>
        </w:tc>
        <w:tc>
          <w:tcPr/>
          <w:p>
            <w:pPr>
              <w:pStyle w:val="Compact"/>
            </w:pPr>
            <w:r>
              <w:t xml:space="preserve">[ ]</w:t>
            </w:r>
          </w:p>
        </w:tc>
        <w:tc>
          <w:tcPr/>
          <w:p>
            <w:pPr>
              <w:pStyle w:val="Compact"/>
            </w:pPr>
            <w:r>
              <w:t xml:space="preserve">[ ]</w:t>
            </w:r>
          </w:p>
        </w:tc>
      </w:tr>
      <w:tr>
        <w:tc>
          <w:tcPr/>
          <w:p>
            <w:pPr>
              <w:pStyle w:val="Compact"/>
            </w:pPr>
            <w:r>
              <w:t xml:space="preserve">File / path</w:t>
            </w:r>
          </w:p>
        </w:tc>
        <w:tc>
          <w:tcPr/>
          <w:p>
            <w:pPr>
              <w:pStyle w:val="Compact"/>
            </w:pPr>
            <w:r>
              <w:t xml:space="preserve">[value]</w:t>
            </w:r>
          </w:p>
        </w:tc>
        <w:tc>
          <w:tcPr/>
          <w:p>
            <w:pPr>
              <w:pStyle w:val="Compact"/>
            </w:pPr>
            <w:r>
              <w:t xml:space="preserve">[persistence binary / dropped file]</w:t>
            </w:r>
          </w:p>
        </w:tc>
        <w:tc>
          <w:tcPr/>
          <w:p>
            <w:pPr>
              <w:pStyle w:val="Compact"/>
            </w:pPr>
            <w:r>
              <w:t xml:space="preserve">[</w:t>
            </w:r>
            <w:r>
              <w:rPr>
                <w:rStyle w:val="VerbatimChar"/>
              </w:rPr>
              <w:t xml:space="preserve">01-process-listing.txt</w:t>
            </w:r>
            <w:r>
              <w:t xml:space="preserve"> </w:t>
            </w:r>
            <w:r>
              <w:t xml:space="preserve">/</w:t>
            </w:r>
            <w:r>
              <w:t xml:space="preserve"> </w:t>
            </w:r>
            <w:r>
              <w:rPr>
                <w:rStyle w:val="VerbatimChar"/>
              </w:rPr>
              <w:t xml:space="preserve">02-filesystem-index.txt</w:t>
            </w:r>
            <w:r>
              <w:t xml:space="preserve">]</w:t>
            </w:r>
          </w:p>
        </w:tc>
        <w:tc>
          <w:tcPr/>
          <w:p>
            <w:pPr>
              <w:pStyle w:val="Compact"/>
            </w:pPr>
            <w:r>
              <w:t xml:space="preserve">[ ]</w:t>
            </w:r>
          </w:p>
        </w:tc>
      </w:tr>
      <w:tr>
        <w:tc>
          <w:tcPr/>
          <w:p>
            <w:pPr>
              <w:pStyle w:val="Compact"/>
            </w:pPr>
            <w:r>
              <w:t xml:space="preserve">User-agent / tool</w:t>
            </w:r>
          </w:p>
        </w:tc>
        <w:tc>
          <w:tcPr/>
          <w:p>
            <w:pPr>
              <w:pStyle w:val="Compact"/>
            </w:pPr>
            <w:r>
              <w:t xml:space="preserve">[value]</w:t>
            </w:r>
          </w:p>
        </w:tc>
        <w:tc>
          <w:tcPr/>
          <w:p>
            <w:pPr>
              <w:pStyle w:val="Compact"/>
            </w:pPr>
            <w:r>
              <w:t xml:space="preserve">[the client/tool the beacon or request used]</w:t>
            </w:r>
          </w:p>
        </w:tc>
        <w:tc>
          <w:tcPr/>
          <w:p>
            <w:pPr>
              <w:pStyle w:val="Compact"/>
            </w:pPr>
            <w:r>
              <w:t xml:space="preserve">[</w:t>
            </w:r>
            <w:r>
              <w:rPr>
                <w:rStyle w:val="VerbatimChar"/>
              </w:rPr>
              <w:t xml:space="preserve">01-process-listing.txt</w:t>
            </w:r>
            <w:r>
              <w:t xml:space="preserve"> </w:t>
            </w:r>
            <w:r>
              <w:t xml:space="preserve">/</w:t>
            </w:r>
            <w:r>
              <w:t xml:space="preserve"> </w:t>
            </w:r>
            <w:r>
              <w:rPr>
                <w:rStyle w:val="VerbatimChar"/>
              </w:rPr>
              <w:t xml:space="preserve">05-memory-strings.txt</w:t>
            </w:r>
            <w:r>
              <w:t xml:space="preserve">]</w:t>
            </w:r>
          </w:p>
        </w:tc>
        <w:tc>
          <w:tcPr/>
          <w:p>
            <w:pPr>
              <w:pStyle w:val="Compact"/>
            </w:pPr>
            <w:r>
              <w:t xml:space="preserve">[ ]</w:t>
            </w:r>
          </w:p>
        </w:tc>
      </w:tr>
      <w:tr>
        <w:tc>
          <w:tcPr/>
          <w:p>
            <w:pPr>
              <w:pStyle w:val="Compact"/>
            </w:pPr>
            <w:r>
              <w:t xml:space="preserve">Persistence artefact</w:t>
            </w:r>
          </w:p>
        </w:tc>
        <w:tc>
          <w:tcPr/>
          <w:p>
            <w:pPr>
              <w:pStyle w:val="Compact"/>
            </w:pPr>
            <w:r>
              <w:t xml:space="preserve">[value]</w:t>
            </w:r>
          </w:p>
        </w:tc>
        <w:tc>
          <w:tcPr/>
          <w:p>
            <w:pPr>
              <w:pStyle w:val="Compact"/>
            </w:pPr>
            <w:r>
              <w:t xml:space="preserve">[cron entry / autostart / shell-config hook]</w:t>
            </w:r>
          </w:p>
        </w:tc>
        <w:tc>
          <w:tcPr/>
          <w:p>
            <w:pPr>
              <w:pStyle w:val="Compact"/>
            </w:pPr>
            <w:r>
              <w:t xml:space="preserve">[ ]</w:t>
            </w:r>
          </w:p>
        </w:tc>
        <w:tc>
          <w:tcPr/>
          <w:p>
            <w:pPr>
              <w:pStyle w:val="Compact"/>
            </w:pPr>
            <w:r>
              <w:t xml:space="preserve">[ ]</w:t>
            </w:r>
          </w:p>
        </w:tc>
      </w:tr>
      <w:tr>
        <w:tc>
          <w:tcPr/>
          <w:p>
            <w:pPr>
              <w:pStyle w:val="Compact"/>
            </w:pPr>
            <w:r>
              <w:t xml:space="preserve">Account / key</w:t>
            </w:r>
          </w:p>
        </w:tc>
        <w:tc>
          <w:tcPr/>
          <w:p>
            <w:pPr>
              <w:pStyle w:val="Compact"/>
            </w:pPr>
            <w:r>
              <w:t xml:space="preserve">[value]</w:t>
            </w:r>
          </w:p>
        </w:tc>
        <w:tc>
          <w:tcPr/>
          <w:p>
            <w:pPr>
              <w:pStyle w:val="Compact"/>
            </w:pPr>
            <w:r>
              <w:t xml:space="preserve">[compromised user / SSH key used]</w:t>
            </w:r>
          </w:p>
        </w:tc>
        <w:tc>
          <w:tcPr/>
          <w:p>
            <w:pPr>
              <w:pStyle w:val="Compact"/>
            </w:pPr>
            <w:r>
              <w:t xml:space="preserve">[ ]</w:t>
            </w:r>
          </w:p>
        </w:tc>
        <w:tc>
          <w:tcPr/>
          <w:p>
            <w:pPr>
              <w:pStyle w:val="Compact"/>
            </w:pPr>
            <w:r>
              <w:t xml:space="preserve">[ ]</w:t>
            </w:r>
          </w:p>
        </w:tc>
      </w:tr>
    </w:tbl>
    <w:p>
      <w:pPr>
        <w:pStyle w:val="BodyText"/>
      </w:pPr>
      <w:r>
        <w:rPr>
          <w:i/>
          <w:iCs/>
        </w:rPr>
        <w:t xml:space="preserve">Deduplicate. One row per distinct indicator. Group by type. Mark confidence honestly — a value you inferred is not the same as one you read directly.</w:t>
      </w:r>
    </w:p>
    <w:bookmarkEnd w:id="11"/>
    <w:bookmarkStart w:id="14" w:name="stix-2.1-optional-bonus"/>
    <w:p>
      <w:pPr>
        <w:pStyle w:val="Heading2"/>
      </w:pPr>
      <w:r>
        <w:t xml:space="preserve">STIX 2.1 (optional bonus)</w:t>
      </w:r>
    </w:p>
    <w:p>
      <w:pPr>
        <w:pStyle w:val="FirstParagraph"/>
      </w:pPr>
      <w:r>
        <w:t xml:space="preserve">[If you want the bonus: format a subset of the above as a STIX 2.1 bundle and paste the JSON here — typically</w:t>
      </w:r>
      <w:r>
        <w:t xml:space="preserve"> </w:t>
      </w:r>
      <w:r>
        <w:rPr>
          <w:rStyle w:val="VerbatimChar"/>
        </w:rPr>
        <w:t xml:space="preserve">indicator</w:t>
      </w:r>
      <w:r>
        <w:t xml:space="preserve"> </w:t>
      </w:r>
      <w:r>
        <w:t xml:space="preserve">SDOs with a</w:t>
      </w:r>
      <w:r>
        <w:t xml:space="preserve"> </w:t>
      </w:r>
      <w:r>
        <w:rPr>
          <w:rStyle w:val="VerbatimChar"/>
        </w:rPr>
        <w:t xml:space="preserve">pattern</w:t>
      </w:r>
      <w:r>
        <w:t xml:space="preserve"> </w:t>
      </w:r>
      <w:r>
        <w:t xml:space="preserve">(e.g. an</w:t>
      </w:r>
      <w:r>
        <w:t xml:space="preserve"> </w:t>
      </w:r>
      <w:r>
        <w:rPr>
          <w:rStyle w:val="VerbatimChar"/>
        </w:rPr>
        <w:t xml:space="preserve">ipv4-addr</w:t>
      </w:r>
      <w:r>
        <w:t xml:space="preserve"> </w:t>
      </w:r>
      <w:r>
        <w:t xml:space="preserve">or</w:t>
      </w:r>
      <w:r>
        <w:t xml:space="preserve"> </w:t>
      </w:r>
      <w:r>
        <w:rPr>
          <w:rStyle w:val="VerbatimChar"/>
        </w:rPr>
        <w:t xml:space="preserve">file:name</w:t>
      </w:r>
      <w:r>
        <w:t xml:space="preserve"> </w:t>
      </w:r>
      <w:r>
        <w:t xml:space="preserve">pattern) and</w:t>
      </w:r>
      <w:r>
        <w:t xml:space="preserve"> </w:t>
      </w:r>
      <w:r>
        <w:rPr>
          <w:rStyle w:val="VerbatimChar"/>
        </w:rPr>
        <w:t xml:space="preserve">valid_from</w:t>
      </w:r>
      <w:r>
        <w:t xml:space="preserve">, wrapped in a</w:t>
      </w:r>
      <w:r>
        <w:t xml:space="preserve"> </w:t>
      </w:r>
      <w:r>
        <w:rPr>
          <w:rStyle w:val="VerbatimChar"/>
        </w:rPr>
        <w:t xml:space="preserve">bundle</w:t>
      </w:r>
      <w:r>
        <w:t xml:space="preserve">. Keep it valid; a malformed bundle earns nothing extra.]</w:t>
      </w:r>
    </w:p>
    <w:p>
      <w:r>
        <w:pict>
          <v:rect style="width:0;height:1.5pt" o:hralign="center" o:hrstd="t" o:hr="t"/>
        </w:pict>
      </w:r>
    </w:p>
    <w:bookmarkStart w:id="12" w:name="where-the-marks-are-won-what-we-look-for"/>
    <w:p>
      <w:pPr>
        <w:pStyle w:val="Heading3"/>
      </w:pPr>
      <w:r>
        <w:t xml:space="preserve">Where the marks are won (what we look for)</w:t>
      </w:r>
    </w:p>
    <w:p>
      <w:pPr>
        <w:pStyle w:val="Compact"/>
        <w:numPr>
          <w:ilvl w:val="0"/>
          <w:numId w:val="1002"/>
        </w:numPr>
      </w:pPr>
      <w:r>
        <w:rPr>
          <w:b/>
          <w:bCs/>
        </w:rPr>
        <w:t xml:space="preserve">Coverage across types</w:t>
      </w:r>
      <w:r>
        <w:t xml:space="preserve"> </w:t>
      </w:r>
      <w:r>
        <w:t xml:space="preserve">— not just the C2 IP. Network, file, persistence, and account indicators each present where the evidence supports them.</w:t>
      </w:r>
    </w:p>
    <w:p>
      <w:pPr>
        <w:pStyle w:val="Compact"/>
        <w:numPr>
          <w:ilvl w:val="0"/>
          <w:numId w:val="1002"/>
        </w:numPr>
      </w:pPr>
      <w:r>
        <w:rPr>
          <w:b/>
          <w:bCs/>
        </w:rPr>
        <w:t xml:space="preserve">Provenance on every row</w:t>
      </w:r>
      <w:r>
        <w:t xml:space="preserve"> </w:t>
      </w:r>
      <w:r>
        <w:t xml:space="preserve">— the source file and line. An IOC sheet is only as good as its traceability.</w:t>
      </w:r>
    </w:p>
    <w:p>
      <w:pPr>
        <w:pStyle w:val="Compact"/>
        <w:numPr>
          <w:ilvl w:val="0"/>
          <w:numId w:val="1002"/>
        </w:numPr>
      </w:pPr>
      <w:r>
        <w:rPr>
          <w:b/>
          <w:bCs/>
        </w:rPr>
        <w:t xml:space="preserve">False-positive discipline</w:t>
      </w:r>
      <w:r>
        <w:t xml:space="preserve"> </w:t>
      </w:r>
      <w:r>
        <w:t xml:space="preserve">— benign internal/OS infrastructure is left out (or explicitly marked benign). This is graded.</w:t>
      </w:r>
    </w:p>
    <w:p>
      <w:pPr>
        <w:pStyle w:val="Compact"/>
        <w:numPr>
          <w:ilvl w:val="0"/>
          <w:numId w:val="1002"/>
        </w:numPr>
      </w:pPr>
      <w:r>
        <w:rPr>
          <w:b/>
          <w:bCs/>
        </w:rPr>
        <w:t xml:space="preserve">Actionability</w:t>
      </w:r>
      <w:r>
        <w:t xml:space="preserve"> </w:t>
      </w:r>
      <w:r>
        <w:t xml:space="preserve">— values are exact and usable (full IP, full path, full URL), deduplicated, with honest confidence.</w:t>
      </w:r>
    </w:p>
    <w:bookmarkEnd w:id="12"/>
    <w:bookmarkStart w:id="13" w:name="before-you-submit-confirm"/>
    <w:p>
      <w:pPr>
        <w:pStyle w:val="Heading3"/>
      </w:pPr>
      <w:r>
        <w:t xml:space="preserve">Before you submit, confirm</w:t>
      </w:r>
    </w:p>
    <w:p>
      <w:pPr>
        <w:pStyle w:val="Compact"/>
        <w:numPr>
          <w:ilvl w:val="0"/>
          <w:numId w:val="1003"/>
        </w:numPr>
      </w:pPr>
      <w:r>
        <w:t xml:space="preserve">First line is the</w:t>
      </w:r>
      <w:r>
        <w:t xml:space="preserve"> </w:t>
      </w:r>
      <w:r>
        <w:rPr>
          <w:rStyle w:val="VerbatimChar"/>
        </w:rPr>
        <w:t xml:space="preserve">Stage 3 · IOC list · Name · Code</w:t>
      </w:r>
      <w:r>
        <w:t xml:space="preserve"> </w:t>
      </w:r>
      <w:r>
        <w:t xml:space="preserve">identity line.</w:t>
      </w:r>
    </w:p>
    <w:p>
      <w:pPr>
        <w:pStyle w:val="Compact"/>
        <w:numPr>
          <w:ilvl w:val="0"/>
          <w:numId w:val="1004"/>
        </w:numPr>
      </w:pPr>
      <w:r>
        <w:t xml:space="preserve">IOCs span the relevant types, each tied to a source line.</w:t>
      </w:r>
    </w:p>
    <w:p>
      <w:pPr>
        <w:pStyle w:val="Compact"/>
        <w:numPr>
          <w:ilvl w:val="0"/>
          <w:numId w:val="1005"/>
        </w:numPr>
      </w:pPr>
      <w:r>
        <w:t xml:space="preserve">No benign internal/OS infrastructure listed as malicious.</w:t>
      </w:r>
    </w:p>
    <w:p>
      <w:pPr>
        <w:pStyle w:val="Compact"/>
        <w:numPr>
          <w:ilvl w:val="0"/>
          <w:numId w:val="1006"/>
        </w:numPr>
      </w:pPr>
      <w:r>
        <w:t xml:space="preserve">Values are exact, deduplicated, and confidence-rated.</w:t>
      </w:r>
    </w:p>
    <w:p>
      <w:pPr>
        <w:pStyle w:val="Compact"/>
        <w:numPr>
          <w:ilvl w:val="0"/>
          <w:numId w:val="1007"/>
        </w:numPr>
      </w:pPr>
      <w:r>
        <w:t xml:space="preserve">No</w:t>
      </w:r>
      <w:r>
        <w:t xml:space="preserve"> </w:t>
      </w:r>
      <w:r>
        <w:rPr>
          <w:rStyle w:val="VerbatimChar"/>
        </w:rPr>
        <w:t xml:space="preserve">[BRACKETED]</w:t>
      </w:r>
      <w:r>
        <w:t xml:space="preserve"> </w:t>
      </w:r>
      <w:r>
        <w:t xml:space="preserve">prompts or grey guidance lines remain.</w:t>
      </w:r>
    </w:p>
    <w:bookmarkEnd w:id="13"/>
    <w:bookmarkEnd w:id="14"/>
    <w:bookmarkEnd w:id="15"/>
    <w:sectPr>
      <w:headerReference r:id="rIdUBIHdr"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6" w:space="4" w:color="CBD5E1"/>
      </w:pBdr>
      <w:spacing w:after="0"/>
      <w:tabs>
        <w:tab w:val="right" w:pos="9360"/>
      </w:tabs>
    </w:pPr>
    <w:r>
      <w:rPr>
        <w:rFonts w:ascii="Calibri" w:hAnsi="Calibri"/>
        <w:b/>
        <w:color w:val="1E40AF"/>
        <w:sz w:val="18"/>
      </w:rPr>
      <w:t xml:space="preserve">UBUNTU BRIDGE INITIATIVE</w:t>
    </w:r>
    <w:r>
      <w:rPr>
        <w:rFonts w:ascii="Calibri" w:hAnsi="Calibri"/>
        <w:color w:val="64748B"/>
        <w:sz w:val="18"/>
      </w:rPr>
      <w:tab/>
      <w:t xml:space="preserve">Cybersecurity Internship  ·  Cohort 1  ·  Stage 2 Capstone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2"/>
  </w:num>
  <w:num w:numId="1006">
    <w:abstractNumId w:val="992"/>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11827"/>
      <w:sz w:val="22"/>
      <w:szCs w:val="22"/>
    </w:rPr>
    <w:pPr>
      <w:spacing w:after="140" w:line="276" w:lineRule="auto"/>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Fonts w:ascii="Calibri" w:hAnsi="Calibri"/>
      <w:color w:val="1E40AF"/>
      <w:sz w:val="46"/>
      <w:szCs w:val="46"/>
      <w:spacing w:val="-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Fonts w:ascii="Calibri" w:hAnsi="Calibri"/>
      <w:color w:val="1E40AF"/>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Fonts w:ascii="Calibri" w:hAnsi="Calibri"/>
      <w:color w:val="1E40AF"/>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Fonts w:ascii="Calibri" w:hAnsi="Calibri"/>
      <w:color w:val="0F172A"/>
      <w:b/>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3B82F6" w:space="10" w:sz="22" w:val="single"/>
      </w:pBdr>
      <w:shd w:color="auto" w:fill="EFF4FF" w:val="clear"/>
    </w:pPr>
    <w:rPr>
      <w:color w:val="1E293B"/>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UBIHdr"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2026-06-24T13:43:53Z</dcterms:created>
  <dcterms:modified xsi:type="dcterms:W3CDTF">2026-06-24T13:43:53Z</dcterms:modified>
</cp:coreProperties>
</file>

<file path=docProps/custom.xml><?xml version="1.0" encoding="utf-8"?>
<Properties xmlns="http://schemas.openxmlformats.org/officeDocument/2006/custom-properties" xmlns:vt="http://schemas.openxmlformats.org/officeDocument/2006/docPropsVTypes"/>
</file>