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3 Capstone</w:t>
      </w:r>
    </w:p>
    <w:p>
      <w:pPr>
        <w:pStyle w:val="BodyText"/>
      </w:pPr>
      <w:r>
        <w:rPr>
          <w:i/>
          <w:iCs/>
        </w:rPr>
        <w:t xml:space="preserve">Editable template — Deliverable 5 of 5: The formal incident report. This is the cover report for the CISO and Legal — it folds in your triage, timeline, IOCs, and ATT&amp;CK map and tells the story a non-analyst can act and decide on. Target length 5–7 pages. Edit in Google Docs (recommended). Replace every [BRACKETED] prompt and delete every grey guidance line before you submit.</w:t>
      </w:r>
    </w:p>
    <w:p>
      <w:r>
        <w:pict>
          <v:rect style="width:0;height:1.5pt" o:hralign="center" o:hrstd="t" o:hr="t"/>
        </w:pict>
      </w:r>
    </w:p>
    <w:bookmarkStart w:id="14" w:name="deliverable-5-the-formal-incident-report"/>
    <w:p>
      <w:pPr>
        <w:pStyle w:val="Heading1"/>
      </w:pPr>
      <w:r>
        <w:t xml:space="preserve">Deliverable 5 — The formal incident report</w:t>
      </w:r>
    </w:p>
    <w:bookmarkStart w:id="9" w:name="before-you-start"/>
    <w:p>
      <w:pPr>
        <w:pStyle w:val="Heading3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t xml:space="preserve">Audience:</w:t>
      </w:r>
      <w:r>
        <w:t xml:space="preserve"> </w:t>
      </w:r>
      <w:r>
        <w:rPr>
          <w:b/>
          <w:bCs/>
        </w:rPr>
        <w:t xml:space="preserve">CISO + Legal.</w:t>
      </w:r>
      <w:r>
        <w:t xml:space="preserve"> </w:t>
      </w:r>
      <w:r>
        <w:t xml:space="preserve">They need the facts, the impact, and the decisions — not raw log lines. Keep the analyst detail in D1–D4 and reference it.</w:t>
      </w:r>
    </w:p>
    <w:p>
      <w:pPr>
        <w:pStyle w:val="Compact"/>
        <w:numPr>
          <w:ilvl w:val="0"/>
          <w:numId w:val="1001"/>
        </w:numPr>
      </w:pPr>
      <w:r>
        <w:t xml:space="preserve">It must be</w:t>
      </w:r>
      <w:r>
        <w:t xml:space="preserve"> </w:t>
      </w:r>
      <w:r>
        <w:rPr>
          <w:b/>
          <w:bCs/>
        </w:rPr>
        <w:t xml:space="preserve">internally consistent</w:t>
      </w:r>
      <w:r>
        <w:t xml:space="preserve"> </w:t>
      </w:r>
      <w:r>
        <w:t xml:space="preserve">with your other four deliverables: the timeline, the IOCs, and the root cause should match what you submitted there.</w:t>
      </w:r>
    </w:p>
    <w:p>
      <w:pPr>
        <w:pStyle w:val="Compact"/>
        <w:numPr>
          <w:ilvl w:val="0"/>
          <w:numId w:val="1001"/>
        </w:numPr>
      </w:pPr>
      <w:r>
        <w:t xml:space="preserve">Root cause is a</w:t>
      </w:r>
      <w:r>
        <w:t xml:space="preserve"> </w:t>
      </w:r>
      <w:r>
        <w:rPr>
          <w:b/>
          <w:bCs/>
        </w:rPr>
        <w:t xml:space="preserve">cause, not a symptom.</w:t>
      </w:r>
      <w:r>
        <w:t xml:space="preserve"> </w:t>
      </w:r>
      <w:r>
        <w:t xml:space="preserve">“Malware ran”</w:t>
      </w:r>
      <w:r>
        <w:t xml:space="preserve"> </w:t>
      </w:r>
      <w:r>
        <w:t xml:space="preserve">is a symptom; the cause is how the attacker got a foothold and how that became persistent root.</w:t>
      </w:r>
    </w:p>
    <w:p>
      <w:pPr>
        <w:pStyle w:val="Compact"/>
        <w:numPr>
          <w:ilvl w:val="0"/>
          <w:numId w:val="1001"/>
        </w:numPr>
      </w:pPr>
      <w:r>
        <w:t xml:space="preserve">Be exact about</w:t>
      </w:r>
      <w:r>
        <w:t xml:space="preserve"> </w:t>
      </w:r>
      <w:r>
        <w:rPr>
          <w:b/>
          <w:bCs/>
        </w:rPr>
        <w:t xml:space="preserve">what was accessed</w:t>
      </w:r>
      <w:r>
        <w:t xml:space="preserve"> </w:t>
      </w:r>
      <w:r>
        <w:t xml:space="preserve">— name the data that left the host. Legal acts on this.</w:t>
      </w:r>
    </w:p>
    <w:p>
      <w:pPr>
        <w:pStyle w:val="BlockText"/>
      </w:pPr>
      <w:r>
        <w:t xml:space="preserve">This is a scaffold, not an answer key. The analysis is yours; this gives you the section order graders expect.</w:t>
      </w:r>
    </w:p>
    <w:p>
      <w:r>
        <w:pict>
          <v:rect style="width:0;height:1.5pt" o:hralign="center" o:hrstd="t" o:hr="t"/>
        </w:pict>
      </w:r>
    </w:p>
    <w:bookmarkEnd w:id="9"/>
    <w:bookmarkStart w:id="10" w:name="what-you-submit"/>
    <w:p>
      <w:pPr>
        <w:pStyle w:val="Heading2"/>
      </w:pPr>
      <w:r>
        <w:t xml:space="preserve">What you submit</w:t>
      </w:r>
    </w:p>
    <w:p>
      <w:pPr>
        <w:pStyle w:val="FirstParagraph"/>
      </w:pPr>
      <w:r>
        <w:t xml:space="preserve">A 5–7 page document (</w:t>
      </w:r>
      <w:r>
        <w:rPr>
          <w:rStyle w:val="VerbatimChar"/>
        </w:rPr>
        <w:t xml:space="preserve">incident-report</w:t>
      </w:r>
      <w:r>
        <w:t xml:space="preserve">) with the sections below, in this order.</w:t>
      </w:r>
    </w:p>
    <w:p>
      <w:pPr>
        <w:pStyle w:val="BodyText"/>
      </w:pPr>
      <w:r>
        <w:rPr>
          <w:b/>
          <w:bCs/>
        </w:rPr>
        <w:t xml:space="preserve">First line of your document:</w:t>
      </w:r>
    </w:p>
    <w:p>
      <w:pPr>
        <w:pStyle w:val="BodyText"/>
      </w:pPr>
      <w:r>
        <w:rPr>
          <w:rStyle w:val="VerbatimChar"/>
        </w:rPr>
        <w:t xml:space="preserve">Stage 3 · Incident report · [Your Full Name] · [UBI-2026-####]</w:t>
      </w:r>
    </w:p>
    <w:bookmarkEnd w:id="10"/>
    <w:bookmarkStart w:id="13" w:name="section-order-use-these-headings"/>
    <w:p>
      <w:pPr>
        <w:pStyle w:val="Heading2"/>
      </w:pPr>
      <w:r>
        <w:t xml:space="preserve">Section order (use these headings)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— [6–10 lines a CISO/Legal reader understands with no jargon: what happened, on which host, what data was at risk, and the one decision or action that matters most.]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[the host(s), the user account, the time window, and what was in and out of scope for this investigation.]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 (summary)</w:t>
      </w:r>
      <w:r>
        <w:t xml:space="preserve"> </w:t>
      </w:r>
      <w:r>
        <w:t xml:space="preserve">— [the condensed version of D2 — the key events in order. Reference the full timeline deliverable; do not paste all rows.]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Root cause</w:t>
      </w:r>
      <w:r>
        <w:t xml:space="preserve"> </w:t>
      </w:r>
      <w:r>
        <w:t xml:space="preserve">— [how the attacker got in and how that became persistent root access. Cause, not symptom. Tie it to the evidence.]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was accessed / impact</w:t>
      </w:r>
      <w:r>
        <w:t xml:space="preserve"> </w:t>
      </w:r>
      <w:r>
        <w:t xml:space="preserve">— [name the data that was bundled and exfiltrated, and the business impact. Be specific about the files and what they contained.]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Containment</w:t>
      </w:r>
      <w:r>
        <w:t xml:space="preserve"> </w:t>
      </w:r>
      <w:r>
        <w:t xml:space="preserve">— [what was done to stop it — e.g. host isolation — with the timestamp, and what should happen next.]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Eradication</w:t>
      </w:r>
      <w:r>
        <w:t xml:space="preserve"> </w:t>
      </w:r>
      <w:r>
        <w:t xml:space="preserve">— [removing the foothold: the persistence mechanism(s), the attacker’s access path, and any credentials/keys that must be rotated.]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Lessons learned</w:t>
      </w:r>
      <w:r>
        <w:t xml:space="preserve"> </w:t>
      </w:r>
      <w:r>
        <w:t xml:space="preserve">— [what the incident exposed about detection and response gaps — specific, not platitudes.]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changes proposed</w:t>
      </w:r>
      <w:r>
        <w:t xml:space="preserve"> </w:t>
      </w:r>
      <w:r>
        <w:t xml:space="preserve">— [concrete changes — access control, logging/alerting, key hygiene — each tied to something this incident proved.]</w:t>
      </w:r>
    </w:p>
    <w:p>
      <w:r>
        <w:pict>
          <v:rect style="width:0;height:1.5pt" o:hralign="center" o:hrstd="t" o:hr="t"/>
        </w:pict>
      </w:r>
    </w:p>
    <w:bookmarkStart w:id="11" w:name="where-the-marks-are-won-what-we-look-for"/>
    <w:p>
      <w:pPr>
        <w:pStyle w:val="Heading3"/>
      </w:pPr>
      <w:r>
        <w:t xml:space="preserve">Where the marks are won (what we look for)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CISO/Legal-readable executive summary</w:t>
      </w:r>
      <w:r>
        <w:t xml:space="preserve"> </w:t>
      </w:r>
      <w:r>
        <w:t xml:space="preserve">— could a non-analyst act on it? No raw logs up top.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Root cause stated as a cause</w:t>
      </w:r>
      <w:r>
        <w:t xml:space="preserve"> </w:t>
      </w:r>
      <w:r>
        <w:t xml:space="preserve">— the foothold and the persistence mechanism, not</w:t>
      </w:r>
      <w:r>
        <w:t xml:space="preserve"> </w:t>
      </w:r>
      <w:r>
        <w:t xml:space="preserve">“malware was found.”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Accurate</w:t>
      </w:r>
      <w:r>
        <w:rPr>
          <w:b/>
          <w:bCs/>
        </w:rPr>
        <w:t xml:space="preserve"> </w:t>
      </w:r>
      <w:r>
        <w:rPr>
          <w:b/>
          <w:bCs/>
        </w:rPr>
        <w:t xml:space="preserve">“what was accessed”</w:t>
      </w:r>
      <w:r>
        <w:t xml:space="preserve"> </w:t>
      </w:r>
      <w:r>
        <w:t xml:space="preserve">— the exfiltrated data named precisely; Legal relies on this being right.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Containment + eradication that fit the evidence</w:t>
      </w:r>
      <w:r>
        <w:t xml:space="preserve"> </w:t>
      </w:r>
      <w:r>
        <w:t xml:space="preserve">— isolation already done, plus the specific artefacts and credentials to remove/rotate.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Consistency with D1–D4</w:t>
      </w:r>
      <w:r>
        <w:t xml:space="preserve"> </w:t>
      </w:r>
      <w:r>
        <w:t xml:space="preserve">— the timeline, IOCs, and root cause match your other deliverables. Contradictions across your own pack cost marks.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Lessons and policy that are specific</w:t>
      </w:r>
      <w:r>
        <w:t xml:space="preserve"> </w:t>
      </w:r>
      <w:r>
        <w:t xml:space="preserve">— each one traceable to something in this incident, not generic best practice.</w:t>
      </w:r>
    </w:p>
    <w:bookmarkEnd w:id="11"/>
    <w:bookmarkStart w:id="12" w:name="before-you-submit-confirm"/>
    <w:p>
      <w:pPr>
        <w:pStyle w:val="Heading3"/>
      </w:pPr>
      <w:r>
        <w:t xml:space="preserve">Before you submit, confirm</w:t>
      </w:r>
    </w:p>
    <w:p>
      <w:pPr>
        <w:pStyle w:val="Compact"/>
        <w:numPr>
          <w:ilvl w:val="0"/>
          <w:numId w:val="1004"/>
        </w:numPr>
      </w:pPr>
      <w:r>
        <w:t xml:space="preserve">First line is the</w:t>
      </w:r>
      <w:r>
        <w:t xml:space="preserve"> </w:t>
      </w:r>
      <w:r>
        <w:rPr>
          <w:rStyle w:val="VerbatimChar"/>
        </w:rPr>
        <w:t xml:space="preserve">Stage 3 · Incident report · Name · Code</w:t>
      </w:r>
      <w:r>
        <w:t xml:space="preserve"> </w:t>
      </w:r>
      <w:r>
        <w:t xml:space="preserve">identity line.</w:t>
      </w:r>
    </w:p>
    <w:p>
      <w:pPr>
        <w:pStyle w:val="Compact"/>
        <w:numPr>
          <w:ilvl w:val="0"/>
          <w:numId w:val="1005"/>
        </w:numPr>
      </w:pPr>
      <w:r>
        <w:t xml:space="preserve">All nine sections present, in order, 5–7 pages.</w:t>
      </w:r>
    </w:p>
    <w:p>
      <w:pPr>
        <w:pStyle w:val="Compact"/>
        <w:numPr>
          <w:ilvl w:val="0"/>
          <w:numId w:val="1006"/>
        </w:numPr>
      </w:pPr>
      <w:r>
        <w:t xml:space="preserve">Executive summary is jargon-free and decision-focused.</w:t>
      </w:r>
    </w:p>
    <w:p>
      <w:pPr>
        <w:pStyle w:val="Compact"/>
        <w:numPr>
          <w:ilvl w:val="0"/>
          <w:numId w:val="1007"/>
        </w:numPr>
      </w:pPr>
      <w:r>
        <w:t xml:space="preserve">Root cause is a cause;</w:t>
      </w:r>
      <w:r>
        <w:t xml:space="preserve"> </w:t>
      </w:r>
      <w:r>
        <w:t xml:space="preserve">“what was accessed”</w:t>
      </w:r>
      <w:r>
        <w:t xml:space="preserve"> </w:t>
      </w:r>
      <w:r>
        <w:t xml:space="preserve">names the actual data.</w:t>
      </w:r>
    </w:p>
    <w:p>
      <w:pPr>
        <w:pStyle w:val="Compact"/>
        <w:numPr>
          <w:ilvl w:val="0"/>
          <w:numId w:val="1008"/>
        </w:numPr>
      </w:pPr>
      <w:r>
        <w:t xml:space="preserve">Timeline / IOCs / root cause are consistent with D2–D4.</w:t>
      </w:r>
    </w:p>
    <w:p>
      <w:pPr>
        <w:pStyle w:val="Compact"/>
        <w:numPr>
          <w:ilvl w:val="0"/>
          <w:numId w:val="1009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prompts or grey guidance lines remain.</w:t>
      </w:r>
    </w:p>
    <w:bookmarkEnd w:id="12"/>
    <w:bookmarkEnd w:id="13"/>
    <w:bookmarkEnd w:id="14"/>
    <w:sectPr>
      <w:headerReference r:id="rIdUBIHdr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CBD5E1"/>
      </w:pBdr>
      <w:spacing w:after="0"/>
      <w:tabs>
        <w:tab w:val="right" w:pos="9360"/>
      </w:tabs>
    </w:pPr>
    <w:r>
      <w:rPr>
        <w:rFonts w:ascii="Calibri" w:hAnsi="Calibri"/>
        <w:b/>
        <w:color w:val="1E40AF"/>
        <w:sz w:val="18"/>
      </w:rPr>
      <w:t xml:space="preserve">UBUNTU BRIDGE INITIATIVE</w:t>
    </w:r>
    <w:r>
      <w:rPr>
        <w:rFonts w:ascii="Calibri" w:hAnsi="Calibri"/>
        <w:color w:val="64748B"/>
        <w:sz w:val="18"/>
      </w:rPr>
      <w:tab/>
      <w:t xml:space="preserve">Cybersecurity Internship  ·  Cohort 1  ·  Stage 2 Capstone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111827"/>
      <w:sz w:val="22"/>
      <w:szCs w:val="22"/>
    </w:rPr>
    <w:pPr>
      <w:spacing w:after="140" w:line="276" w:lineRule="auto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rFonts w:ascii="Calibri" w:hAnsi="Calibri"/>
      <w:color w:val="1E40AF"/>
      <w:sz w:val="46"/>
      <w:szCs w:val="46"/>
      <w:spacing w:val="-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  <w:rFonts w:ascii="Calibri" w:hAnsi="Calibri"/>
      <w:color w:val="1E40AF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  <w:rFonts w:ascii="Calibri" w:hAnsi="Calibri"/>
      <w:color w:val="1E40AF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  <w:rFonts w:ascii="Calibri" w:hAnsi="Calibri"/>
      <w:color w:val="0F172A"/>
      <w:b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3B82F6" w:space="10" w:sz="22" w:val="single"/>
      </w:pBdr>
      <w:shd w:color="auto" w:fill="EFF4FF" w:val="clear"/>
    </w:pPr>
    <w:rPr>
      <w:color w:val="1E293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UBIHdr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2026-06-23T08:11:17Z</dcterms:created>
  <dcterms:modified xsi:type="dcterms:W3CDTF">2026-06-23T08:11:17Z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