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Ubuntu Bridge Initiative · Cybersecurity Internship · Cohort 1 · Stage 2 Capstone</w:t>
      </w:r>
    </w:p>
    <w:p>
      <w:pPr>
        <w:pStyle w:val="BodyText"/>
      </w:pPr>
      <w:r>
        <w:rPr>
          <w:i/>
          <w:iCs/>
        </w:rPr>
        <w:t xml:space="preserve">Editable template — Deliverable 1 of 4. This is the foundation the other three deliverables build on. You catalogue every weakness you can substantiate from the evidence pack, and you handle the one decoy. Edit in Google Docs or Microsoft Word. Replace every [BRACKETED] prompt with your own work. Delete every prompt and every grey guidance line before you submit. The template gives you the shape of a top-band answer — it cannot read the evidence for you.</w:t>
      </w:r>
    </w:p>
    <w:p>
      <w:r>
        <w:pict>
          <v:rect style="width:0;height:1.5pt" o:hralign="center" o:hrstd="t" o:hr="t"/>
        </w:pict>
      </w:r>
    </w:p>
    <w:bookmarkStart w:id="10" w:name="Xe4d6d873665bf473ce5db7d315eaef3687657b7"/>
    <w:p>
      <w:pPr>
        <w:pStyle w:val="Heading1"/>
      </w:pPr>
      <w:r>
        <w:t xml:space="preserve">Deliverable 1 — Findings catalogue (and the decoy you disprove)</w:t>
      </w:r>
    </w:p>
    <w:p>
      <w:pPr>
        <w:pStyle w:val="BlockText"/>
      </w:pPr>
      <w:r>
        <w:rPr>
          <w:b/>
          <w:bCs/>
        </w:rPr>
        <w:t xml:space="preserve">Before you start, check yourself:</w:t>
      </w:r>
    </w:p>
    <w:p>
      <w:pPr>
        <w:pStyle w:val="Compact"/>
        <w:numPr>
          <w:ilvl w:val="0"/>
          <w:numId w:val="1001"/>
        </w:numPr>
      </w:pPr>
      <w:r>
        <w:t xml:space="preserve">Have you actually opened all five evidence files — the recovered</w:t>
      </w:r>
      <w:r>
        <w:t xml:space="preserve"> </w:t>
      </w:r>
      <w:r>
        <w:rPr>
          <w:rStyle w:val="VerbatimChar"/>
        </w:rPr>
        <w:t xml:space="preserve">01-legacy-admin-login.php</w:t>
      </w:r>
      <w:r>
        <w:t xml:space="preserve">, the captured</w:t>
      </w:r>
      <w:r>
        <w:t xml:space="preserve"> </w:t>
      </w:r>
      <w:r>
        <w:rPr>
          <w:rStyle w:val="VerbatimChar"/>
        </w:rPr>
        <w:t xml:space="preserve">02-attacker-http-capture.txt</w:t>
      </w:r>
      <w:r>
        <w:t xml:space="preserve">, the three tokens in</w:t>
      </w:r>
      <w:r>
        <w:t xml:space="preserve"> </w:t>
      </w:r>
      <w:r>
        <w:rPr>
          <w:rStyle w:val="VerbatimChar"/>
        </w:rPr>
        <w:t xml:space="preserve">03-legacy-admin-tokens.txt</w:t>
      </w:r>
      <w:r>
        <w:t xml:space="preserve">, the</w:t>
      </w:r>
      <w:r>
        <w:t xml:space="preserve"> </w:t>
      </w:r>
      <w:r>
        <w:rPr>
          <w:rStyle w:val="VerbatimChar"/>
        </w:rPr>
        <w:t xml:space="preserve">04-import-xxe.xml</w:t>
      </w:r>
      <w:r>
        <w:t xml:space="preserve"> </w:t>
      </w:r>
      <w:r>
        <w:t xml:space="preserve">body, and the</w:t>
      </w:r>
      <w:r>
        <w:t xml:space="preserve"> </w:t>
      </w:r>
      <w:r>
        <w:rPr>
          <w:rStyle w:val="VerbatimChar"/>
        </w:rPr>
        <w:t xml:space="preserve">05-exfil-sample.csv</w:t>
      </w:r>
      <w:r>
        <w:t xml:space="preserve">?</w:t>
      </w:r>
    </w:p>
    <w:p>
      <w:pPr>
        <w:pStyle w:val="Compact"/>
        <w:numPr>
          <w:ilvl w:val="0"/>
          <w:numId w:val="1001"/>
        </w:numPr>
      </w:pPr>
      <w:r>
        <w:t xml:space="preserve">The brief warns you: the developer’s comments in the source are not your friend. Some flag a real bug honestly; some flag nothing while the bug sits two lines down. Have you decided to trust the code, not the margin?</w:t>
      </w:r>
    </w:p>
    <w:p>
      <w:pPr>
        <w:pStyle w:val="Compact"/>
        <w:numPr>
          <w:ilvl w:val="0"/>
          <w:numId w:val="1001"/>
        </w:numPr>
      </w:pPr>
      <w:r>
        <w:t xml:space="preserve">Nobody tells you how many findings there are — that is the work. Can you back EVERY finding with an exact line or request, not a hunch?</w:t>
      </w:r>
    </w:p>
    <w:p>
      <w:pPr>
        <w:pStyle w:val="Compact"/>
        <w:numPr>
          <w:ilvl w:val="0"/>
          <w:numId w:val="1001"/>
        </w:numPr>
      </w:pPr>
      <w:r>
        <w:t xml:space="preserve">Have you identified the one construct that looks hand-rolled and dangerous, and decided whether it is actually exploitable? A clean disproof scores as hard as a finding.</w:t>
      </w:r>
    </w:p>
    <w:p>
      <w:pPr>
        <w:pStyle w:val="Compact"/>
        <w:numPr>
          <w:ilvl w:val="0"/>
          <w:numId w:val="1001"/>
        </w:numPr>
      </w:pPr>
      <w:r>
        <w:t xml:space="preserve">If any answer is no, finish that first.</w:t>
      </w:r>
    </w:p>
    <w:p>
      <w:r>
        <w:pict>
          <v:rect style="width:0;height:1.5pt" o:hralign="center" o:hrstd="t" o:hr="t"/>
        </w:pict>
      </w:r>
    </w:p>
    <w:bookmarkStart w:id="9" w:name="page-1-header-and-method"/>
    <w:p>
      <w:pPr>
        <w:pStyle w:val="Heading2"/>
      </w:pPr>
      <w:r>
        <w:t xml:space="preserve">Page 1 — Header and method</w:t>
      </w:r>
    </w:p>
    <w:p>
      <w:pPr>
        <w:pStyle w:val="FirstParagraph"/>
      </w:pPr>
      <w:r>
        <w:rPr>
          <w:rStyle w:val="VerbatimChar"/>
        </w:rPr>
        <w:t xml:space="preserve">Stage 2 · D1 · [Your Full Name] · [UBI-2026-####]</w:t>
      </w:r>
      <w:r>
        <w:t xml:space="preserve"> </w:t>
      </w:r>
      <w:r>
        <w:rPr>
          <w:i/>
          <w:iCs/>
        </w:rPr>
        <w:t xml:space="preserve">(This must be the literal first line inside the file.)</w:t>
      </w:r>
    </w:p>
    <w:bookmarkEnd w:id="9"/>
    <w:bookmarkEnd w:id="10"/>
    <w:bookmarkStart w:id="17" w:name="stage-2-capstone-deliverable-1"/>
    <w:p>
      <w:pPr>
        <w:pStyle w:val="Heading1"/>
      </w:pPr>
      <w:r>
        <w:t xml:space="preserve">Stage 2 Capstone · Deliverable 1</w:t>
      </w:r>
    </w:p>
    <w:bookmarkStart w:id="12" w:name="findings-catalogue-sankofa-legacy-admin"/>
    <w:p>
      <w:pPr>
        <w:pStyle w:val="Heading2"/>
      </w:pPr>
      <w:r>
        <w:t xml:space="preserve">Findings catalogue — Sankofa legacy-admin</w:t>
      </w:r>
    </w:p>
    <w:p>
      <w:pPr>
        <w:pStyle w:val="FirstParagraph"/>
      </w:pPr>
      <w:r>
        <w:rPr>
          <w:b/>
          <w:bCs/>
        </w:rPr>
        <w:t xml:space="preserve">Author:</w:t>
      </w:r>
      <w:r>
        <w:t xml:space="preserve"> </w:t>
      </w:r>
      <w:r>
        <w:t xml:space="preserve">[Your full name as it appears on the UBI platform]</w:t>
      </w:r>
      <w:r>
        <w:t xml:space="preserve"> </w:t>
      </w:r>
      <w:r>
        <w:rPr>
          <w:b/>
          <w:bCs/>
        </w:rPr>
        <w:t xml:space="preserve">Intern code:</w:t>
      </w:r>
      <w:r>
        <w:t xml:space="preserve"> </w:t>
      </w:r>
      <w:r>
        <w:t xml:space="preserve">[UBI-2026-####]</w:t>
      </w:r>
      <w:r>
        <w:t xml:space="preserve"> </w:t>
      </w:r>
      <w:r>
        <w:rPr>
          <w:b/>
          <w:bCs/>
        </w:rPr>
        <w:t xml:space="preserve">Date:</w:t>
      </w:r>
      <w:r>
        <w:t xml:space="preserve"> </w:t>
      </w:r>
      <w:r>
        <w:t xml:space="preserve">[DD Month 2026]</w:t>
      </w:r>
      <w:r>
        <w:t xml:space="preserve"> </w:t>
      </w:r>
      <w:r>
        <w:rPr>
          <w:b/>
          <w:bCs/>
        </w:rPr>
        <w:t xml:space="preserve">Engagement:</w:t>
      </w:r>
      <w:r>
        <w:t xml:space="preserve"> </w:t>
      </w:r>
      <w:r>
        <w:t xml:space="preserve">Sankofa Digital · paper-based review of</w:t>
      </w:r>
      <w:r>
        <w:t xml:space="preserve"> </w:t>
      </w:r>
      <w:r>
        <w:rPr>
          <w:rStyle w:val="VerbatimChar"/>
        </w:rPr>
        <w:t xml:space="preserve">/legacy-admin/</w:t>
      </w:r>
      <w:r>
        <w:t xml:space="preserve"> </w:t>
      </w:r>
      <w:r>
        <w:t xml:space="preserve">· evidence pack only, no live scanning</w:t>
      </w:r>
    </w:p>
    <w:bookmarkStart w:id="11" w:name="method"/>
    <w:p>
      <w:pPr>
        <w:pStyle w:val="Heading3"/>
      </w:pPr>
      <w:r>
        <w:t xml:space="preserve">Method</w:t>
      </w:r>
    </w:p>
    <w:p>
      <w:pPr>
        <w:pStyle w:val="FirstParagraph"/>
      </w:pPr>
      <w:r>
        <w:t xml:space="preserve">[~120 words, your own. State: (1) which artefacts you read and what each one told you — the source for code-level flaws, the capture for what the attacker actually did, the tokens for the auth scheme, the XML for the import path, the CSV for impact; (2) your rule for calling something a</w:t>
      </w:r>
      <w:r>
        <w:t xml:space="preserve"> </w:t>
      </w:r>
      <w:r>
        <w:t xml:space="preserve">“finding”</w:t>
      </w:r>
      <w:r>
        <w:t xml:space="preserve"> </w:t>
      </w:r>
      <w:r>
        <w:t xml:space="preserve">versus noise — i.e. it must be provable from a specific line or request; (3) how you treated the developer comments in the source (the brief tells you to trust the code, not the margin — say how you applied that). A generic</w:t>
      </w:r>
      <w:r>
        <w:t xml:space="preserve"> </w:t>
      </w:r>
      <w:r>
        <w:t xml:space="preserve">“I reviewed the code and listed issues”</w:t>
      </w:r>
      <w:r>
        <w:t xml:space="preserve"> </w:t>
      </w:r>
      <w:r>
        <w:t xml:space="preserve">method scores nothing.]</w:t>
      </w:r>
    </w:p>
    <w:p>
      <w:r>
        <w:pict>
          <v:rect style="width:0;height:1.5pt" o:hralign="center" o:hrstd="t" o:hr="t"/>
        </w:pict>
      </w:r>
    </w:p>
    <w:bookmarkEnd w:id="11"/>
    <w:bookmarkEnd w:id="12"/>
    <w:bookmarkStart w:id="14" w:name="pages-24-the-catalogue"/>
    <w:p>
      <w:pPr>
        <w:pStyle w:val="Heading2"/>
      </w:pPr>
      <w:r>
        <w:t xml:space="preserve">Pages 2–4 — The catalogue</w:t>
      </w:r>
    </w:p>
    <w:p>
      <w:pPr>
        <w:pStyle w:val="FirstParagraph"/>
      </w:pPr>
      <w:r>
        <w:t xml:space="preserve">One row per</w:t>
      </w:r>
      <w:r>
        <w:t xml:space="preserve"> </w:t>
      </w:r>
      <w:r>
        <w:rPr>
          <w:b/>
          <w:bCs/>
        </w:rPr>
        <w:t xml:space="preserve">distinct</w:t>
      </w:r>
      <w:r>
        <w:t xml:space="preserve"> </w:t>
      </w:r>
      <w:r>
        <w:t xml:space="preserve">weakness you can substantiate. Do not pad it and do not merge two different classes into one row. For each finding: a one-line description, the class (OWASP 2021 category</w:t>
      </w:r>
      <w:r>
        <w:t xml:space="preserve"> </w:t>
      </w:r>
      <w:r>
        <w:rPr>
          <w:b/>
          <w:bCs/>
        </w:rPr>
        <w:t xml:space="preserve">and</w:t>
      </w:r>
      <w:r>
        <w:t xml:space="preserve"> </w:t>
      </w:r>
      <w:r>
        <w:t xml:space="preserve">CWE id), the</w:t>
      </w:r>
      <w:r>
        <w:t xml:space="preserve"> </w:t>
      </w:r>
      <w:r>
        <w:rPr>
          <w:b/>
          <w:bCs/>
        </w:rPr>
        <w:t xml:space="preserve">exact</w:t>
      </w:r>
      <w:r>
        <w:t xml:space="preserve"> </w:t>
      </w:r>
      <w:r>
        <w:t xml:space="preserve">evidence (file and line, or capture timestamp — quote it verbatim), and your confidence.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Finding (one line)</w:t>
            </w:r>
          </w:p>
        </w:tc>
        <w:tc>
          <w:tcPr/>
          <w:p>
            <w:pPr>
              <w:pStyle w:val="Compact"/>
            </w:pPr>
            <w:r>
              <w:t xml:space="preserve">Class — OWASP + CWE</w:t>
            </w:r>
          </w:p>
        </w:tc>
        <w:tc>
          <w:tcPr/>
          <w:p>
            <w:pPr>
              <w:pStyle w:val="Compact"/>
            </w:pPr>
            <w:r>
              <w:t xml:space="preserve">Exact evidence (quote it)</w:t>
            </w:r>
          </w:p>
        </w:tc>
        <w:tc>
          <w:tcPr/>
          <w:p>
            <w:pPr>
              <w:pStyle w:val="Compact"/>
            </w:pPr>
            <w:r>
              <w:t xml:space="preserve">Confidence</w:t>
            </w:r>
          </w:p>
        </w:tc>
      </w:tr>
      <w:tr>
        <w:tc>
          <w:tcPr/>
          <w:p>
            <w:pPr>
              <w:pStyle w:val="Compact"/>
            </w:pPr>
            <w:r>
              <w:t xml:space="preserve">1</w:t>
            </w:r>
          </w:p>
        </w:tc>
        <w:tc>
          <w:tcPr/>
          <w:p>
            <w:pPr>
              <w:pStyle w:val="Compact"/>
            </w:pPr>
            <w:r>
              <w:t xml:space="preserve">[e.g. how the login query is built]</w:t>
            </w:r>
          </w:p>
        </w:tc>
        <w:tc>
          <w:tcPr/>
          <w:p>
            <w:pPr>
              <w:pStyle w:val="Compact"/>
            </w:pPr>
            <w:r>
              <w:t xml:space="preserve">[OWASP A0?:2021 — … · CWE-###]</w:t>
            </w:r>
          </w:p>
        </w:tc>
        <w:tc>
          <w:tcPr/>
          <w:p>
            <w:pPr>
              <w:pStyle w:val="Compact"/>
            </w:pPr>
            <w:r>
              <w:t xml:space="preserve">[</w:t>
            </w:r>
            <w:r>
              <w:rPr>
                <w:rStyle w:val="VerbatimChar"/>
              </w:rPr>
              <w:t xml:space="preserve">01-legacy-admin-login.php</w:t>
            </w:r>
            <w:r>
              <w:t xml:space="preserve"> </w:t>
            </w:r>
            <w:r>
              <w:t xml:space="preserve">lines ##–## — paste the exact line]</w:t>
            </w:r>
          </w:p>
        </w:tc>
        <w:tc>
          <w:tcPr/>
          <w:p>
            <w:pPr>
              <w:pStyle w:val="Compact"/>
            </w:pPr>
            <w:r>
              <w:t xml:space="preserve">[High / Med / Low]</w:t>
            </w:r>
          </w:p>
        </w:tc>
      </w:tr>
      <w:tr>
        <w:tc>
          <w:tcPr/>
          <w:p>
            <w:pPr>
              <w:pStyle w:val="Compact"/>
            </w:pPr>
            <w:r>
              <w:t xml:space="preserve">2</w:t>
            </w:r>
          </w:p>
        </w:tc>
        <w:tc>
          <w:tcPr/>
          <w:p>
            <w:pPr>
              <w:pStyle w:val="Compact"/>
            </w:pPr>
            <w:r>
              <w:t xml:space="preserve">[the auth-token weakness you can prove]</w:t>
            </w:r>
          </w:p>
        </w:tc>
        <w:tc>
          <w:tcPr/>
          <w:p>
            <w:pPr>
              <w:pStyle w:val="Compact"/>
            </w:pPr>
            <w:r>
              <w:t xml:space="preserve">[… · CWE-###]</w:t>
            </w:r>
          </w:p>
        </w:tc>
        <w:tc>
          <w:tcPr/>
          <w:p>
            <w:pPr>
              <w:pStyle w:val="Compact"/>
            </w:pPr>
            <w:r>
              <w:t xml:space="preserve">[</w:t>
            </w:r>
            <w:r>
              <w:rPr>
                <w:rStyle w:val="VerbatimChar"/>
              </w:rPr>
              <w:t xml:space="preserve">03-legacy-admin-tokens.txt</w:t>
            </w:r>
            <w:r>
              <w:t xml:space="preserve"> </w:t>
            </w:r>
            <w:r>
              <w:t xml:space="preserve">Token # — quote the decoded header/payload]</w:t>
            </w:r>
          </w:p>
        </w:tc>
        <w:tc>
          <w:tcPr/>
          <w:p>
            <w:pPr>
              <w:pStyle w:val="Compact"/>
            </w:pPr>
            <w:r>
              <w:t xml:space="preserve">[ ]</w:t>
            </w:r>
          </w:p>
        </w:tc>
      </w:tr>
      <w:tr>
        <w:tc>
          <w:tcPr/>
          <w:p>
            <w:pPr>
              <w:pStyle w:val="Compact"/>
            </w:pPr>
            <w:r>
              <w:t xml:space="preserve">3</w:t>
            </w:r>
          </w:p>
        </w:tc>
        <w:tc>
          <w:tcPr/>
          <w:p>
            <w:pPr>
              <w:pStyle w:val="Compact"/>
            </w:pPr>
            <w:r>
              <w:t xml:space="preserve">[the import/parser weakness]</w:t>
            </w:r>
          </w:p>
        </w:tc>
        <w:tc>
          <w:tcPr/>
          <w:p>
            <w:pPr>
              <w:pStyle w:val="Compact"/>
            </w:pPr>
            <w:r>
              <w:t xml:space="preserve">[… · CWE-###]</w:t>
            </w:r>
          </w:p>
        </w:tc>
        <w:tc>
          <w:tcPr/>
          <w:p>
            <w:pPr>
              <w:pStyle w:val="Compact"/>
            </w:pPr>
            <w:r>
              <w:t xml:space="preserve">[</w:t>
            </w:r>
            <w:r>
              <w:rPr>
                <w:rStyle w:val="VerbatimChar"/>
              </w:rPr>
              <w:t xml:space="preserve">04-import-xxe.xml</w:t>
            </w:r>
            <w:r>
              <w:t xml:space="preserve"> </w:t>
            </w:r>
            <w:r>
              <w:t xml:space="preserve">lines ##–## — quote the dangerous declaration]</w:t>
            </w:r>
          </w:p>
        </w:tc>
        <w:tc>
          <w:tcPr/>
          <w:p>
            <w:pPr>
              <w:pStyle w:val="Compact"/>
            </w:pPr>
            <w:r>
              <w:t xml:space="preserve">[ ]</w:t>
            </w:r>
          </w:p>
        </w:tc>
      </w:tr>
      <w:tr>
        <w:tc>
          <w:tcPr/>
          <w:p>
            <w:pPr>
              <w:pStyle w:val="Compact"/>
            </w:pPr>
            <w:r>
              <w:t xml:space="preserve">4</w:t>
            </w:r>
          </w:p>
        </w:tc>
        <w:tc>
          <w:tcPr/>
          <w:p>
            <w:pPr>
              <w:pStyle w:val="Compact"/>
            </w:pPr>
            <w:r>
              <w:t xml:space="preserve">[a weakness the capture proves the attacker used]</w:t>
            </w:r>
          </w:p>
        </w:tc>
        <w:tc>
          <w:tcPr/>
          <w:p>
            <w:pPr>
              <w:pStyle w:val="Compact"/>
            </w:pPr>
            <w:r>
              <w:t xml:space="preserve">[… · CWE-###]</w:t>
            </w:r>
          </w:p>
        </w:tc>
        <w:tc>
          <w:tcPr/>
          <w:p>
            <w:pPr>
              <w:pStyle w:val="Compact"/>
            </w:pPr>
            <w:r>
              <w:t xml:space="preserve">[</w:t>
            </w:r>
            <w:r>
              <w:rPr>
                <w:rStyle w:val="VerbatimChar"/>
              </w:rPr>
              <w:t xml:space="preserve">02-attacker-http-capture.txt</w:t>
            </w:r>
            <w:r>
              <w:t xml:space="preserve"> </w:t>
            </w:r>
            <w:r>
              <w:t xml:space="preserve">[HH:MM:SS] — quote the request]</w:t>
            </w:r>
          </w:p>
        </w:tc>
        <w:tc>
          <w:tcPr/>
          <w:p>
            <w:pPr>
              <w:pStyle w:val="Compact"/>
            </w:pPr>
            <w:r>
              <w:t xml:space="preserve">[ ]</w:t>
            </w:r>
          </w:p>
        </w:tc>
      </w:tr>
      <w:tr>
        <w:tc>
          <w:tcPr/>
          <w:p>
            <w:pPr>
              <w:pStyle w:val="Compact"/>
            </w:pPr>
            <w:r>
              <w:t xml:space="preserve">…</w:t>
            </w:r>
          </w:p>
        </w:tc>
        <w:tc>
          <w:tcPr/>
          <w:p>
            <w:pPr>
              <w:pStyle w:val="Compact"/>
            </w:pPr>
            <w:r>
              <w:t xml:space="preserve">[add a row for every weakness you can substantiate — there are more than four]</w:t>
            </w:r>
          </w:p>
        </w:tc>
        <w:tc>
          <w:tcPr/>
          <w:p>
            <w:pPr>
              <w:pStyle w:val="Compact"/>
            </w:pPr>
          </w:p>
        </w:tc>
        <w:tc>
          <w:tcPr/>
          <w:p>
            <w:pPr>
              <w:pStyle w:val="Compact"/>
            </w:pPr>
          </w:p>
        </w:tc>
        <w:tc>
          <w:tcPr/>
          <w:p>
            <w:pPr>
              <w:pStyle w:val="Compact"/>
            </w:pPr>
          </w:p>
        </w:tc>
      </w:tr>
    </w:tbl>
    <w:p>
      <w:pPr>
        <w:pStyle w:val="BodyText"/>
      </w:pPr>
      <w:r>
        <w:rPr>
          <w:i/>
          <w:iCs/>
        </w:rPr>
        <w:t xml:space="preserve">Replace every bracket with your own values. The grader checks two things on every row: that the class (OWASP</w:t>
      </w:r>
      <w:r>
        <w:rPr>
          <w:i/>
          <w:iCs/>
        </w:rPr>
        <w:t xml:space="preserve"> </w:t>
      </w:r>
      <w:r>
        <w:rPr>
          <w:b/>
          <w:bCs/>
          <w:i/>
          <w:iCs/>
        </w:rPr>
        <w:t xml:space="preserve">and</w:t>
      </w:r>
      <w:r>
        <w:rPr>
          <w:i/>
          <w:iCs/>
        </w:rPr>
        <w:t xml:space="preserve"> </w:t>
      </w:r>
      <w:r>
        <w:rPr>
          <w:i/>
          <w:iCs/>
        </w:rPr>
        <w:t xml:space="preserve">CWE) is correct, and that the evidence cell quotes a real line you could point to. A finding with no quotable evidence gets cut, not credited.</w:t>
      </w:r>
    </w:p>
    <w:bookmarkStart w:id="13" w:name="one-paragraph-per-finding"/>
    <w:p>
      <w:pPr>
        <w:pStyle w:val="Heading3"/>
      </w:pPr>
      <w:r>
        <w:t xml:space="preserve">One paragraph per finding</w:t>
      </w:r>
    </w:p>
    <w:p>
      <w:pPr>
        <w:pStyle w:val="FirstParagraph"/>
      </w:pPr>
      <w:r>
        <w:t xml:space="preserve">Under the table, write a short paragraph for each row: what the line proves, why it is the class you assigned, and how confident you are and why. Cross-reference where one finding enables another (you will reuse this in D2’s chain and D3’s report).</w:t>
      </w:r>
    </w:p>
    <w:p>
      <w:r>
        <w:pict>
          <v:rect style="width:0;height:1.5pt" o:hralign="center" o:hrstd="t" o:hr="t"/>
        </w:pict>
      </w:r>
    </w:p>
    <w:bookmarkEnd w:id="13"/>
    <w:bookmarkEnd w:id="14"/>
    <w:bookmarkStart w:id="16" w:name="page-5-the-decoy"/>
    <w:p>
      <w:pPr>
        <w:pStyle w:val="Heading2"/>
      </w:pPr>
      <w:r>
        <w:t xml:space="preserve">Page 5 — The decoy</w:t>
      </w:r>
    </w:p>
    <w:p>
      <w:pPr>
        <w:pStyle w:val="FirstParagraph"/>
      </w:pPr>
      <w:r>
        <w:t xml:space="preserve">The brief plants one construct that looks hand-rolled and dangerous and will tempt you to flag it Critical. Disproving it cleanly buys the team a sprint and scores as hard as a real finding.</w:t>
      </w:r>
    </w:p>
    <w:p>
      <w:pPr>
        <w:pStyle w:val="BodyText"/>
      </w:pPr>
      <w:r>
        <w:rPr>
          <w:b/>
          <w:bCs/>
        </w:rPr>
        <w:t xml:space="preserve">The construct I examined:</w:t>
      </w:r>
      <w:r>
        <w:t xml:space="preserve"> </w:t>
      </w:r>
      <w:r>
        <w:t xml:space="preserve">[Name it precisely — file and lines.]</w:t>
      </w:r>
    </w:p>
    <w:p>
      <w:pPr>
        <w:pStyle w:val="BodyText"/>
      </w:pPr>
      <w:r>
        <w:rPr>
          <w:b/>
          <w:bCs/>
        </w:rPr>
        <w:t xml:space="preserve">Verdict:</w:t>
      </w:r>
      <w:r>
        <w:t xml:space="preserve"> </w:t>
      </w:r>
      <w:r>
        <w:t xml:space="preserve">[Exploitable / Not exploitable]</w:t>
      </w:r>
    </w:p>
    <w:p>
      <w:pPr>
        <w:pStyle w:val="BodyText"/>
      </w:pPr>
      <w:r>
        <w:t xml:space="preserve">[Then prove your verdict.</w:t>
      </w:r>
      <w:r>
        <w:t xml:space="preserve"> </w:t>
      </w:r>
      <w:r>
        <w:t xml:space="preserve">- If you judge it</w:t>
      </w:r>
      <w:r>
        <w:t xml:space="preserve"> </w:t>
      </w:r>
      <w:r>
        <w:rPr>
          <w:b/>
          <w:bCs/>
        </w:rPr>
        <w:t xml:space="preserve">exploitable</w:t>
      </w:r>
      <w:r>
        <w:t xml:space="preserve">, show the exploit: the exact input and the observable result, and reconcile it to a line in the capture if the attacker used it.</w:t>
      </w:r>
      <w:r>
        <w:t xml:space="preserve"> </w:t>
      </w:r>
      <w:r>
        <w:t xml:space="preserve">- If you judge it</w:t>
      </w:r>
      <w:r>
        <w:t xml:space="preserve"> </w:t>
      </w:r>
      <w:r>
        <w:rPr>
          <w:b/>
          <w:bCs/>
        </w:rPr>
        <w:t xml:space="preserve">safe</w:t>
      </w:r>
      <w:r>
        <w:t xml:space="preserve">, name the</w:t>
      </w:r>
      <w:r>
        <w:t xml:space="preserve"> </w:t>
      </w:r>
      <w:r>
        <w:rPr>
          <w:b/>
          <w:bCs/>
        </w:rPr>
        <w:t xml:space="preserve">exact mechanism</w:t>
      </w:r>
      <w:r>
        <w:t xml:space="preserve"> </w:t>
      </w:r>
      <w:r>
        <w:t xml:space="preserve">that makes it safe — the specific check, encoding, or control in the code that neutralises it.</w:t>
      </w:r>
      <w:r>
        <w:t xml:space="preserve"> </w:t>
      </w:r>
      <w:r>
        <w:t xml:space="preserve">“It looks fine”</w:t>
      </w:r>
      <w:r>
        <w:t xml:space="preserve"> </w:t>
      </w:r>
      <w:r>
        <w:t xml:space="preserve">is not a disproof; point at the line that makes it fine.]</w:t>
      </w:r>
    </w:p>
    <w:p>
      <w:r>
        <w:pict>
          <v:rect style="width:0;height:1.5pt" o:hralign="center" o:hrstd="t" o:hr="t"/>
        </w:pict>
      </w:r>
    </w:p>
    <w:p>
      <w:pPr>
        <w:pStyle w:val="BlockText"/>
      </w:pPr>
      <w:r>
        <w:rPr>
          <w:b/>
          <w:bCs/>
        </w:rPr>
        <w:t xml:space="preserve">Before you submit D1, confirm:</w:t>
      </w:r>
    </w:p>
    <w:p>
      <w:pPr>
        <w:pStyle w:val="Compact"/>
        <w:numPr>
          <w:ilvl w:val="0"/>
          <w:numId w:val="1002"/>
        </w:numPr>
      </w:pPr>
      <w:r>
        <w:t xml:space="preserve">First line is the</w:t>
      </w:r>
      <w:r>
        <w:t xml:space="preserve"> </w:t>
      </w:r>
      <w:r>
        <w:rPr>
          <w:rStyle w:val="VerbatimChar"/>
        </w:rPr>
        <w:t xml:space="preserve">Stage 2 · D1 · Name · Code</w:t>
      </w:r>
      <w:r>
        <w:t xml:space="preserve"> </w:t>
      </w:r>
      <w:r>
        <w:t xml:space="preserve">identity line.</w:t>
      </w:r>
    </w:p>
    <w:p>
      <w:pPr>
        <w:pStyle w:val="Compact"/>
        <w:numPr>
          <w:ilvl w:val="0"/>
          <w:numId w:val="1003"/>
        </w:numPr>
      </w:pPr>
      <w:r>
        <w:t xml:space="preserve">Every finding row has a correct OWASP category AND a CWE id.</w:t>
      </w:r>
    </w:p>
    <w:p>
      <w:pPr>
        <w:pStyle w:val="Compact"/>
        <w:numPr>
          <w:ilvl w:val="0"/>
          <w:numId w:val="1004"/>
        </w:numPr>
      </w:pPr>
      <w:r>
        <w:t xml:space="preserve">Every evidence cell quotes a real line or request you can point to — no hunches.</w:t>
      </w:r>
    </w:p>
    <w:p>
      <w:pPr>
        <w:pStyle w:val="Compact"/>
        <w:numPr>
          <w:ilvl w:val="0"/>
          <w:numId w:val="1005"/>
        </w:numPr>
      </w:pPr>
      <w:r>
        <w:t xml:space="preserve">You catalogued every weakness you can substantiate, not just the obvious one.</w:t>
      </w:r>
    </w:p>
    <w:p>
      <w:pPr>
        <w:pStyle w:val="Compact"/>
        <w:numPr>
          <w:ilvl w:val="0"/>
          <w:numId w:val="1006"/>
        </w:numPr>
      </w:pPr>
      <w:r>
        <w:t xml:space="preserve">The decoy is named, given a verdict, and the verdict is proved either way.</w:t>
      </w:r>
    </w:p>
    <w:p>
      <w:pPr>
        <w:pStyle w:val="Compact"/>
        <w:numPr>
          <w:ilvl w:val="0"/>
          <w:numId w:val="1007"/>
        </w:numPr>
      </w:pPr>
      <w:r>
        <w:t xml:space="preserve">No</w:t>
      </w:r>
      <w:r>
        <w:t xml:space="preserve"> </w:t>
      </w:r>
      <w:r>
        <w:rPr>
          <w:rStyle w:val="VerbatimChar"/>
        </w:rPr>
        <w:t xml:space="preserve">[BRACKETED]</w:t>
      </w:r>
      <w:r>
        <w:t xml:space="preserve"> </w:t>
      </w:r>
      <w:r>
        <w:t xml:space="preserve">prompts and no grey guidance lines remain.</w:t>
      </w:r>
    </w:p>
    <w:p>
      <w:r>
        <w:pict>
          <v:rect style="width:0;height:1.5pt" o:hralign="center" o:hrstd="t" o:hr="t"/>
        </w:pict>
      </w:r>
    </w:p>
    <w:bookmarkStart w:id="15" w:name="where-the-marks-are-won"/>
    <w:p>
      <w:pPr>
        <w:pStyle w:val="Heading3"/>
      </w:pPr>
      <w:r>
        <w:t xml:space="preserve">Where the marks are won</w:t>
      </w:r>
    </w:p>
    <w:p>
      <w:pPr>
        <w:pStyle w:val="Compact"/>
        <w:numPr>
          <w:ilvl w:val="0"/>
          <w:numId w:val="1008"/>
        </w:numPr>
      </w:pPr>
      <w:r>
        <w:rPr>
          <w:b/>
          <w:bCs/>
        </w:rPr>
        <w:t xml:space="preserve">Coverage with proof.</w:t>
      </w:r>
      <w:r>
        <w:t xml:space="preserve"> </w:t>
      </w:r>
      <w:r>
        <w:t xml:space="preserve">The source, the tokens, and the XML each hide more than one issue. Finding them all — each tied to an exact line — separates the top band from</w:t>
      </w:r>
      <w:r>
        <w:t xml:space="preserve"> </w:t>
      </w:r>
      <w:r>
        <w:t xml:space="preserve">“found the SQL injection and stopped.”</w:t>
      </w:r>
    </w:p>
    <w:p>
      <w:pPr>
        <w:pStyle w:val="Compact"/>
        <w:numPr>
          <w:ilvl w:val="0"/>
          <w:numId w:val="1008"/>
        </w:numPr>
      </w:pPr>
      <w:r>
        <w:rPr>
          <w:b/>
          <w:bCs/>
        </w:rPr>
        <w:t xml:space="preserve">The right class, not just</w:t>
      </w:r>
      <w:r>
        <w:rPr>
          <w:b/>
          <w:bCs/>
        </w:rPr>
        <w:t xml:space="preserve"> </w:t>
      </w:r>
      <w:r>
        <w:rPr>
          <w:b/>
          <w:bCs/>
        </w:rPr>
        <w:t xml:space="preserve">“it’s bad.”</w:t>
      </w:r>
      <w:r>
        <w:t xml:space="preserve"> </w:t>
      </w:r>
      <w:r>
        <w:t xml:space="preserve">OWASP category</w:t>
      </w:r>
      <w:r>
        <w:t xml:space="preserve"> </w:t>
      </w:r>
      <w:r>
        <w:rPr>
          <w:b/>
          <w:bCs/>
        </w:rPr>
        <w:t xml:space="preserve">and</w:t>
      </w:r>
      <w:r>
        <w:t xml:space="preserve"> </w:t>
      </w:r>
      <w:r>
        <w:t xml:space="preserve">CWE id, correct, on every row.</w:t>
      </w:r>
    </w:p>
    <w:p>
      <w:pPr>
        <w:pStyle w:val="Compact"/>
        <w:numPr>
          <w:ilvl w:val="0"/>
          <w:numId w:val="1008"/>
        </w:numPr>
      </w:pPr>
      <w:r>
        <w:rPr>
          <w:b/>
          <w:bCs/>
        </w:rPr>
        <w:t xml:space="preserve">The decoy.</w:t>
      </w:r>
      <w:r>
        <w:t xml:space="preserve"> </w:t>
      </w:r>
      <w:r>
        <w:t xml:space="preserve">A confident, mechanism-level disproof (or a real exploit) of the tempting construct is a deliberate discriminator. Falling for it — flagging a safe construct Critical — costs you.</w:t>
      </w:r>
    </w:p>
    <w:p>
      <w:pPr>
        <w:pStyle w:val="Compact"/>
        <w:numPr>
          <w:ilvl w:val="0"/>
          <w:numId w:val="1008"/>
        </w:numPr>
      </w:pPr>
      <w:r>
        <w:rPr>
          <w:b/>
          <w:bCs/>
        </w:rPr>
        <w:t xml:space="preserve">Discipline.</w:t>
      </w:r>
      <w:r>
        <w:t xml:space="preserve"> </w:t>
      </w:r>
      <w:r>
        <w:t xml:space="preserve">Verbatim evidence, no padding, no merged rows. A catalogue a busy engineer can act on row by row.</w:t>
      </w:r>
    </w:p>
    <w:bookmarkEnd w:id="15"/>
    <w:bookmarkEnd w:id="16"/>
    <w:bookmarkEnd w:id="17"/>
    <w:sectPr>
      <w:headerReference r:id="rIdUBIHdr"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6" w:space="4" w:color="CBD5E1"/>
      </w:pBdr>
      <w:spacing w:after="0"/>
      <w:tabs>
        <w:tab w:val="right" w:pos="9360"/>
      </w:tabs>
    </w:pPr>
    <w:r>
      <w:rPr>
        <w:rFonts w:ascii="Calibri" w:hAnsi="Calibri"/>
        <w:b/>
        <w:color w:val="1E40AF"/>
        <w:sz w:val="18"/>
      </w:rPr>
      <w:t xml:space="preserve">UBUNTU BRIDGE INITIATIVE</w:t>
    </w:r>
    <w:r>
      <w:rPr>
        <w:rFonts w:ascii="Calibri" w:hAnsi="Calibri"/>
        <w:color w:val="64748B"/>
        <w:sz w:val="18"/>
      </w:rPr>
      <w:tab/>
      <w:t xml:space="preserve">Cybersecurity Internship  ·  Cohort 1  ·  Stage 2 Capstone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11827"/>
      <w:sz w:val="22"/>
      <w:szCs w:val="22"/>
    </w:rPr>
    <w:pPr>
      <w:spacing w:after="140" w:line="276" w:lineRule="auto"/>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Fonts w:ascii="Calibri" w:hAnsi="Calibri"/>
      <w:color w:val="1E40AF"/>
      <w:sz w:val="46"/>
      <w:szCs w:val="46"/>
      <w:spacing w:val="-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Fonts w:ascii="Calibri" w:hAnsi="Calibri"/>
      <w:color w:val="1E40AF"/>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Fonts w:ascii="Calibri" w:hAnsi="Calibri"/>
      <w:color w:val="1E40AF"/>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Fonts w:ascii="Calibri" w:hAnsi="Calibri"/>
      <w:color w:val="0F172A"/>
      <w:b/>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3B82F6" w:space="10" w:sz="22" w:val="single"/>
      </w:pBdr>
      <w:shd w:color="auto" w:fill="EFF4FF" w:val="clear"/>
    </w:pPr>
    <w:rPr>
      <w:color w:val="1E293B"/>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UBIHdr"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2026-06-17T09:17:30Z</dcterms:created>
  <dcterms:modified xsi:type="dcterms:W3CDTF">2026-06-17T09:17:30Z</dcterms:modified>
</cp:coreProperties>
</file>

<file path=docProps/custom.xml><?xml version="1.0" encoding="utf-8"?>
<Properties xmlns="http://schemas.openxmlformats.org/officeDocument/2006/custom-properties" xmlns:vt="http://schemas.openxmlformats.org/officeDocument/2006/docPropsVTypes"/>
</file>