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2 Capstone</w:t>
      </w:r>
    </w:p>
    <w:p>
      <w:pPr>
        <w:pStyle w:val="BodyText"/>
      </w:pPr>
      <w:r>
        <w:rPr>
          <w:i/>
          <w:iCs/>
        </w:rPr>
        <w:t xml:space="preserve">Editable template — Deliverable 3 of 4. This is the heaviest deliverable: the finished pentest report Bayo (Head of Engineering) will actually act on. Target length 6–8 pages. It folds in your D1 catalogue and D2 chain, ranks the work by risk reduction per hour of effort, and adds two detection stopgaps the team can deploy today. Edit in Google Docs (recommended) or Word. Replace every [BRACKETED] prompt and delete every grey guidance line before you submit. If a finding is not tied to a line of evidence, cut it.</w:t>
      </w:r>
    </w:p>
    <w:p>
      <w:r>
        <w:pict>
          <v:rect style="width:0;height:1.5pt" o:hralign="center" o:hrstd="t" o:hr="t"/>
        </w:pict>
      </w:r>
    </w:p>
    <w:bookmarkStart w:id="10" w:name="deliverable-3-the-report-bayo-acts-on"/>
    <w:p>
      <w:pPr>
        <w:pStyle w:val="Heading1"/>
      </w:pPr>
      <w:r>
        <w:t xml:space="preserve">Deliverable 3 — The report Bayo acts on</w:t>
      </w:r>
    </w:p>
    <w:p>
      <w:pPr>
        <w:pStyle w:val="BlockText"/>
      </w:pPr>
      <w:r>
        <w:rPr>
          <w:b/>
          <w:bCs/>
        </w:rPr>
        <w:t xml:space="preserve">Before you start, check yourself:</w:t>
      </w:r>
    </w:p>
    <w:p>
      <w:pPr>
        <w:pStyle w:val="Compact"/>
        <w:numPr>
          <w:ilvl w:val="0"/>
          <w:numId w:val="1001"/>
        </w:numPr>
      </w:pPr>
      <w:r>
        <w:t xml:space="preserve">Bayo only acts on findings he can prioritise by</w:t>
      </w:r>
      <w:r>
        <w:t xml:space="preserve"> </w:t>
      </w:r>
      <w:r>
        <w:rPr>
          <w:b/>
          <w:bCs/>
        </w:rPr>
        <w:t xml:space="preserve">business risk</w:t>
      </w:r>
      <w:r>
        <w:t xml:space="preserve">. Can you speak that language, not just severity?</w:t>
      </w:r>
    </w:p>
    <w:p>
      <w:pPr>
        <w:pStyle w:val="Compact"/>
        <w:numPr>
          <w:ilvl w:val="0"/>
          <w:numId w:val="1001"/>
        </w:numPr>
      </w:pPr>
      <w:r>
        <w:t xml:space="preserve">Is your remediation order argued by</w:t>
      </w:r>
      <w:r>
        <w:t xml:space="preserve"> </w:t>
      </w:r>
      <w:r>
        <w:rPr>
          <w:b/>
          <w:bCs/>
        </w:rPr>
        <w:t xml:space="preserve">risk reduction per hour of effort</w:t>
      </w:r>
      <w:r>
        <w:t xml:space="preserve"> </w:t>
      </w:r>
      <w:r>
        <w:t xml:space="preserve">— not by CVSS alone? (The brief is explicit: severity order is not enough.)</w:t>
      </w:r>
    </w:p>
    <w:p>
      <w:pPr>
        <w:pStyle w:val="Compact"/>
        <w:numPr>
          <w:ilvl w:val="0"/>
          <w:numId w:val="1001"/>
        </w:numPr>
      </w:pPr>
      <w:r>
        <w:t xml:space="preserve">Engineering cannot fix everything before BoltCash ships. For your two most dangerous findings, do you have a</w:t>
      </w:r>
      <w:r>
        <w:t xml:space="preserve"> </w:t>
      </w:r>
      <w:r>
        <w:rPr>
          <w:b/>
          <w:bCs/>
        </w:rPr>
        <w:t xml:space="preserve">deployable detection</w:t>
      </w:r>
      <w:r>
        <w:t xml:space="preserve"> </w:t>
      </w:r>
      <w:r>
        <w:t xml:space="preserve">— a concrete SIEM/log query or WAF rule that names the exact field or pattern — and an expected false-positive rate?</w:t>
      </w:r>
    </w:p>
    <w:p>
      <w:pPr>
        <w:pStyle w:val="Compact"/>
        <w:numPr>
          <w:ilvl w:val="0"/>
          <w:numId w:val="1001"/>
        </w:numPr>
      </w:pPr>
      <w:r>
        <w:t xml:space="preserve">Have you stated the</w:t>
      </w:r>
      <w:r>
        <w:t xml:space="preserve"> </w:t>
      </w:r>
      <w:r>
        <w:rPr>
          <w:b/>
          <w:bCs/>
        </w:rPr>
        <w:t xml:space="preserve">decoy you disproved</w:t>
      </w:r>
      <w:r>
        <w:t xml:space="preserve">? Saying it out loud buys the team’s trust.</w:t>
      </w:r>
    </w:p>
    <w:p>
      <w:pPr>
        <w:pStyle w:val="Compact"/>
        <w:numPr>
          <w:ilvl w:val="0"/>
          <w:numId w:val="1001"/>
        </w:numPr>
      </w:pPr>
      <w:r>
        <w:t xml:space="preserve">Can a CFO read your executive summary and a DevSecOps lead act on your findings — from the same document?</w:t>
      </w:r>
    </w:p>
    <w:p>
      <w:pPr>
        <w:pStyle w:val="Compact"/>
        <w:numPr>
          <w:ilvl w:val="0"/>
          <w:numId w:val="1001"/>
        </w:numPr>
      </w:pPr>
      <w:r>
        <w:t xml:space="preserve">If any answer is no, finish that first.</w:t>
      </w:r>
    </w:p>
    <w:p>
      <w:r>
        <w:pict>
          <v:rect style="width:0;height:1.5pt" o:hralign="center" o:hrstd="t" o:hr="t"/>
        </w:pict>
      </w:r>
    </w:p>
    <w:bookmarkStart w:id="9" w:name="page-1-title-and-executive-summary"/>
    <w:p>
      <w:pPr>
        <w:pStyle w:val="Heading2"/>
      </w:pPr>
      <w:r>
        <w:t xml:space="preserve">Page 1 — Title and executive summary</w:t>
      </w:r>
    </w:p>
    <w:p>
      <w:pPr>
        <w:pStyle w:val="FirstParagraph"/>
      </w:pPr>
      <w:r>
        <w:rPr>
          <w:rStyle w:val="VerbatimChar"/>
        </w:rPr>
        <w:t xml:space="preserve">Stage 2 · D3 · [Your Full Name] · [UBI-2026-####]</w:t>
      </w:r>
    </w:p>
    <w:bookmarkEnd w:id="9"/>
    <w:bookmarkEnd w:id="10"/>
    <w:bookmarkStart w:id="24" w:name="Xee0bef82688d5bba94e2538ae9c18c46e20117c"/>
    <w:p>
      <w:pPr>
        <w:pStyle w:val="Heading1"/>
      </w:pPr>
      <w:r>
        <w:t xml:space="preserve">Sankofa Digital —</w:t>
      </w:r>
      <w:r>
        <w:t xml:space="preserve"> </w:t>
      </w:r>
      <w:r>
        <w:rPr>
          <w:rStyle w:val="VerbatimChar"/>
        </w:rPr>
        <w:t xml:space="preserve">/legacy-admin/</w:t>
      </w:r>
      <w:r>
        <w:t xml:space="preserve"> </w:t>
      </w:r>
      <w:r>
        <w:t xml:space="preserve">Penetration Test Report</w:t>
      </w:r>
    </w:p>
    <w:p>
      <w:pPr>
        <w:pStyle w:val="FirstParagraph"/>
      </w:pPr>
      <w:r>
        <w:rPr>
          <w:b/>
          <w:bCs/>
        </w:rPr>
        <w:t xml:space="preserve">Prepared for:</w:t>
      </w:r>
      <w:r>
        <w:t xml:space="preserve"> </w:t>
      </w:r>
      <w:r>
        <w:t xml:space="preserve">Bayo Ogunyemi, Head of Engineering · co-signed by Amaka Eze, Head of Security</w:t>
      </w:r>
      <w:r>
        <w:t xml:space="preserve"> </w:t>
      </w:r>
      <w:r>
        <w:rPr>
          <w:b/>
          <w:bCs/>
        </w:rPr>
        <w:t xml:space="preserve">Author:</w:t>
      </w:r>
      <w:r>
        <w:t xml:space="preserve"> </w:t>
      </w:r>
      <w:r>
        <w:t xml:space="preserve">[Your full name] ·</w:t>
      </w:r>
      <w:r>
        <w:t xml:space="preserve"> </w:t>
      </w:r>
      <w:r>
        <w:rPr>
          <w:b/>
          <w:bCs/>
        </w:rPr>
        <w:t xml:space="preserve">Intern code:</w:t>
      </w:r>
      <w:r>
        <w:t xml:space="preserve"> </w:t>
      </w:r>
      <w:r>
        <w:t xml:space="preserve">[UBI-2026-####] ·</w:t>
      </w:r>
      <w:r>
        <w:t xml:space="preserve"> </w:t>
      </w:r>
      <w:r>
        <w:rPr>
          <w:b/>
          <w:bCs/>
        </w:rPr>
        <w:t xml:space="preserve">Date:</w:t>
      </w:r>
      <w:r>
        <w:t xml:space="preserve"> </w:t>
      </w:r>
      <w:r>
        <w:t xml:space="preserve">[DD Month 2026]</w:t>
      </w:r>
      <w:r>
        <w:t xml:space="preserve"> </w:t>
      </w:r>
      <w:r>
        <w:rPr>
          <w:b/>
          <w:bCs/>
        </w:rPr>
        <w:t xml:space="preserve">Scope:</w:t>
      </w:r>
      <w:r>
        <w:t xml:space="preserve"> </w:t>
      </w:r>
      <w:r>
        <w:t xml:space="preserve">Paper-based review of the recovered</w:t>
      </w:r>
      <w:r>
        <w:t xml:space="preserve"> </w:t>
      </w:r>
      <w:r>
        <w:rPr>
          <w:rStyle w:val="VerbatimChar"/>
        </w:rPr>
        <w:t xml:space="preserve">/legacy-admin/</w:t>
      </w:r>
      <w:r>
        <w:t xml:space="preserve"> </w:t>
      </w:r>
      <w:r>
        <w:t xml:space="preserve">source, the captured intrusion session, the issued tokens, the XML import, and the exfil sample. No live scanning.</w:t>
      </w:r>
    </w:p>
    <w:bookmarkStart w:id="11" w:name="executive-summary"/>
    <w:p>
      <w:pPr>
        <w:pStyle w:val="Heading3"/>
      </w:pPr>
      <w:r>
        <w:t xml:space="preserve">Executive summary</w:t>
      </w:r>
    </w:p>
    <w:p>
      <w:pPr>
        <w:pStyle w:val="FirstParagraph"/>
      </w:pPr>
      <w:r>
        <w:t xml:space="preserve">[6–10 lines a CFO understands. No jargon, no CWE numbers here. State: what the app is and why it is a liability, what an attacker can do with it, the worst outcome in customers-and-naira terms, and the single thing you would have engineering do first. End with the headline number: how many customers’ data is at risk and roughly what it is worth.]</w:t>
      </w:r>
    </w:p>
    <w:p>
      <w:r>
        <w:pict>
          <v:rect style="width:0;height:1.5pt" o:hralign="center" o:hrstd="t" o:hr="t"/>
        </w:pict>
      </w:r>
    </w:p>
    <w:bookmarkEnd w:id="11"/>
    <w:bookmarkStart w:id="15" w:name="page-2-threat-model-and-findings"/>
    <w:p>
      <w:pPr>
        <w:pStyle w:val="Heading2"/>
      </w:pPr>
      <w:r>
        <w:t xml:space="preserve">Page 2 — Threat model and findings</w:t>
      </w:r>
    </w:p>
    <w:bookmarkStart w:id="12" w:name="threat-model-short"/>
    <w:p>
      <w:pPr>
        <w:pStyle w:val="Heading3"/>
      </w:pPr>
      <w:r>
        <w:t xml:space="preserve">Threat model (short)</w:t>
      </w:r>
    </w:p>
    <w:p>
      <w:pPr>
        <w:pStyle w:val="FirstParagraph"/>
      </w:pPr>
      <w:r>
        <w:t xml:space="preserve">[Half a page. Who is the realistic attacker (the capture shows you one), what do they want (the customer PII export), and what is the attack surface — an unauthenticated, internet-reachable 2019 app that shares auth with an internal service. Keep it tight; this frames the findings.]</w:t>
      </w:r>
    </w:p>
    <w:bookmarkEnd w:id="12"/>
    <w:bookmarkStart w:id="13" w:name="substantiated-findings"/>
    <w:p>
      <w:pPr>
        <w:pStyle w:val="Heading3"/>
      </w:pPr>
      <w:r>
        <w:t xml:space="preserve">Substantiated findings</w:t>
      </w:r>
    </w:p>
    <w:p>
      <w:pPr>
        <w:pStyle w:val="FirstParagraph"/>
      </w:pPr>
      <w:r>
        <w:t xml:space="preserve">[Carry your D1 catalogue in here, tightened for an engineering audience. For each finding: name + class (OWASP + CWE), the one line of evidence that proves it, severity (CVSS vector from D2), and the business risk in one sentence. Order them by how you will recommend fixing them (see the remediation order below), not by the order you found them.]</w:t>
      </w:r>
    </w:p>
    <w:bookmarkEnd w:id="13"/>
    <w:bookmarkStart w:id="14" w:name="the-decoy-you-disproved"/>
    <w:p>
      <w:pPr>
        <w:pStyle w:val="Heading3"/>
      </w:pPr>
      <w:r>
        <w:t xml:space="preserve">The decoy you disproved</w:t>
      </w:r>
    </w:p>
    <w:p>
      <w:pPr>
        <w:pStyle w:val="FirstParagraph"/>
      </w:pPr>
      <w:r>
        <w:t xml:space="preserve">[State it plainly: the construct that looked dangerous, your verdict, and the one-line reason. Calling out what you checked and cleared tells Bayo the rest of the report is trustworthy — and stops engineering wasting a sprint on a non-issue.]</w:t>
      </w:r>
    </w:p>
    <w:p>
      <w:r>
        <w:pict>
          <v:rect style="width:0;height:1.5pt" o:hralign="center" o:hrstd="t" o:hr="t"/>
        </w:pict>
      </w:r>
    </w:p>
    <w:bookmarkEnd w:id="14"/>
    <w:bookmarkEnd w:id="15"/>
    <w:bookmarkStart w:id="18" w:name="page-34-exploit-chain-and-impact"/>
    <w:p>
      <w:pPr>
        <w:pStyle w:val="Heading2"/>
      </w:pPr>
      <w:r>
        <w:t xml:space="preserve">Page 3–4 — Exploit chain and impact</w:t>
      </w:r>
    </w:p>
    <w:bookmarkStart w:id="16" w:name="how-the-findings-chain"/>
    <w:p>
      <w:pPr>
        <w:pStyle w:val="Heading3"/>
      </w:pPr>
      <w:r>
        <w:t xml:space="preserve">How the findings chain</w:t>
      </w:r>
    </w:p>
    <w:p>
      <w:pPr>
        <w:pStyle w:val="FirstParagraph"/>
      </w:pPr>
      <w:r>
        <w:t xml:space="preserve">[Summarise the D2 chain in report form — first contact to exfiltration — so engineering sees that these are not isolated bugs but one path. Reference the capture timestamps. Make clear which single fix breaks the chain earliest.]</w:t>
      </w:r>
    </w:p>
    <w:bookmarkEnd w:id="16"/>
    <w:bookmarkStart w:id="17" w:name="cvss-and-business-impact"/>
    <w:p>
      <w:pPr>
        <w:pStyle w:val="Heading3"/>
      </w:pPr>
      <w:r>
        <w:t xml:space="preserve">CVSS and business impact</w:t>
      </w:r>
    </w:p>
    <w:p>
      <w:pPr>
        <w:pStyle w:val="FirstParagraph"/>
      </w:pPr>
      <w:r>
        <w:t xml:space="preserve">[Your findings table from D2: finding · CVSS 3.1 vector · base score · quantified impact. Then one paragraph translating the top findings into money and timeline — 312 customers’ PII and financial data, the BoltCash launch in ~6 weeks.]</w:t>
      </w:r>
    </w:p>
    <w:p>
      <w:r>
        <w:pict>
          <v:rect style="width:0;height:1.5pt" o:hralign="center" o:hrstd="t" o:hr="t"/>
        </w:pict>
      </w:r>
    </w:p>
    <w:bookmarkEnd w:id="17"/>
    <w:bookmarkEnd w:id="18"/>
    <w:bookmarkStart w:id="19" w:name="Xb265852849f28eb2a9527df437235bd73591d5f"/>
    <w:p>
      <w:pPr>
        <w:pStyle w:val="Heading2"/>
      </w:pPr>
      <w:r>
        <w:t xml:space="preserve">Page 5 — Remediation order (the part Bayo reads first)</w:t>
      </w:r>
    </w:p>
    <w:p>
      <w:pPr>
        <w:pStyle w:val="FirstParagraph"/>
      </w:pPr>
      <w:r>
        <w:t xml:space="preserve">Rank the work by</w:t>
      </w:r>
      <w:r>
        <w:t xml:space="preserve"> </w:t>
      </w:r>
      <w:r>
        <w:rPr>
          <w:b/>
          <w:bCs/>
        </w:rPr>
        <w:t xml:space="preserve">risk reduction per hour of effort</w:t>
      </w:r>
      <w:r>
        <w:t xml:space="preserve">, not severity alone. A high-severity bug that takes three weeks may rank below a medium that takes an afternoon and breaks the attacker’s chain.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Finding</w:t>
            </w:r>
          </w:p>
        </w:tc>
        <w:tc>
          <w:tcPr/>
          <w:p>
            <w:pPr>
              <w:pStyle w:val="Compact"/>
            </w:pPr>
            <w:r>
              <w:t xml:space="preserve">The fix (specific)</w:t>
            </w:r>
          </w:p>
        </w:tc>
        <w:tc>
          <w:tcPr/>
          <w:p>
            <w:pPr>
              <w:pStyle w:val="Compact"/>
            </w:pPr>
            <w:r>
              <w:t xml:space="preserve">Effort</w:t>
            </w:r>
          </w:p>
        </w:tc>
        <w:tc>
          <w:tcPr/>
          <w:p>
            <w:pPr>
              <w:pStyle w:val="Compact"/>
            </w:pPr>
            <w:r>
              <w:t xml:space="preserve">Risk reduced</w:t>
            </w:r>
          </w:p>
        </w:tc>
        <w:tc>
          <w:tcPr/>
          <w:p>
            <w:pPr>
              <w:pStyle w:val="Compact"/>
            </w:pPr>
            <w:r>
              <w:t xml:space="preserve">Why this rank</w:t>
            </w:r>
          </w:p>
        </w:tc>
      </w:tr>
      <w:tr>
        <w:tc>
          <w:tcPr/>
          <w:p>
            <w:pPr>
              <w:pStyle w:val="Compact"/>
            </w:pPr>
            <w:r>
              <w:t xml:space="preserve">1</w:t>
            </w:r>
          </w:p>
        </w:tc>
        <w:tc>
          <w:tcPr/>
          <w:p>
            <w:pPr>
              <w:pStyle w:val="Compact"/>
            </w:pPr>
            <w:r>
              <w:t xml:space="preserve">[finding]</w:t>
            </w:r>
          </w:p>
        </w:tc>
        <w:tc>
          <w:tcPr/>
          <w:p>
            <w:pPr>
              <w:pStyle w:val="Compact"/>
            </w:pPr>
            <w:r>
              <w:t xml:space="preserve">[the concrete change — e.g. parameterise the query / disable the dangerous parser feature / rotate-and-verify the signing scheme]</w:t>
            </w:r>
          </w:p>
        </w:tc>
        <w:tc>
          <w:tcPr/>
          <w:p>
            <w:pPr>
              <w:pStyle w:val="Compact"/>
            </w:pPr>
            <w:r>
              <w:t xml:space="preserve">[hrs/days]</w:t>
            </w:r>
          </w:p>
        </w:tc>
        <w:tc>
          <w:tcPr/>
          <w:p>
            <w:pPr>
              <w:pStyle w:val="Compact"/>
            </w:pPr>
            <w:r>
              <w:t xml:space="preserve">[High/Med/Low]</w:t>
            </w:r>
          </w:p>
        </w:tc>
        <w:tc>
          <w:tcPr/>
          <w:p>
            <w:pPr>
              <w:pStyle w:val="Compact"/>
            </w:pPr>
            <w:r>
              <w:t xml:space="preserve">[why it beats the others per hour spent — e.g. </w:t>
            </w:r>
            <w:r>
              <w:t xml:space="preserve">“breaks the chain at the first hop”</w:t>
            </w:r>
            <w:r>
              <w:t xml:space="preserve">]</w:t>
            </w:r>
          </w:p>
        </w:tc>
      </w:tr>
      <w:tr>
        <w:tc>
          <w:tcPr/>
          <w:p>
            <w:pPr>
              <w:pStyle w:val="Compact"/>
            </w:pPr>
            <w:r>
              <w:t xml:space="preserve">2</w:t>
            </w: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[Below the table, defend your top choice in 2–3 lines: why fixing it first reduces the most risk for the least effort, and what it stops the attacker from doing.]</w:t>
      </w:r>
    </w:p>
    <w:p>
      <w:r>
        <w:pict>
          <v:rect style="width:0;height:1.5pt" o:hralign="center" o:hrstd="t" o:hr="t"/>
        </w:pict>
      </w:r>
    </w:p>
    <w:bookmarkEnd w:id="19"/>
    <w:bookmarkStart w:id="23" w:name="X8c4e92517e57d14a4a0058fe22fcd1ee6b1d0dd"/>
    <w:p>
      <w:pPr>
        <w:pStyle w:val="Heading2"/>
      </w:pPr>
      <w:r>
        <w:t xml:space="preserve">Page 6 — Two detection stopgaps (deploy today)</w:t>
      </w:r>
    </w:p>
    <w:p>
      <w:pPr>
        <w:pStyle w:val="FirstParagraph"/>
      </w:pPr>
      <w:r>
        <w:t xml:space="preserve">Engineering cannot fix everything before BoltCash ships. For your</w:t>
      </w:r>
      <w:r>
        <w:t xml:space="preserve"> </w:t>
      </w:r>
      <w:r>
        <w:rPr>
          <w:b/>
          <w:bCs/>
        </w:rPr>
        <w:t xml:space="preserve">two most dangerous findings</w:t>
      </w:r>
      <w:r>
        <w:t xml:space="preserve">, give a detection they can deploy now while the fix is in flight.</w:t>
      </w:r>
    </w:p>
    <w:bookmarkStart w:id="20" w:name="stopgap-1-for-finding"/>
    <w:p>
      <w:pPr>
        <w:pStyle w:val="Heading3"/>
      </w:pPr>
      <w:r>
        <w:t xml:space="preserve">Stopgap 1 — for [finding]</w:t>
      </w:r>
    </w:p>
    <w:p>
      <w:pPr>
        <w:pStyle w:val="FirstParagraph"/>
      </w:pPr>
      <w:r>
        <w:rPr>
          <w:b/>
          <w:bCs/>
        </w:rPr>
        <w:t xml:space="preserve">Detection (concrete):</w:t>
      </w:r>
    </w:p>
    <w:p>
      <w:pPr>
        <w:pStyle w:val="SourceCode"/>
      </w:pPr>
      <w:r>
        <w:rPr>
          <w:rStyle w:val="VerbatimChar"/>
        </w:rPr>
        <w:t xml:space="preserve">[A real SIEM/log query or WAF rule. Name the exact field, endpoint, or pattern it keys on</w:t>
      </w:r>
      <w:r>
        <w:br/>
      </w:r>
      <w:r>
        <w:rPr>
          <w:rStyle w:val="VerbatimChar"/>
        </w:rPr>
        <w:t xml:space="preserve"> — e.g. POST body to /legacy-admin/login.php matching the OR-based tautology pattern, or an</w:t>
      </w:r>
      <w:r>
        <w:br/>
      </w:r>
      <w:r>
        <w:rPr>
          <w:rStyle w:val="VerbatimChar"/>
        </w:rPr>
        <w:t xml:space="preserve"> inbound token whose decoded header contains "alg":"none", or an import body containing a</w:t>
      </w:r>
      <w:r>
        <w:br/>
      </w:r>
      <w:r>
        <w:rPr>
          <w:rStyle w:val="VerbatimChar"/>
        </w:rPr>
        <w:t xml:space="preserve"> SYSTEM external-entity declaration. Pseudo-rule is fine; specificity is what is graded.]</w:t>
      </w:r>
    </w:p>
    <w:p>
      <w:pPr>
        <w:pStyle w:val="FirstParagraph"/>
      </w:pPr>
      <w:r>
        <w:rPr>
          <w:b/>
          <w:bCs/>
        </w:rPr>
        <w:t xml:space="preserve">What it catches:</w:t>
      </w:r>
      <w:r>
        <w:t xml:space="preserve"> </w:t>
      </w:r>
      <w:r>
        <w:t xml:space="preserve">[the attacker behaviour it flags]</w:t>
      </w:r>
      <w:r>
        <w:t xml:space="preserve"> </w:t>
      </w:r>
      <w:r>
        <w:rPr>
          <w:b/>
          <w:bCs/>
        </w:rPr>
        <w:t xml:space="preserve">Expected false-positive rate:</w:t>
      </w:r>
      <w:r>
        <w:t xml:space="preserve"> </w:t>
      </w:r>
      <w:r>
        <w:t xml:space="preserve">[your estimate + why — e.g. </w:t>
      </w:r>
      <w:r>
        <w:t xml:space="preserve">“low; legitimate logins never carry this pattern”</w:t>
      </w:r>
      <w:r>
        <w:t xml:space="preserve">]</w:t>
      </w:r>
    </w:p>
    <w:bookmarkEnd w:id="20"/>
    <w:bookmarkStart w:id="21" w:name="stopgap-2-for-finding"/>
    <w:p>
      <w:pPr>
        <w:pStyle w:val="Heading3"/>
      </w:pPr>
      <w:r>
        <w:t xml:space="preserve">Stopgap 2 — for [finding]</w:t>
      </w:r>
    </w:p>
    <w:p>
      <w:pPr>
        <w:pStyle w:val="FirstParagraph"/>
      </w:pPr>
      <w:r>
        <w:rPr>
          <w:b/>
          <w:bCs/>
        </w:rPr>
        <w:t xml:space="preserve">Detection (concrete):</w:t>
      </w:r>
    </w:p>
    <w:p>
      <w:pPr>
        <w:pStyle w:val="SourceCode"/>
      </w:pPr>
      <w:r>
        <w:rPr>
          <w:rStyle w:val="VerbatimChar"/>
        </w:rPr>
        <w:t xml:space="preserve">[As above, for your second finding.]</w:t>
      </w:r>
    </w:p>
    <w:p>
      <w:pPr>
        <w:pStyle w:val="FirstParagraph"/>
      </w:pPr>
      <w:r>
        <w:rPr>
          <w:b/>
          <w:bCs/>
        </w:rPr>
        <w:t xml:space="preserve">What it catches:</w:t>
      </w:r>
      <w:r>
        <w:t xml:space="preserve"> </w:t>
      </w:r>
      <w:r>
        <w:t xml:space="preserve">[ ]</w:t>
      </w:r>
      <w:r>
        <w:t xml:space="preserve"> </w:t>
      </w:r>
      <w:r>
        <w:rPr>
          <w:b/>
          <w:bCs/>
        </w:rPr>
        <w:t xml:space="preserve">Expected false-positive rate:</w:t>
      </w:r>
      <w:r>
        <w:t xml:space="preserve"> </w:t>
      </w:r>
      <w:r>
        <w:t xml:space="preserve">[ ]</w:t>
      </w:r>
    </w:p>
    <w:p>
      <w:r>
        <w:pict>
          <v:rect style="width:0;height:1.5pt" o:hralign="center" o:hrstd="t" o:hr="t"/>
        </w:pict>
      </w:r>
    </w:p>
    <w:p>
      <w:pPr>
        <w:pStyle w:val="BlockText"/>
      </w:pPr>
      <w:r>
        <w:rPr>
          <w:b/>
          <w:bCs/>
        </w:rPr>
        <w:t xml:space="preserve">Before you submit D3, confirm:</w:t>
      </w:r>
    </w:p>
    <w:p>
      <w:pPr>
        <w:pStyle w:val="Compact"/>
        <w:numPr>
          <w:ilvl w:val="0"/>
          <w:numId w:val="1002"/>
        </w:numPr>
      </w:pPr>
      <w:r>
        <w:t xml:space="preserve">First line is the</w:t>
      </w:r>
      <w:r>
        <w:t xml:space="preserve"> </w:t>
      </w:r>
      <w:r>
        <w:rPr>
          <w:rStyle w:val="VerbatimChar"/>
        </w:rPr>
        <w:t xml:space="preserve">Stage 2 · D3 · Name · Code</w:t>
      </w:r>
      <w:r>
        <w:t xml:space="preserve"> </w:t>
      </w:r>
      <w:r>
        <w:t xml:space="preserve">identity line.</w:t>
      </w:r>
    </w:p>
    <w:p>
      <w:pPr>
        <w:pStyle w:val="Compact"/>
        <w:numPr>
          <w:ilvl w:val="0"/>
          <w:numId w:val="1003"/>
        </w:numPr>
      </w:pPr>
      <w:r>
        <w:t xml:space="preserve">Executive summary is jargon-free and ends with the customers-and-naira headline.</w:t>
      </w:r>
    </w:p>
    <w:p>
      <w:pPr>
        <w:pStyle w:val="Compact"/>
        <w:numPr>
          <w:ilvl w:val="0"/>
          <w:numId w:val="1004"/>
        </w:numPr>
      </w:pPr>
      <w:r>
        <w:t xml:space="preserve">Every finding is tied to a line of evidence (and you cut any that are not).</w:t>
      </w:r>
    </w:p>
    <w:p>
      <w:pPr>
        <w:pStyle w:val="Compact"/>
        <w:numPr>
          <w:ilvl w:val="0"/>
          <w:numId w:val="1005"/>
        </w:numPr>
      </w:pPr>
      <w:r>
        <w:t xml:space="preserve">The disproved decoy is stated.</w:t>
      </w:r>
    </w:p>
    <w:p>
      <w:pPr>
        <w:pStyle w:val="Compact"/>
        <w:numPr>
          <w:ilvl w:val="0"/>
          <w:numId w:val="1006"/>
        </w:numPr>
      </w:pPr>
      <w:r>
        <w:t xml:space="preserve">Remediation order is argued by risk reduction per hour, not severity alone.</w:t>
      </w:r>
    </w:p>
    <w:p>
      <w:pPr>
        <w:pStyle w:val="Compact"/>
        <w:numPr>
          <w:ilvl w:val="0"/>
          <w:numId w:val="1007"/>
        </w:numPr>
      </w:pPr>
      <w:r>
        <w:t xml:space="preserve">Two deployable detection stopgaps, each naming an exact field/pattern and a false-positive rate.</w:t>
      </w:r>
    </w:p>
    <w:p>
      <w:pPr>
        <w:pStyle w:val="Compact"/>
        <w:numPr>
          <w:ilvl w:val="0"/>
          <w:numId w:val="1008"/>
        </w:numPr>
      </w:pPr>
      <w:r>
        <w:t xml:space="preserve">6–8 pages. No</w:t>
      </w:r>
      <w:r>
        <w:t xml:space="preserve"> </w:t>
      </w:r>
      <w:r>
        <w:rPr>
          <w:rStyle w:val="VerbatimChar"/>
        </w:rPr>
        <w:t xml:space="preserve">[BRACKETED]</w:t>
      </w:r>
      <w:r>
        <w:t xml:space="preserve"> </w:t>
      </w:r>
      <w:r>
        <w:t xml:space="preserve">prompts or grey guidance lines remain.</w:t>
      </w:r>
    </w:p>
    <w:p>
      <w:r>
        <w:pict>
          <v:rect style="width:0;height:1.5pt" o:hralign="center" o:hrstd="t" o:hr="t"/>
        </w:pict>
      </w:r>
    </w:p>
    <w:bookmarkEnd w:id="21"/>
    <w:bookmarkStart w:id="22" w:name="where-the-marks-are-won"/>
    <w:p>
      <w:pPr>
        <w:pStyle w:val="Heading3"/>
      </w:pPr>
      <w:r>
        <w:t xml:space="preserve">Where the marks are won</w:t>
      </w:r>
    </w:p>
    <w:p>
      <w:pPr>
        <w:pStyle w:val="Compact"/>
        <w:numPr>
          <w:ilvl w:val="0"/>
          <w:numId w:val="1009"/>
        </w:numPr>
      </w:pPr>
      <w:r>
        <w:rPr>
          <w:b/>
          <w:bCs/>
        </w:rPr>
        <w:t xml:space="preserve">It reads like a real report.</w:t>
      </w:r>
      <w:r>
        <w:t xml:space="preserve"> </w:t>
      </w:r>
      <w:r>
        <w:t xml:space="preserve">A CFO follows the summary; a DevSecOps lead acts on the findings — one document, two audiences served.</w:t>
      </w:r>
    </w:p>
    <w:p>
      <w:pPr>
        <w:pStyle w:val="Compact"/>
        <w:numPr>
          <w:ilvl w:val="0"/>
          <w:numId w:val="1009"/>
        </w:numPr>
      </w:pPr>
      <w:r>
        <w:rPr>
          <w:b/>
          <w:bCs/>
        </w:rPr>
        <w:t xml:space="preserve">Prioritisation by effort, not ego.</w:t>
      </w:r>
      <w:r>
        <w:t xml:space="preserve"> </w:t>
      </w:r>
      <w:r>
        <w:t xml:space="preserve">Ranking by risk-reduction-per-hour (and defending it) is the senior move the brief rewards. CVSS order alone is the junior one.</w:t>
      </w:r>
    </w:p>
    <w:p>
      <w:pPr>
        <w:pStyle w:val="Compact"/>
        <w:numPr>
          <w:ilvl w:val="0"/>
          <w:numId w:val="1009"/>
        </w:numPr>
      </w:pPr>
      <w:r>
        <w:rPr>
          <w:b/>
          <w:bCs/>
        </w:rPr>
        <w:t xml:space="preserve">Stopgaps that ship.</w:t>
      </w:r>
      <w:r>
        <w:t xml:space="preserve"> </w:t>
      </w:r>
      <w:r>
        <w:t xml:space="preserve">A SIEM query or WAF rule naming the exact field, with a false-positive estimate, beats</w:t>
      </w:r>
      <w:r>
        <w:t xml:space="preserve"> </w:t>
      </w:r>
      <w:r>
        <w:t xml:space="preserve">“add monitoring.”</w:t>
      </w:r>
      <w:r>
        <w:t xml:space="preserve"> </w:t>
      </w:r>
      <w:r>
        <w:t xml:space="preserve">A stopgap they deploy today beats a fix landing next quarter.</w:t>
      </w:r>
    </w:p>
    <w:p>
      <w:pPr>
        <w:pStyle w:val="Compact"/>
        <w:numPr>
          <w:ilvl w:val="0"/>
          <w:numId w:val="1009"/>
        </w:numPr>
      </w:pPr>
      <w:r>
        <w:rPr>
          <w:b/>
          <w:bCs/>
        </w:rPr>
        <w:t xml:space="preserve">Trust signals.</w:t>
      </w:r>
      <w:r>
        <w:t xml:space="preserve"> </w:t>
      </w:r>
      <w:r>
        <w:t xml:space="preserve">Stating the disproved decoy and tying every finding to evidence tells the reader the whole report is sound.</w:t>
      </w:r>
    </w:p>
    <w:bookmarkEnd w:id="22"/>
    <w:bookmarkEnd w:id="23"/>
    <w:bookmarkEnd w:id="24"/>
    <w:sectPr>
      <w:headerReference r:id="rIdUBIHdr"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6" w:space="4" w:color="CBD5E1"/>
      </w:pBdr>
      <w:spacing w:after="0"/>
      <w:tabs>
        <w:tab w:val="right" w:pos="9360"/>
      </w:tabs>
    </w:pPr>
    <w:r>
      <w:rPr>
        <w:rFonts w:ascii="Calibri" w:hAnsi="Calibri"/>
        <w:b/>
        <w:color w:val="1E40AF"/>
        <w:sz w:val="18"/>
      </w:rPr>
      <w:t xml:space="preserve">UBUNTU BRIDGE INITIATIVE</w:t>
    </w:r>
    <w:r>
      <w:rPr>
        <w:rFonts w:ascii="Calibri" w:hAnsi="Calibri"/>
        <w:color w:val="64748B"/>
        <w:sz w:val="18"/>
      </w:rPr>
      <w:tab/>
      <w:t xml:space="preserve">Cybersecurity Internship  ·  Cohort 1  ·  Stage 2 Capstone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827"/>
      <w:sz w:val="22"/>
      <w:szCs w:val="22"/>
    </w:rPr>
    <w:pPr>
      <w:spacing w:after="140" w:line="276"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Fonts w:ascii="Calibri" w:hAnsi="Calibri"/>
      <w:color w:val="1E40AF"/>
      <w:sz w:val="46"/>
      <w:szCs w:val="46"/>
      <w:spacing w:val="-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Fonts w:ascii="Calibri" w:hAnsi="Calibri"/>
      <w:color w:val="1E40AF"/>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Fonts w:ascii="Calibri" w:hAnsi="Calibri"/>
      <w:color w:val="1E40AF"/>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Fonts w:ascii="Calibri" w:hAnsi="Calibri"/>
      <w:color w:val="0F172A"/>
      <w:b/>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3B82F6" w:space="10" w:sz="22" w:val="single"/>
      </w:pBdr>
      <w:shd w:color="auto" w:fill="EFF4FF" w:val="clear"/>
    </w:pPr>
    <w:rPr>
      <w:color w:val="1E293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UBIHdr"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2026-06-17T09:17:30Z</dcterms:created>
  <dcterms:modified xsi:type="dcterms:W3CDTF">2026-06-17T09:17:30Z</dcterms:modified>
</cp:coreProperties>
</file>

<file path=docProps/custom.xml><?xml version="1.0" encoding="utf-8"?>
<Properties xmlns="http://schemas.openxmlformats.org/officeDocument/2006/custom-properties" xmlns:vt="http://schemas.openxmlformats.org/officeDocument/2006/docPropsVTypes"/>
</file>