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Ubuntu Bridge Initiative · Cybersecurity Internship · Cohort 1 · Stage 2 Capstone</w:t>
      </w:r>
    </w:p>
    <w:p>
      <w:pPr>
        <w:pStyle w:val="BodyText"/>
      </w:pPr>
      <w:r>
        <w:rPr>
          <w:i/>
          <w:iCs/>
        </w:rPr>
        <w:t xml:space="preserve">Editable template — Deliverable 4 of 4. Length: 300–500 words, your own writing. This is the deliverable graders scan hardest for AI patterns — write it yourself, in your own voice, grounded in what YOU did this stage. The template gives you the situation, the questions you must answer, and what you must cite. It deliberately does not write your judgment for you: a recited, generic answer fails even if it is well written.</w:t>
      </w:r>
    </w:p>
    <w:p>
      <w:r>
        <w:pict>
          <v:rect style="width:0;height:1.5pt" o:hralign="center" o:hrstd="t" o:hr="t"/>
        </w:pict>
      </w:r>
    </w:p>
    <w:bookmarkStart w:id="13" w:name="Xd97bd93bfe21182684cce95e881fc70a5af7b31"/>
    <w:p>
      <w:pPr>
        <w:pStyle w:val="Heading1"/>
      </w:pPr>
      <w:r>
        <w:t xml:space="preserve">Deliverable 4 — Ethics stance: the call you make under pressure</w:t>
      </w:r>
    </w:p>
    <w:p>
      <w:pPr>
        <w:pStyle w:val="BlockText"/>
      </w:pPr>
      <w:r>
        <w:rPr>
          <w:b/>
          <w:bCs/>
        </w:rPr>
        <w:t xml:space="preserve">Before you write, fix the situation in your head:</w:t>
      </w:r>
    </w:p>
    <w:p>
      <w:pPr>
        <w:pStyle w:val="Compact"/>
        <w:numPr>
          <w:ilvl w:val="0"/>
          <w:numId w:val="1001"/>
        </w:numPr>
      </w:pPr>
      <w:r>
        <w:t xml:space="preserve">The breach is</w:t>
      </w:r>
      <w:r>
        <w:t xml:space="preserve"> </w:t>
      </w:r>
      <w:r>
        <w:rPr>
          <w:b/>
          <w:bCs/>
        </w:rPr>
        <w:t xml:space="preserve">public</w:t>
      </w:r>
      <w:r>
        <w:t xml:space="preserve"> </w:t>
      </w:r>
      <w:r>
        <w:t xml:space="preserve">— TechCabal ran it this morning, the support queue is on fire.</w:t>
      </w:r>
    </w:p>
    <w:p>
      <w:pPr>
        <w:pStyle w:val="Compact"/>
        <w:numPr>
          <w:ilvl w:val="0"/>
          <w:numId w:val="1001"/>
        </w:numPr>
      </w:pPr>
      <w:r>
        <w:t xml:space="preserve">A journalist you know personally DMs you for</w:t>
      </w:r>
      <w:r>
        <w:t xml:space="preserve"> </w:t>
      </w:r>
      <w:r>
        <w:t xml:space="preserve">“just background, off the record”</w:t>
      </w:r>
      <w:r>
        <w:t xml:space="preserve"> </w:t>
      </w:r>
      <w:r>
        <w:t xml:space="preserve">on what really happened with</w:t>
      </w:r>
      <w:r>
        <w:t xml:space="preserve"> </w:t>
      </w:r>
      <w:r>
        <w:rPr>
          <w:rStyle w:val="VerbatimChar"/>
        </w:rPr>
        <w:t xml:space="preserve">/legacy-admin/</w:t>
      </w:r>
      <w:r>
        <w:t xml:space="preserve">.</w:t>
      </w:r>
    </w:p>
    <w:p>
      <w:pPr>
        <w:pStyle w:val="Compact"/>
        <w:numPr>
          <w:ilvl w:val="0"/>
          <w:numId w:val="1001"/>
        </w:numPr>
      </w:pPr>
      <w:r>
        <w:t xml:space="preserve">Someone senior is about to take the fall for the app outliving its kill date — and</w:t>
      </w:r>
      <w:r>
        <w:t xml:space="preserve"> </w:t>
      </w:r>
      <w:r>
        <w:rPr>
          <w:b/>
          <w:bCs/>
        </w:rPr>
        <w:t xml:space="preserve">you hold the timeline</w:t>
      </w:r>
      <w:r>
        <w:t xml:space="preserve"> </w:t>
      </w:r>
      <w:r>
        <w:t xml:space="preserve">that proves who knew what.</w:t>
      </w:r>
    </w:p>
    <w:p>
      <w:pPr>
        <w:pStyle w:val="Compact"/>
        <w:numPr>
          <w:ilvl w:val="0"/>
          <w:numId w:val="1001"/>
        </w:numPr>
      </w:pPr>
      <w:r>
        <w:t xml:space="preserve">You have confirmed customer</w:t>
      </w:r>
      <w:r>
        <w:t xml:space="preserve"> </w:t>
      </w:r>
      <w:r>
        <w:rPr>
          <w:b/>
          <w:bCs/>
        </w:rPr>
        <w:t xml:space="preserve">PII left the building</w:t>
      </w:r>
      <w:r>
        <w:t xml:space="preserve"> </w:t>
      </w:r>
      <w:r>
        <w:t xml:space="preserve">(the exfil sample is real data in shape).</w:t>
      </w:r>
    </w:p>
    <w:p>
      <w:r>
        <w:pict>
          <v:rect style="width:0;height:1.5pt" o:hralign="center" o:hrstd="t" o:hr="t"/>
        </w:pict>
      </w:r>
    </w:p>
    <w:bookmarkStart w:id="12" w:name="your-stance"/>
    <w:p>
      <w:pPr>
        <w:pStyle w:val="Heading2"/>
      </w:pPr>
      <w:r>
        <w:t xml:space="preserve">Your stance</w:t>
      </w:r>
    </w:p>
    <w:p>
      <w:pPr>
        <w:pStyle w:val="FirstParagraph"/>
      </w:pPr>
      <w:r>
        <w:t xml:space="preserve">Write one continuous response, 300–500 words, that answers all of the following. Do not number them like an exam — weave them into a stance that reads like a decision you actually made.</w:t>
      </w:r>
    </w:p>
    <w:p>
      <w:pPr>
        <w:pStyle w:val="BodyText"/>
      </w:pPr>
      <w:r>
        <w:t xml:space="preserve">[</w:t>
      </w:r>
      <w:r>
        <w:rPr>
          <w:b/>
          <w:bCs/>
        </w:rPr>
        <w:t xml:space="preserve">1. The journalist.</w:t>
      </w:r>
      <w:r>
        <w:t xml:space="preserve"> </w:t>
      </w:r>
      <w:r>
        <w:t xml:space="preserve">What do you say to them, and why?</w:t>
      </w:r>
      <w:r>
        <w:t xml:space="preserve"> </w:t>
      </w:r>
      <w:r>
        <w:t xml:space="preserve">“Off the record”</w:t>
      </w:r>
      <w:r>
        <w:t xml:space="preserve"> </w:t>
      </w:r>
      <w:r>
        <w:t xml:space="preserve">with someone you know is the trap. State your line and the principle behind it.]</w:t>
      </w:r>
    </w:p>
    <w:p>
      <w:pPr>
        <w:pStyle w:val="BodyText"/>
      </w:pPr>
      <w:r>
        <w:t xml:space="preserve">[</w:t>
      </w:r>
      <w:r>
        <w:rPr>
          <w:b/>
          <w:bCs/>
        </w:rPr>
        <w:t xml:space="preserve">2. What you will and will not put in writing.</w:t>
      </w:r>
      <w:r>
        <w:t xml:space="preserve"> </w:t>
      </w:r>
      <w:r>
        <w:t xml:space="preserve">Be specific. In a public, legally-live incident, what goes in writing, to whom, and what does not — and why.]</w:t>
      </w:r>
    </w:p>
    <w:p>
      <w:pPr>
        <w:pStyle w:val="BodyText"/>
      </w:pPr>
      <w:r>
        <w:t xml:space="preserve">[</w:t>
      </w:r>
      <w:r>
        <w:rPr>
          <w:b/>
          <w:bCs/>
        </w:rPr>
        <w:t xml:space="preserve">3. The colleague.</w:t>
      </w:r>
      <w:r>
        <w:t xml:space="preserve"> </w:t>
      </w:r>
      <w:r>
        <w:t xml:space="preserve">You hold evidence that could protect or implicate someone senior. How do you handle it? Do not hide behind</w:t>
      </w:r>
      <w:r>
        <w:t xml:space="preserve"> </w:t>
      </w:r>
      <w:r>
        <w:t xml:space="preserve">“I’d escalate”</w:t>
      </w:r>
      <w:r>
        <w:t xml:space="preserve"> </w:t>
      </w:r>
      <w:r>
        <w:t xml:space="preserve">— say to whom, in what form, and what you refuse to do with it.]</w:t>
      </w:r>
    </w:p>
    <w:p>
      <w:pPr>
        <w:pStyle w:val="BodyText"/>
      </w:pPr>
      <w:r>
        <w:t xml:space="preserve">[</w:t>
      </w:r>
      <w:r>
        <w:rPr>
          <w:b/>
          <w:bCs/>
        </w:rPr>
        <w:t xml:space="preserve">4. The one action you take regardless of what your manager prefers.</w:t>
      </w:r>
      <w:r>
        <w:t xml:space="preserve"> </w:t>
      </w:r>
      <w:r>
        <w:t xml:space="preserve">Name it. This is the line you will not cross even under pressure, and why it is non-negotiable.]</w:t>
      </w:r>
    </w:p>
    <w:bookmarkStart w:id="9" w:name="what-you-must-cite-and-get-right"/>
    <w:p>
      <w:pPr>
        <w:pStyle w:val="Heading3"/>
      </w:pPr>
      <w:r>
        <w:t xml:space="preserve">What you must cite (and get right)</w:t>
      </w:r>
    </w:p>
    <w:p>
      <w:pPr>
        <w:pStyle w:val="FirstParagraph"/>
      </w:pPr>
      <w:r>
        <w:t xml:space="preserve">[- At least one</w:t>
      </w:r>
      <w:r>
        <w:t xml:space="preserve"> </w:t>
      </w:r>
      <w:r>
        <w:rPr>
          <w:b/>
          <w:bCs/>
        </w:rPr>
        <w:t xml:space="preserve">ISC2 Code of Ethics canon, by number.</w:t>
      </w:r>
      <w:r>
        <w:t xml:space="preserve"> </w:t>
      </w:r>
      <w:r>
        <w:t xml:space="preserve">The four canons, in order, are: (I) Protect society, the common good, necessary public trust and confidence, and the infrastructure; (II) Act honourably, honestly, justly, responsibly, and legally; (III) Provide diligent and competent service to principals; (IV) Advance and protect the profession. Cite the one(s) your decision actually turns on — and say WHY that canon drives the call, do not just name-drop it.]</w:t>
      </w:r>
    </w:p>
    <w:p>
      <w:pPr>
        <w:pStyle w:val="BodyText"/>
      </w:pPr>
      <w:r>
        <w:t xml:space="preserve">[- The</w:t>
      </w:r>
      <w:r>
        <w:t xml:space="preserve"> </w:t>
      </w:r>
      <w:r>
        <w:rPr>
          <w:b/>
          <w:bCs/>
        </w:rPr>
        <w:t xml:space="preserve">NDPA</w:t>
      </w:r>
      <w:r>
        <w:t xml:space="preserve"> </w:t>
      </w:r>
      <w:r>
        <w:t xml:space="preserve">duty that applies now that you have confirmed PII left the building. Under the Nigeria Data Protection Act 2023, a data controller must notify the Commission (the NDPC) of a personal-data breach within the statutory window, and notify affected data subjects where the breach is likely to result in high risk to them. Name this duty and connect it to the 312 affected customers in your own evidence.]</w:t>
      </w:r>
    </w:p>
    <w:bookmarkEnd w:id="9"/>
    <w:bookmarkStart w:id="10" w:name="make-it-yours"/>
    <w:p>
      <w:pPr>
        <w:pStyle w:val="Heading3"/>
      </w:pPr>
      <w:r>
        <w:t xml:space="preserve">Make it yours</w:t>
      </w:r>
    </w:p>
    <w:p>
      <w:pPr>
        <w:pStyle w:val="FirstParagraph"/>
      </w:pPr>
      <w:r>
        <w:t xml:space="preserve">[Anchor at least one sentence to something specific YOU did this stage — a finding you proved, the chain you reconstructed, the number you put on the impact. Two graders read this independently; an answer that could have been written by someone who never opened the evidence is treated as not submitted, however polished.]</w:t>
      </w:r>
    </w:p>
    <w:p>
      <w:r>
        <w:pict>
          <v:rect style="width:0;height:1.5pt" o:hralign="center" o:hrstd="t" o:hr="t"/>
        </w:pict>
      </w:r>
    </w:p>
    <w:p>
      <w:pPr>
        <w:pStyle w:val="BlockText"/>
      </w:pPr>
      <w:r>
        <w:rPr>
          <w:b/>
          <w:bCs/>
        </w:rPr>
        <w:t xml:space="preserve">Before you submit D4, confirm:</w:t>
      </w:r>
    </w:p>
    <w:p>
      <w:pPr>
        <w:pStyle w:val="Compact"/>
        <w:numPr>
          <w:ilvl w:val="0"/>
          <w:numId w:val="1002"/>
        </w:numPr>
      </w:pPr>
      <w:r>
        <w:t xml:space="preserve">First line is the</w:t>
      </w:r>
      <w:r>
        <w:t xml:space="preserve"> </w:t>
      </w:r>
      <w:r>
        <w:rPr>
          <w:rStyle w:val="VerbatimChar"/>
        </w:rPr>
        <w:t xml:space="preserve">Stage 2 · D4 · Name · Code</w:t>
      </w:r>
      <w:r>
        <w:t xml:space="preserve"> </w:t>
      </w:r>
      <w:r>
        <w:t xml:space="preserve">identity line.</w:t>
      </w:r>
    </w:p>
    <w:p>
      <w:pPr>
        <w:pStyle w:val="Compact"/>
        <w:numPr>
          <w:ilvl w:val="0"/>
          <w:numId w:val="1003"/>
        </w:numPr>
      </w:pPr>
      <w:r>
        <w:t xml:space="preserve">300–500 words, your own voice — no AI cadence, no recited policy.</w:t>
      </w:r>
    </w:p>
    <w:p>
      <w:pPr>
        <w:pStyle w:val="Compact"/>
        <w:numPr>
          <w:ilvl w:val="0"/>
          <w:numId w:val="1004"/>
        </w:numPr>
      </w:pPr>
      <w:r>
        <w:t xml:space="preserve">You answered all four: journalist, what-in-writing, the colleague, the non-negotiable action.</w:t>
      </w:r>
    </w:p>
    <w:p>
      <w:pPr>
        <w:pStyle w:val="Compact"/>
        <w:numPr>
          <w:ilvl w:val="0"/>
          <w:numId w:val="1005"/>
        </w:numPr>
      </w:pPr>
      <w:r>
        <w:t xml:space="preserve">At least one ISC2 canon cited BY NUMBER, with the reason it drives your call.</w:t>
      </w:r>
    </w:p>
    <w:p>
      <w:pPr>
        <w:pStyle w:val="Compact"/>
        <w:numPr>
          <w:ilvl w:val="0"/>
          <w:numId w:val="1006"/>
        </w:numPr>
      </w:pPr>
      <w:r>
        <w:t xml:space="preserve">The NDPA breach-notification duty named and tied to your confirmed PII exposure.</w:t>
      </w:r>
    </w:p>
    <w:p>
      <w:pPr>
        <w:pStyle w:val="Compact"/>
        <w:numPr>
          <w:ilvl w:val="0"/>
          <w:numId w:val="1007"/>
        </w:numPr>
      </w:pPr>
      <w:r>
        <w:t xml:space="preserve">At least one sentence is anchored to your own Stage 2 work.</w:t>
      </w:r>
    </w:p>
    <w:p>
      <w:pPr>
        <w:pStyle w:val="Compact"/>
        <w:numPr>
          <w:ilvl w:val="0"/>
          <w:numId w:val="1008"/>
        </w:numPr>
      </w:pPr>
      <w:r>
        <w:t xml:space="preserve">No</w:t>
      </w:r>
      <w:r>
        <w:t xml:space="preserve"> </w:t>
      </w:r>
      <w:r>
        <w:rPr>
          <w:rStyle w:val="VerbatimChar"/>
        </w:rPr>
        <w:t xml:space="preserve">[BRACKETED]</w:t>
      </w:r>
      <w:r>
        <w:t xml:space="preserve"> </w:t>
      </w:r>
      <w:r>
        <w:t xml:space="preserve">prompts or grey guidance lines remain.</w:t>
      </w:r>
    </w:p>
    <w:p>
      <w:r>
        <w:pict>
          <v:rect style="width:0;height:1.5pt" o:hralign="center" o:hrstd="t" o:hr="t"/>
        </w:pict>
      </w:r>
    </w:p>
    <w:bookmarkEnd w:id="10"/>
    <w:bookmarkStart w:id="11" w:name="where-the-marks-are-won"/>
    <w:p>
      <w:pPr>
        <w:pStyle w:val="Heading3"/>
      </w:pPr>
      <w:r>
        <w:t xml:space="preserve">Where the marks are won</w:t>
      </w:r>
    </w:p>
    <w:p>
      <w:pPr>
        <w:pStyle w:val="Compact"/>
        <w:numPr>
          <w:ilvl w:val="0"/>
          <w:numId w:val="1009"/>
        </w:numPr>
      </w:pPr>
      <w:r>
        <w:rPr>
          <w:b/>
          <w:bCs/>
        </w:rPr>
        <w:t xml:space="preserve">A real decision, not a position paper.</w:t>
      </w:r>
      <w:r>
        <w:t xml:space="preserve"> </w:t>
      </w:r>
      <w:r>
        <w:t xml:space="preserve">Graders reward a clear call with consequences you own —</w:t>
      </w:r>
      <w:r>
        <w:t xml:space="preserve"> </w:t>
      </w:r>
      <w:r>
        <w:t xml:space="preserve">“I tell the journalist nothing on or off the record, and here is what that costs me”</w:t>
      </w:r>
      <w:r>
        <w:t xml:space="preserve"> </w:t>
      </w:r>
      <w:r>
        <w:t xml:space="preserve">— over a balanced essay that decides nothing.</w:t>
      </w:r>
    </w:p>
    <w:p>
      <w:pPr>
        <w:pStyle w:val="Compact"/>
        <w:numPr>
          <w:ilvl w:val="0"/>
          <w:numId w:val="1009"/>
        </w:numPr>
      </w:pPr>
      <w:r>
        <w:rPr>
          <w:b/>
          <w:bCs/>
        </w:rPr>
        <w:t xml:space="preserve">Citations that load-bear.</w:t>
      </w:r>
      <w:r>
        <w:t xml:space="preserve"> </w:t>
      </w:r>
      <w:r>
        <w:t xml:space="preserve">The ISC2 canon (by number) and the NDPA duty must drive your reasoning, not decorate it.</w:t>
      </w:r>
    </w:p>
    <w:p>
      <w:pPr>
        <w:pStyle w:val="Compact"/>
        <w:numPr>
          <w:ilvl w:val="0"/>
          <w:numId w:val="1009"/>
        </w:numPr>
      </w:pPr>
      <w:r>
        <w:rPr>
          <w:b/>
          <w:bCs/>
        </w:rPr>
        <w:t xml:space="preserve">Traceable to you.</w:t>
      </w:r>
      <w:r>
        <w:t xml:space="preserve"> </w:t>
      </w:r>
      <w:r>
        <w:t xml:space="preserve">The detail that proves you lived this stage is the single strongest signal that it is your own work.</w:t>
      </w:r>
    </w:p>
    <w:p>
      <w:pPr>
        <w:pStyle w:val="Compact"/>
        <w:numPr>
          <w:ilvl w:val="0"/>
          <w:numId w:val="1009"/>
        </w:numPr>
      </w:pPr>
      <w:r>
        <w:rPr>
          <w:b/>
          <w:bCs/>
        </w:rPr>
        <w:t xml:space="preserve">Discipline.</w:t>
      </w:r>
      <w:r>
        <w:t xml:space="preserve"> </w:t>
      </w:r>
      <w:r>
        <w:t xml:space="preserve">300–500 words. Tight, specific, human.</w:t>
      </w:r>
    </w:p>
    <w:bookmarkEnd w:id="11"/>
    <w:bookmarkEnd w:id="12"/>
    <w:bookmarkEnd w:id="13"/>
    <w:sectPr>
      <w:headerReference r:id="rIdUBIHdr"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Bdr>
        <w:bottom w:val="single" w:sz="6" w:space="4" w:color="CBD5E1"/>
      </w:pBdr>
      <w:spacing w:after="0"/>
      <w:tabs>
        <w:tab w:val="right" w:pos="9360"/>
      </w:tabs>
    </w:pPr>
    <w:r>
      <w:rPr>
        <w:rFonts w:ascii="Calibri" w:hAnsi="Calibri"/>
        <w:b/>
        <w:color w:val="1E40AF"/>
        <w:sz w:val="18"/>
      </w:rPr>
      <w:t xml:space="preserve">UBUNTU BRIDGE INITIATIVE</w:t>
    </w:r>
    <w:r>
      <w:rPr>
        <w:rFonts w:ascii="Calibri" w:hAnsi="Calibri"/>
        <w:color w:val="64748B"/>
        <w:sz w:val="18"/>
      </w:rPr>
      <w:tab/>
      <w:t xml:space="preserve">Cybersecurity Internship  ·  Cohort 1  ·  Stage 2 Capstone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827"/>
      <w:sz w:val="22"/>
      <w:szCs w:val="22"/>
    </w:rPr>
    <w:pPr>
      <w:spacing w:after="140" w:line="276"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Fonts w:ascii="Calibri" w:hAnsi="Calibri"/>
      <w:color w:val="1E40AF"/>
      <w:sz w:val="46"/>
      <w:szCs w:val="46"/>
      <w:spacing w:val="-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Fonts w:ascii="Calibri" w:hAnsi="Calibri"/>
      <w:color w:val="1E40AF"/>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Fonts w:ascii="Calibri" w:hAnsi="Calibri"/>
      <w:color w:val="1E40AF"/>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Fonts w:ascii="Calibri" w:hAnsi="Calibri"/>
      <w:color w:val="0F172A"/>
      <w:b/>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3B82F6" w:space="10" w:sz="22" w:val="single"/>
      </w:pBdr>
      <w:shd w:color="auto" w:fill="EFF4FF" w:val="clear"/>
    </w:pPr>
    <w:rPr>
      <w:color w:val="1E293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UBIHdr"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2026-06-17T09:17:30Z</dcterms:created>
  <dcterms:modified xsi:type="dcterms:W3CDTF">2026-06-17T09:17:30Z</dcterms:modified>
</cp:coreProperties>
</file>

<file path=docProps/custom.xml><?xml version="1.0" encoding="utf-8"?>
<Properties xmlns="http://schemas.openxmlformats.org/officeDocument/2006/custom-properties" xmlns:vt="http://schemas.openxmlformats.org/officeDocument/2006/docPropsVTypes"/>
</file>