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tage-1-capstone-submission-template"/>
    <w:p>
      <w:pPr>
        <w:pStyle w:val="Heading1"/>
      </w:pPr>
      <w:r>
        <w:t xml:space="preserve">Stage 1 Capstone — Submission Template</w:t>
      </w:r>
    </w:p>
    <w:p>
      <w:pPr>
        <w:pStyle w:val="FirstParagraph"/>
      </w:pPr>
      <w:r>
        <w:rPr>
          <w:b/>
          <w:bCs/>
        </w:rPr>
        <w:t xml:space="preserve">Applied Cryptography · Ciphers &amp; Secrets</w:t>
      </w:r>
    </w:p>
    <w:p>
      <w:pPr>
        <w:pStyle w:val="BlockText"/>
      </w:pPr>
      <w:r>
        <w:rPr>
          <w:b/>
          <w:bCs/>
        </w:rPr>
        <w:t xml:space="preserve">How to use this template.</w:t>
      </w:r>
      <w:r>
        <w:t xml:space="preserve"> </w:t>
      </w:r>
      <w:r>
        <w:t xml:space="preserve">Replace every</w:t>
      </w:r>
      <w:r>
        <w:t xml:space="preserve"> </w:t>
      </w:r>
      <w:r>
        <w:rPr>
          <w:rStyle w:val="VerbatimChar"/>
        </w:rPr>
        <w:t xml:space="preserve">[ bracketed prompt ]</w:t>
      </w:r>
      <w:r>
        <w:t xml:space="preserve"> </w:t>
      </w:r>
      <w:r>
        <w:t xml:space="preserve">with your</w:t>
      </w:r>
      <w:r>
        <w:t xml:space="preserve"> </w:t>
      </w:r>
      <w:r>
        <w:t xml:space="preserve">own work, then delete the grey instruction lines (the ones that begin with</w:t>
      </w:r>
      <w:r>
        <w:t xml:space="preserve"> </w:t>
      </w:r>
      <w:r>
        <w:rPr>
          <w:i/>
          <w:iCs/>
        </w:rPr>
        <w:t xml:space="preserve">Instructions —</w:t>
      </w:r>
      <w:r>
        <w:t xml:space="preserve">) before you submit. You may hand this in as</w:t>
      </w:r>
      <w:r>
        <w:t xml:space="preserve"> </w:t>
      </w:r>
      <w:r>
        <w:rPr>
          <w:b/>
          <w:bCs/>
        </w:rPr>
        <w:t xml:space="preserve">one combined</w:t>
      </w:r>
      <w:r>
        <w:rPr>
          <w:b/>
          <w:bCs/>
        </w:rPr>
        <w:t xml:space="preserve"> </w:t>
      </w:r>
      <w:r>
        <w:rPr>
          <w:b/>
          <w:bCs/>
        </w:rPr>
        <w:t xml:space="preserve">document</w:t>
      </w:r>
      <w:r>
        <w:t xml:space="preserve"> </w:t>
      </w:r>
      <w:r>
        <w:t xml:space="preserve">or split it into the four files</w:t>
      </w:r>
      <w:r>
        <w:t xml:space="preserve"> </w:t>
      </w:r>
      <w:r>
        <w:rPr>
          <w:b/>
          <w:bCs/>
        </w:rPr>
        <w:t xml:space="preserve">D1–D4</w:t>
      </w:r>
      <w:r>
        <w:t xml:space="preserve"> </w:t>
      </w:r>
      <w:r>
        <w:t xml:space="preserve">— graders accept either,</w:t>
      </w:r>
      <w:r>
        <w:t xml:space="preserve"> </w:t>
      </w:r>
      <w:r>
        <w:t xml:space="preserve">as long as all four areas are covered. Every claim needs an evidence citation</w:t>
      </w:r>
      <w:r>
        <w:t xml:space="preserve"> </w:t>
      </w:r>
      <w:r>
        <w:t xml:space="preserve">(the artefact file it came from)</w:t>
      </w:r>
      <w:r>
        <w:t xml:space="preserve"> </w:t>
      </w:r>
      <w:r>
        <w:rPr>
          <w:b/>
          <w:bCs/>
        </w:rPr>
        <w:t xml:space="preserve">and</w:t>
      </w:r>
      <w:r>
        <w:t xml:space="preserve">, where research applies, one external</w:t>
      </w:r>
      <w:r>
        <w:t xml:space="preserve"> </w:t>
      </w:r>
      <w:r>
        <w:t xml:space="preserve">standard cited by section number (RFC / NIST SP / FIPS). Made-up section</w:t>
      </w:r>
      <w:r>
        <w:t xml:space="preserve"> </w:t>
      </w:r>
      <w:r>
        <w:t xml:space="preserve">numbers score zero.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Your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[ your full name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 ID (UBI-2026-XXXX)</w:t>
            </w:r>
          </w:p>
        </w:tc>
        <w:tc>
          <w:tcPr/>
          <w:p>
            <w:pPr>
              <w:pStyle w:val="Compact"/>
            </w:pPr>
            <w:r>
              <w:t xml:space="preserve">[ your intern ID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Stage 1 — Applied Cryptography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[ DD-MM-YYYY ]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d1-crypto-failure-mapping"/>
    <w:p>
      <w:pPr>
        <w:pStyle w:val="Heading2"/>
      </w:pPr>
      <w:r>
        <w:t xml:space="preserve">D1 — Crypto failure mapping</w:t>
      </w:r>
    </w:p>
    <w:p>
      <w:pPr>
        <w:pStyle w:val="BlockText"/>
      </w:pPr>
      <w:r>
        <w:rPr>
          <w:b/>
          <w:bCs/>
        </w:rPr>
        <w:t xml:space="preserve">Instructions —</w:t>
      </w:r>
      <w:r>
        <w:t xml:space="preserve"> </w:t>
      </w:r>
      <w:r>
        <w:t xml:space="preserve">The post-mortem. Name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cryptographic failure in</w:t>
      </w:r>
      <w:r>
        <w:t xml:space="preserve"> </w:t>
      </w:r>
      <w:r>
        <w:t xml:space="preserve">The Griot’s artefacts, one row per finding. Each finding cites the specific</w:t>
      </w:r>
      <w:r>
        <w:t xml:space="preserve"> </w:t>
      </w:r>
      <w:r>
        <w:t xml:space="preserve">artefact file it came from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one external standard by section number.</w:t>
      </w:r>
      <w:r>
        <w:t xml:space="preserve"> </w:t>
      </w:r>
      <w:r>
        <w:t xml:space="preserve">Open with two or three sentences on hash vs encryption, using the Griot’s own</w:t>
      </w:r>
      <w:r>
        <w:t xml:space="preserve"> </w:t>
      </w:r>
      <w:r>
        <w:t xml:space="preserve">choices as the example.</w:t>
      </w:r>
    </w:p>
    <w:p>
      <w:pPr>
        <w:pStyle w:val="FirstParagraph"/>
      </w:pPr>
      <w:r>
        <w:rPr>
          <w:b/>
          <w:bCs/>
        </w:rPr>
        <w:t xml:space="preserve">Hash vs encryption (2–3 sentences):</w:t>
      </w:r>
      <w:r>
        <w:t xml:space="preserve"> </w:t>
      </w:r>
      <w:r>
        <w:t xml:space="preserve">[ When should the Griot have hashed, and when encrypted? Use their own choices. 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"/>
        <w:gridCol w:w="838"/>
        <w:gridCol w:w="2422"/>
        <w:gridCol w:w="2888"/>
        <w:gridCol w:w="14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Evidence (artefact file)</w:t>
            </w:r>
          </w:p>
        </w:tc>
        <w:tc>
          <w:tcPr/>
          <w:p>
            <w:pPr>
              <w:pStyle w:val="Compact"/>
            </w:pPr>
            <w:r>
              <w:t xml:space="preserve">External standard (section #)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 e.g. AES key + IV stored in the same staging config ]</w:t>
            </w:r>
          </w:p>
        </w:tc>
        <w:tc>
          <w:tcPr/>
          <w:p>
            <w:pPr>
              <w:pStyle w:val="Compact"/>
            </w:pPr>
            <w:r>
              <w:t xml:space="preserve">[ 01-aes-ciphertext.txt ]</w:t>
            </w:r>
          </w:p>
        </w:tc>
        <w:tc>
          <w:tcPr/>
          <w:p>
            <w:pPr>
              <w:pStyle w:val="Compact"/>
            </w:pPr>
            <w:r>
              <w:t xml:space="preserve">[ e.g. NIST SP 800-57 §…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 e.g. reused / predictable IV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 e.g. HS256 signed with a 5-character secret ]</w:t>
            </w:r>
          </w:p>
        </w:tc>
        <w:tc>
          <w:tcPr/>
          <w:p>
            <w:pPr>
              <w:pStyle w:val="Compact"/>
            </w:pPr>
            <w:r>
              <w:t xml:space="preserve">[ 04-weak-jwt-hmac.txt ]</w:t>
            </w:r>
          </w:p>
        </w:tc>
        <w:tc>
          <w:tcPr/>
          <w:p>
            <w:pPr>
              <w:pStyle w:val="Compact"/>
            </w:pPr>
            <w:r>
              <w:t xml:space="preserve">[ e.g. RFC 7518 §…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 e.g. JWT alg=none / missing exp / privileged claim ]</w:t>
            </w:r>
          </w:p>
        </w:tc>
        <w:tc>
          <w:tcPr/>
          <w:p>
            <w:pPr>
              <w:pStyle w:val="Compact"/>
            </w:pPr>
            <w:r>
              <w:t xml:space="preserve">[ 03-jwts.txt ]</w:t>
            </w:r>
          </w:p>
        </w:tc>
        <w:tc>
          <w:tcPr/>
          <w:p>
            <w:pPr>
              <w:pStyle w:val="Compact"/>
            </w:pPr>
            <w:r>
              <w:t xml:space="preserve">[ e.g. RFC 7519 §…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 add rows as needed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d2-decoded-artefact-appendix"/>
    <w:p>
      <w:pPr>
        <w:pStyle w:val="Heading2"/>
      </w:pPr>
      <w:r>
        <w:t xml:space="preserve">D2 — Decoded artefact appendix</w:t>
      </w:r>
    </w:p>
    <w:p>
      <w:pPr>
        <w:pStyle w:val="BlockText"/>
      </w:pPr>
      <w:r>
        <w:rPr>
          <w:b/>
          <w:bCs/>
        </w:rPr>
        <w:t xml:space="preserve">Instructions —</w:t>
      </w:r>
      <w:r>
        <w:t xml:space="preserve"> </w:t>
      </w:r>
      <w:r>
        <w:t xml:space="preserve">The working. For each artefact give the recovered</w:t>
      </w:r>
      <w:r>
        <w:t xml:space="preserve"> </w:t>
      </w:r>
      <w:r>
        <w:t xml:space="preserve">plaintext, the method you used, and the intermediate outputs where a file has</w:t>
      </w:r>
      <w:r>
        <w:t xml:space="preserve"> </w:t>
      </w:r>
      <w:r>
        <w:t xml:space="preserve">layers. Show your working — plaintext alone is not enough.</w:t>
      </w:r>
    </w:p>
    <w:p>
      <w:pPr>
        <w:pStyle w:val="FirstParagraph"/>
      </w:pPr>
      <w:r>
        <w:rPr>
          <w:b/>
          <w:bCs/>
        </w:rPr>
        <w:t xml:space="preserve">Artefact 01 — AES-CBC ciphertext</w:t>
      </w:r>
    </w:p>
    <w:p>
      <w:pPr>
        <w:pStyle w:val="Compact"/>
        <w:numPr>
          <w:ilvl w:val="0"/>
          <w:numId w:val="1001"/>
        </w:numPr>
      </w:pPr>
      <w:r>
        <w:t xml:space="preserve">Method (CyberChef recipe URL or Python script): [ … ]</w:t>
      </w:r>
    </w:p>
    <w:p>
      <w:pPr>
        <w:pStyle w:val="Compact"/>
        <w:numPr>
          <w:ilvl w:val="0"/>
          <w:numId w:val="1001"/>
        </w:numPr>
      </w:pPr>
      <w:r>
        <w:t xml:space="preserve">Recovered plaintext: [ … ]</w:t>
      </w:r>
    </w:p>
    <w:p>
      <w:pPr>
        <w:pStyle w:val="FirstParagraph"/>
      </w:pPr>
      <w:r>
        <w:rPr>
          <w:b/>
          <w:bCs/>
        </w:rPr>
        <w:t xml:space="preserve">Artefact 02 — Classical cipher</w:t>
      </w:r>
    </w:p>
    <w:p>
      <w:pPr>
        <w:pStyle w:val="Compact"/>
        <w:numPr>
          <w:ilvl w:val="0"/>
          <w:numId w:val="1002"/>
        </w:numPr>
      </w:pPr>
      <w:r>
        <w:t xml:space="preserve">Cipher identified (Caesar / Vigenère / substitution): [ … ]</w:t>
      </w:r>
    </w:p>
    <w:p>
      <w:pPr>
        <w:pStyle w:val="Compact"/>
        <w:numPr>
          <w:ilvl w:val="0"/>
          <w:numId w:val="1002"/>
        </w:numPr>
      </w:pPr>
      <w:r>
        <w:t xml:space="preserve">How you identified it (one sentence — frequency analysis is plenty): [ … ]</w:t>
      </w:r>
    </w:p>
    <w:p>
      <w:pPr>
        <w:pStyle w:val="Compact"/>
        <w:numPr>
          <w:ilvl w:val="0"/>
          <w:numId w:val="1002"/>
        </w:numPr>
      </w:pPr>
      <w:r>
        <w:t xml:space="preserve">Recovered plaintext: [ … ]</w:t>
      </w:r>
    </w:p>
    <w:p>
      <w:pPr>
        <w:pStyle w:val="FirstParagraph"/>
      </w:pPr>
      <w:r>
        <w:rPr>
          <w:b/>
          <w:bCs/>
        </w:rPr>
        <w:t xml:space="preserve">Artefact 03 — Three JWTs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Header (alg)</w:t>
            </w:r>
          </w:p>
        </w:tc>
        <w:tc>
          <w:tcPr/>
          <w:p>
            <w:pPr>
              <w:pStyle w:val="Compact"/>
            </w:pPr>
            <w:r>
              <w:t xml:space="preserve">Key payload claims</w:t>
            </w:r>
          </w:p>
        </w:tc>
        <w:tc>
          <w:tcPr/>
          <w:p>
            <w:pPr>
              <w:pStyle w:val="Compact"/>
            </w:pPr>
            <w:r>
              <w:t xml:space="preserve">Red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</w:tr>
    </w:tbl>
    <w:p>
      <w:pPr>
        <w:pStyle w:val="BodyText"/>
      </w:pPr>
      <w:r>
        <w:rPr>
          <w:b/>
          <w:bCs/>
        </w:rPr>
        <w:t xml:space="preserve">Artefact 05 — Layered reconnaissance memo</w:t>
      </w:r>
    </w:p>
    <w:p>
      <w:pPr>
        <w:pStyle w:val="Compact"/>
        <w:numPr>
          <w:ilvl w:val="0"/>
          <w:numId w:val="1003"/>
        </w:numPr>
      </w:pPr>
      <w:r>
        <w:t xml:space="preserve">Layer 1 — base64 → [ intermediate output ]</w:t>
      </w:r>
    </w:p>
    <w:p>
      <w:pPr>
        <w:pStyle w:val="Compact"/>
        <w:numPr>
          <w:ilvl w:val="0"/>
          <w:numId w:val="1003"/>
        </w:numPr>
      </w:pPr>
      <w:r>
        <w:t xml:space="preserve">Layer 2 — ROT13 → [ intermediate output ]</w:t>
      </w:r>
    </w:p>
    <w:p>
      <w:pPr>
        <w:pStyle w:val="Compact"/>
        <w:numPr>
          <w:ilvl w:val="0"/>
          <w:numId w:val="1003"/>
        </w:numPr>
      </w:pPr>
      <w:r>
        <w:t xml:space="preserve">Layer 3 — substitution → [ final plaintext ]</w:t>
      </w:r>
    </w:p>
    <w:p>
      <w:pPr>
        <w:pStyle w:val="BlockText"/>
      </w:pPr>
      <w:r>
        <w:rPr>
          <w:b/>
          <w:bCs/>
        </w:rPr>
        <w:t xml:space="preserve">Instructions —</w:t>
      </w:r>
      <w:r>
        <w:t xml:space="preserve"> </w:t>
      </w:r>
      <w:r>
        <w:t xml:space="preserve">If you also cracked the weak HS256 token (artefact 04) and</w:t>
      </w:r>
      <w:r>
        <w:t xml:space="preserve"> </w:t>
      </w:r>
      <w:r>
        <w:t xml:space="preserve">forged a token, paste the recovered secret and the forged token here — it</w:t>
      </w:r>
      <w:r>
        <w:t xml:space="preserve"> </w:t>
      </w:r>
      <w:r>
        <w:t xml:space="preserve">supports a finding in D1.</w:t>
      </w:r>
    </w:p>
    <w:p>
      <w:r>
        <w:pict>
          <v:rect style="width:0;height:1.5pt" o:hralign="center" o:hrstd="t" o:hr="t"/>
        </w:pict>
      </w:r>
    </w:p>
    <w:bookmarkEnd w:id="10"/>
    <w:bookmarkStart w:id="11" w:name="X2db36c2d120e1324d9824eaffdb9ff7672c0967"/>
    <w:p>
      <w:pPr>
        <w:pStyle w:val="Heading2"/>
      </w:pPr>
      <w:r>
        <w:t xml:space="preserve">D3 — Five controls the board should approve</w:t>
      </w:r>
    </w:p>
    <w:p>
      <w:pPr>
        <w:pStyle w:val="BlockText"/>
      </w:pPr>
      <w:r>
        <w:rPr>
          <w:b/>
          <w:bCs/>
        </w:rPr>
        <w:t xml:space="preserve">Instructions —</w:t>
      </w:r>
      <w:r>
        <w:t xml:space="preserve"> </w:t>
      </w:r>
      <w:r>
        <w:t xml:space="preserve">Five concrete controls (products, policies, or</w:t>
      </w:r>
      <w:r>
        <w:t xml:space="preserve"> </w:t>
      </w:r>
      <w:r>
        <w:t xml:space="preserve">configurations). Each maps to</w:t>
      </w:r>
      <w:r>
        <w:t xml:space="preserve"> </w:t>
      </w:r>
      <w:r>
        <w:rPr>
          <w:b/>
          <w:bCs/>
        </w:rPr>
        <w:t xml:space="preserve">at least two</w:t>
      </w:r>
      <w:r>
        <w:t xml:space="preserve"> </w:t>
      </w:r>
      <w:r>
        <w:t xml:space="preserve">failures from D1 and is</w:t>
      </w:r>
      <w:r>
        <w:t xml:space="preserve"> </w:t>
      </w:r>
      <w:r>
        <w:t xml:space="preserve">specific enough that someone else could go and build or buy it. Assume a small</w:t>
      </w:r>
      <w:r>
        <w:t xml:space="preserve"> </w:t>
      </w:r>
      <w:r>
        <w:t xml:space="preserve">team and a tight budget —</w:t>
      </w:r>
      <w:r>
        <w:t xml:space="preserve"> </w:t>
      </w:r>
      <w:r>
        <w:t xml:space="preserve">“improve crypto hygiene”</w:t>
      </w:r>
      <w:r>
        <w:t xml:space="preserve"> </w:t>
      </w:r>
      <w:r>
        <w:t xml:space="preserve">scores zero.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"/>
        <w:gridCol w:w="2084"/>
        <w:gridCol w:w="2605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Control (specific)</w:t>
            </w:r>
          </w:p>
        </w:tc>
        <w:tc>
          <w:tcPr/>
          <w:p>
            <w:pPr>
              <w:pStyle w:val="Compact"/>
            </w:pPr>
            <w:r>
              <w:t xml:space="preserve">Maps to D1 findings (#)</w:t>
            </w:r>
          </w:p>
        </w:tc>
        <w:tc>
          <w:tcPr/>
          <w:p>
            <w:pPr>
              <w:pStyle w:val="Compact"/>
            </w:pPr>
            <w:r>
              <w:t xml:space="preserve">One-sentence 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 e.g. rotate to AES-GCM with a managed KMS key ]</w:t>
            </w:r>
          </w:p>
        </w:tc>
        <w:tc>
          <w:tcPr/>
          <w:p>
            <w:pPr>
              <w:pStyle w:val="Compact"/>
            </w:pPr>
            <w:r>
              <w:t xml:space="preserve">[ #1, #2 ]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  <w:tc>
          <w:tcPr/>
          <w:p>
            <w:pPr>
              <w:pStyle w:val="Compact"/>
            </w:pPr>
            <w:r>
              <w:t xml:space="preserve">[ …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d4-ethics-stance-the-ethnos-cyber-call"/>
    <w:p>
      <w:pPr>
        <w:pStyle w:val="Heading2"/>
      </w:pPr>
      <w:r>
        <w:t xml:space="preserve">D4 — Ethics stance: the Ethnos Cyber call</w:t>
      </w:r>
    </w:p>
    <w:p>
      <w:pPr>
        <w:pStyle w:val="BlockText"/>
      </w:pPr>
      <w:r>
        <w:rPr>
          <w:b/>
          <w:bCs/>
        </w:rPr>
        <w:t xml:space="preserve">Instructions —</w:t>
      </w:r>
      <w:r>
        <w:t xml:space="preserve"> </w:t>
      </w:r>
      <w:r>
        <w:t xml:space="preserve">300–500 words,</w:t>
      </w:r>
      <w:r>
        <w:t xml:space="preserve"> </w:t>
      </w:r>
      <w:r>
        <w:rPr>
          <w:b/>
          <w:bCs/>
        </w:rPr>
        <w:t xml:space="preserve">your own writing</w:t>
      </w:r>
      <w:r>
        <w:t xml:space="preserve"> </w:t>
      </w:r>
      <w:r>
        <w:t xml:space="preserve">— this is the document</w:t>
      </w:r>
      <w:r>
        <w:t xml:space="preserve"> </w:t>
      </w:r>
      <w:r>
        <w:t xml:space="preserve">graders scan hardest for AI patterns. A senior contact at Ethnos Cyber (your</w:t>
      </w:r>
      <w:r>
        <w:t xml:space="preserve"> </w:t>
      </w:r>
      <w:r>
        <w:t xml:space="preserve">cohort’s sponsor) asks you to forward your findings privately, ahead of the</w:t>
      </w:r>
      <w:r>
        <w:t xml:space="preserve"> </w:t>
      </w:r>
      <w:r>
        <w:t xml:space="preserve">Sankofa board briefing. Cover: who you consult before deciding; what you will</w:t>
      </w:r>
      <w:r>
        <w:t xml:space="preserve"> </w:t>
      </w:r>
      <w:r>
        <w:t xml:space="preserve">and will not share, and why; how you weigh loyalty to the sponsor against your</w:t>
      </w:r>
      <w:r>
        <w:t xml:space="preserve"> </w:t>
      </w:r>
      <w:r>
        <w:t xml:space="preserve">obligations to Sankofa; and one action you take regardless of what your manager</w:t>
      </w:r>
      <w:r>
        <w:t xml:space="preserve"> </w:t>
      </w:r>
      <w:r>
        <w:t xml:space="preserve">says. Cite at least one ISC2 Code of Ethics canon</w:t>
      </w:r>
      <w:r>
        <w:t xml:space="preserve"> </w:t>
      </w:r>
      <w:r>
        <w:rPr>
          <w:b/>
          <w:bCs/>
        </w:rPr>
        <w:t xml:space="preserve">by number</w:t>
      </w:r>
      <w:r>
        <w:t xml:space="preserve">.</w:t>
      </w:r>
    </w:p>
    <w:p>
      <w:pPr>
        <w:pStyle w:val="FirstParagraph"/>
      </w:pPr>
      <w:r>
        <w:t xml:space="preserve">[ Your stance — 300–500 words, in your own voice ]</w:t>
      </w:r>
    </w:p>
    <w:p>
      <w:pPr>
        <w:pStyle w:val="BodyText"/>
      </w:pPr>
      <w:r>
        <w:rPr>
          <w:b/>
          <w:bCs/>
        </w:rPr>
        <w:t xml:space="preserve">ISC2 canon cited:</w:t>
      </w:r>
      <w:r>
        <w:t xml:space="preserve"> </w:t>
      </w:r>
      <w:r>
        <w:t xml:space="preserve">[ Canon … ]</w:t>
      </w:r>
    </w:p>
    <w:p>
      <w:r>
        <w:pict>
          <v:rect style="width:0;height:1.5pt" o:hralign="center" o:hrstd="t" o:hr="t"/>
        </w:pict>
      </w:r>
    </w:p>
    <w:bookmarkStart w:id="12" w:name="before-you-submit-quick-checklist"/>
    <w:p>
      <w:pPr>
        <w:pStyle w:val="Heading3"/>
      </w:pPr>
      <w:r>
        <w:t xml:space="preserve">Before you submit — quick checklist</w:t>
      </w:r>
    </w:p>
    <w:p>
      <w:pPr>
        <w:pStyle w:val="Compact"/>
        <w:numPr>
          <w:ilvl w:val="0"/>
          <w:numId w:val="1004"/>
        </w:numPr>
      </w:pPr>
      <w:r>
        <w:t xml:space="preserve">Header filled in (name + intern ID) on page 1</w:t>
      </w:r>
    </w:p>
    <w:p>
      <w:pPr>
        <w:pStyle w:val="Compact"/>
        <w:numPr>
          <w:ilvl w:val="0"/>
          <w:numId w:val="1005"/>
        </w:numPr>
      </w:pPr>
      <w:r>
        <w:t xml:space="preserve">Every D1 finding cites an artefact file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an external standard by section number</w:t>
      </w:r>
    </w:p>
    <w:p>
      <w:pPr>
        <w:pStyle w:val="Compact"/>
        <w:numPr>
          <w:ilvl w:val="0"/>
          <w:numId w:val="1006"/>
        </w:numPr>
      </w:pPr>
      <w:r>
        <w:t xml:space="preserve">D2 shows the method and the intermediate layers, not just the plaintext</w:t>
      </w:r>
    </w:p>
    <w:p>
      <w:pPr>
        <w:pStyle w:val="Compact"/>
        <w:numPr>
          <w:ilvl w:val="0"/>
          <w:numId w:val="1007"/>
        </w:numPr>
      </w:pPr>
      <w:r>
        <w:t xml:space="preserve">Each D3 control maps to at least two D1 findings</w:t>
      </w:r>
    </w:p>
    <w:p>
      <w:pPr>
        <w:pStyle w:val="Compact"/>
        <w:numPr>
          <w:ilvl w:val="0"/>
          <w:numId w:val="1008"/>
        </w:numPr>
      </w:pPr>
      <w:r>
        <w:t xml:space="preserve">D4 is 300–500 words, in your own voice, with an ISC2 canon cited by number</w:t>
      </w:r>
    </w:p>
    <w:p>
      <w:pPr>
        <w:pStyle w:val="Compact"/>
        <w:numPr>
          <w:ilvl w:val="0"/>
          <w:numId w:val="1009"/>
        </w:numPr>
      </w:pPr>
      <w:r>
        <w:t xml:space="preserve">All instruction lines and</w:t>
      </w:r>
      <w:r>
        <w:t xml:space="preserve"> </w:t>
      </w:r>
      <w:r>
        <w:rPr>
          <w:rStyle w:val="VerbatimChar"/>
        </w:rPr>
        <w:t xml:space="preserve">[ bracketed prompts ]</w:t>
      </w:r>
      <w:r>
        <w:t xml:space="preserve"> </w:t>
      </w:r>
      <w:r>
        <w:t xml:space="preserve">deleted</w:t>
      </w:r>
    </w:p>
    <w:p>
      <w:pPr>
        <w:pStyle w:val="Compact"/>
        <w:numPr>
          <w:ilvl w:val="0"/>
          <w:numId w:val="1010"/>
        </w:numPr>
      </w:pPr>
      <w:r>
        <w:t xml:space="preserve">Folder (and every file inside it) shared as</w:t>
      </w:r>
      <w:r>
        <w:t xml:space="preserve"> </w:t>
      </w:r>
      <w:r>
        <w:rPr>
          <w:b/>
          <w:bCs/>
        </w:rPr>
        <w:t xml:space="preserve">anyone with the link can view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2026-06-10T16:40:16Z</dcterms:created>
  <dcterms:modified xsi:type="dcterms:W3CDTF">2026-06-10T16:40:16Z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