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0 Capstone</w:t>
      </w:r>
    </w:p>
    <w:p>
      <w:pPr>
        <w:pStyle w:val="BodyText"/>
      </w:pPr>
      <w:r>
        <w:rPr>
          <w:i/>
          <w:iCs/>
        </w:rPr>
        <w:t xml:space="preserve">Editable template — Deliverable 2 of 4. Target length: 3–5 pages. Edit in Google Docs or Word. Replace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[BRACKETED]</w:t>
      </w:r>
      <w:r>
        <w:rPr>
          <w:i/>
          <w:iCs/>
        </w:rPr>
        <w:t xml:space="preserve"> </w:t>
      </w:r>
      <w:r>
        <w:rPr>
          <w:i/>
          <w:iCs/>
        </w:rPr>
        <w:t xml:space="preserve">prompt with your own writing. Remove every prompt and every italic guidance line before submission.</w:t>
      </w:r>
    </w:p>
    <w:p>
      <w:r>
        <w:pict>
          <v:rect style="width:0;height:1.5pt" o:hralign="center" o:hrstd="t" o:hr="t"/>
        </w:pict>
      </w:r>
    </w:p>
    <w:bookmarkStart w:id="10" w:name="X2b27ca8c3da3e2fa86bc9dd8d8262d1af720364"/>
    <w:p>
      <w:pPr>
        <w:pStyle w:val="Heading1"/>
      </w:pPr>
      <w:r>
        <w:t xml:space="preserve">Deliverable 2 — Tier-1 dismissal pattern analysis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start writing:</w:t>
      </w:r>
    </w:p>
    <w:p>
      <w:pPr>
        <w:pStyle w:val="Compact"/>
        <w:numPr>
          <w:ilvl w:val="0"/>
          <w:numId w:val="1001"/>
        </w:numPr>
      </w:pPr>
      <w:r>
        <w:t xml:space="preserve">Have you finished D1? D2 builds on rows from your D1 table — write D1 first.</w:t>
      </w:r>
    </w:p>
    <w:p>
      <w:pPr>
        <w:pStyle w:val="Compact"/>
        <w:numPr>
          <w:ilvl w:val="0"/>
          <w:numId w:val="1001"/>
        </w:numPr>
      </w:pPr>
      <w:r>
        <w:t xml:space="preserve">Have you opened</w:t>
      </w:r>
      <w:r>
        <w:t xml:space="preserve"> </w:t>
      </w:r>
      <w:r>
        <w:rPr>
          <w:rStyle w:val="VerbatimChar"/>
        </w:rPr>
        <w:t xml:space="preserve">tier-1-ticket-history.csv</w:t>
      </w:r>
      <w:r>
        <w:t xml:space="preserve"> </w:t>
      </w:r>
      <w:r>
        <w:t xml:space="preserve">in a spreadsheet tool and sorted by</w:t>
      </w:r>
      <w:r>
        <w:t xml:space="preserve"> </w:t>
      </w:r>
      <w:r>
        <w:rPr>
          <w:rStyle w:val="VerbatimChar"/>
        </w:rPr>
        <w:t xml:space="preserve">closed_by</w:t>
      </w:r>
      <w:r>
        <w:t xml:space="preserve"> </w:t>
      </w:r>
      <w:r>
        <w:t xml:space="preserve">column?</w:t>
      </w:r>
    </w:p>
    <w:p>
      <w:pPr>
        <w:pStyle w:val="Compact"/>
        <w:numPr>
          <w:ilvl w:val="0"/>
          <w:numId w:val="1001"/>
        </w:numPr>
      </w:pPr>
      <w:r>
        <w:t xml:space="preserve">Do you know which Tier-1 analyst closed the most MEDIUM+ tickets in Q2?</w:t>
      </w:r>
    </w:p>
    <w:p>
      <w:pPr>
        <w:pStyle w:val="Compact"/>
        <w:numPr>
          <w:ilvl w:val="0"/>
          <w:numId w:val="1001"/>
        </w:numPr>
      </w:pPr>
      <w:r>
        <w:t xml:space="preserve">Have you located the ticket Tunde Afolabi escalated (the break-point)?</w:t>
      </w:r>
    </w:p>
    <w:p>
      <w:pPr>
        <w:pStyle w:val="Compact"/>
        <w:numPr>
          <w:ilvl w:val="0"/>
          <w:numId w:val="1001"/>
        </w:numPr>
      </w:pPr>
      <w:r>
        <w:t xml:space="preserve">If any answer is no, close this template and finish that work first.</w:t>
      </w:r>
    </w:p>
    <w:p>
      <w:r>
        <w:pict>
          <v:rect style="width:0;height:1.5pt" o:hralign="center" o:hrstd="t" o:hr="t"/>
        </w:pict>
      </w:r>
    </w:p>
    <w:bookmarkStart w:id="9" w:name="page-1-title-and-the-pattern"/>
    <w:p>
      <w:pPr>
        <w:pStyle w:val="Heading2"/>
      </w:pPr>
      <w:r>
        <w:t xml:space="preserve">── Page 1 — Title and the pattern ──</w:t>
      </w:r>
    </w:p>
    <w:bookmarkEnd w:id="9"/>
    <w:bookmarkEnd w:id="10"/>
    <w:bookmarkStart w:id="25" w:name="stage-0-capstone-deliverable-2"/>
    <w:p>
      <w:pPr>
        <w:pStyle w:val="Heading1"/>
      </w:pPr>
      <w:r>
        <w:t xml:space="preserve">Stage 0 Capstone · Deliverable 2</w:t>
      </w:r>
    </w:p>
    <w:bookmarkStart w:id="13" w:name="tier-1-dismissal-pattern-analysis"/>
    <w:p>
      <w:pPr>
        <w:pStyle w:val="Heading2"/>
      </w:pPr>
      <w:r>
        <w:t xml:space="preserve">Tier-1 dismissal pattern analysis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[Your full name]</w:t>
      </w:r>
      <w:r>
        <w:t xml:space="preserve"> </w:t>
      </w:r>
      <w:r>
        <w:rPr>
          <w:b/>
          <w:bCs/>
        </w:rPr>
        <w:t xml:space="preserve">Intern code:</w:t>
      </w:r>
      <w:r>
        <w:t xml:space="preserve"> </w:t>
      </w:r>
      <w:r>
        <w:t xml:space="preserve">[UBI-2026-####]</w:t>
      </w:r>
      <w:r>
        <w:t xml:space="preserve"> </w:t>
      </w:r>
      <w:r>
        <w:rPr>
          <w:b/>
          <w:bCs/>
        </w:rPr>
        <w:t xml:space="preserve">Date completed:</w:t>
      </w:r>
      <w:r>
        <w:t xml:space="preserve"> </w:t>
      </w:r>
      <w:r>
        <w:t xml:space="preserve">[DD Month 2026]</w:t>
      </w:r>
      <w:r>
        <w:t xml:space="preserve"> </w:t>
      </w:r>
      <w:r>
        <w:rPr>
          <w:b/>
          <w:bCs/>
        </w:rPr>
        <w:t xml:space="preserve">Programme:</w:t>
      </w:r>
      <w:r>
        <w:t xml:space="preserve"> </w:t>
      </w:r>
      <w:r>
        <w:t xml:space="preserve">Ubuntu Bridge Initiative · Cybersecurity Internship · Cohort 1</w:t>
      </w:r>
      <w:r>
        <w:t xml:space="preserve"> </w:t>
      </w:r>
      <w:r>
        <w:rPr>
          <w:b/>
          <w:bCs/>
        </w:rPr>
        <w:t xml:space="preserve">Stage:</w:t>
      </w:r>
      <w:r>
        <w:t xml:space="preserve"> </w:t>
      </w:r>
      <w:r>
        <w:t xml:space="preserve">0 · Induction at the Gate</w:t>
      </w:r>
    </w:p>
    <w:p>
      <w:r>
        <w:pict>
          <v:rect style="width:0;height:1.5pt" o:hralign="center" o:hrstd="t" o:hr="t"/>
        </w:pict>
      </w:r>
    </w:p>
    <w:bookmarkStart w:id="11" w:name="the-pattern"/>
    <w:p>
      <w:pPr>
        <w:pStyle w:val="Heading3"/>
      </w:pPr>
      <w:r>
        <w:t xml:space="preserve">The pattern</w:t>
      </w:r>
    </w:p>
    <w:p>
      <w:pPr>
        <w:pStyle w:val="FirstParagraph"/>
      </w:pPr>
      <w:r>
        <w:t xml:space="preserve">[Replace this with ONE sentence stating the pattern specifically. Specific = good. Generic = bad.</w:t>
      </w:r>
    </w:p>
    <w:p>
      <w:pPr>
        <w:pStyle w:val="BodyText"/>
      </w:pPr>
      <w:r>
        <w:rPr>
          <w:b/>
          <w:bCs/>
        </w:rPr>
        <w:t xml:space="preserve">Acceptable example shape:</w:t>
      </w:r>
      <w:r>
        <w:t xml:space="preserve"> </w:t>
      </w:r>
      <w:r>
        <w:t xml:space="preserve">“Single-analyst dismissal of MEDIUM+ auto-tickets as</w:t>
      </w:r>
      <w:r>
        <w:t xml:space="preserve"> </w:t>
      </w:r>
      <w:r>
        <w:rPr>
          <w:rStyle w:val="VerbatimChar"/>
        </w:rPr>
        <w:t xml:space="preserve">resolved-by-reference</w:t>
      </w:r>
      <w:r>
        <w:t xml:space="preserve"> </w:t>
      </w:r>
      <w:r>
        <w:t xml:space="preserve">without cross-correlation against the prior 7 days of alerts.”</w:t>
      </w:r>
    </w:p>
    <w:p>
      <w:pPr>
        <w:pStyle w:val="BodyText"/>
      </w:pPr>
      <w:r>
        <w:rPr>
          <w:b/>
          <w:bCs/>
        </w:rPr>
        <w:t xml:space="preserve">Unacceptable shapes — do NOT write any of these:</w:t>
      </w:r>
      <w:r>
        <w:t xml:space="preserve"> </w:t>
      </w:r>
      <w:r>
        <w:t xml:space="preserve">-</w:t>
      </w:r>
      <w:r>
        <w:t xml:space="preserve"> </w:t>
      </w:r>
      <w:r>
        <w:t xml:space="preserve">“Bad triage.”</w:t>
      </w:r>
      <w:r>
        <w:t xml:space="preserve"> </w:t>
      </w:r>
      <w:r>
        <w:t xml:space="preserve">-</w:t>
      </w:r>
      <w:r>
        <w:t xml:space="preserve"> </w:t>
      </w:r>
      <w:r>
        <w:t xml:space="preserve">“Tier-1 was overloaded.”</w:t>
      </w:r>
      <w:r>
        <w:t xml:space="preserve"> </w:t>
      </w:r>
      <w:r>
        <w:t xml:space="preserve">-</w:t>
      </w:r>
      <w:r>
        <w:t xml:space="preserve"> </w:t>
      </w:r>
      <w:r>
        <w:t xml:space="preserve">“The analyst made mistakes.”</w:t>
      </w:r>
    </w:p>
    <w:p>
      <w:pPr>
        <w:pStyle w:val="BodyText"/>
      </w:pPr>
      <w:r>
        <w:t xml:space="preserve">Your pattern statement must name (a) the structural failure, (b) the disposition vocabulary the failure hid behind, and (c) the missing cross-check.]</w:t>
      </w:r>
    </w:p>
    <w:bookmarkEnd w:id="11"/>
    <w:bookmarkStart w:id="12" w:name="tickets-that-prove-the-pattern"/>
    <w:p>
      <w:pPr>
        <w:pStyle w:val="Heading3"/>
      </w:pPr>
      <w:r>
        <w:t xml:space="preserve">Tickets that prove the pattern</w:t>
      </w:r>
    </w:p>
    <w:p>
      <w:pPr>
        <w:pStyle w:val="FirstParagraph"/>
      </w:pPr>
      <w:r>
        <w:t xml:space="preserve">You must cite at least four ticket IDs, including SD-40812. Quote the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columns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tier-1-ticket-history.csv</w:t>
      </w:r>
      <w:r>
        <w:t xml:space="preserve">. Paraphrasing in this section costs points and is a strong AI-use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SD-40812.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 from CSV]</w:t>
      </w:r>
      <w:r>
        <w:t xml:space="preserve">; notes=</w:t>
      </w:r>
      <w:r>
        <w:rPr>
          <w:rStyle w:val="VerbatimChar"/>
        </w:rPr>
        <w:t xml:space="preserve">"[verbatim from CSV]"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SD-[####].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[verbatim]</w:t>
      </w:r>
      <w:r>
        <w:t xml:space="preserve">; notes=</w:t>
      </w:r>
      <w:r>
        <w:rPr>
          <w:rStyle w:val="VerbatimChar"/>
        </w:rPr>
        <w:t xml:space="preserve">"[verbatim]"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SD-[####].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[verbatim]</w:t>
      </w:r>
      <w:r>
        <w:t xml:space="preserve">; notes=</w:t>
      </w:r>
      <w:r>
        <w:rPr>
          <w:rStyle w:val="VerbatimChar"/>
        </w:rPr>
        <w:t xml:space="preserve">"[verbatim]"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SD-[####].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[verbatim]</w:t>
      </w:r>
      <w:r>
        <w:t xml:space="preserve">; notes=</w:t>
      </w:r>
      <w:r>
        <w:rPr>
          <w:rStyle w:val="VerbatimChar"/>
        </w:rPr>
        <w:t xml:space="preserve">"[verbatim]"</w:t>
      </w:r>
    </w:p>
    <w:p>
      <w:pPr>
        <w:pStyle w:val="FirstParagraph"/>
      </w:pPr>
      <w:r>
        <w:rPr>
          <w:i/>
          <w:iCs/>
        </w:rPr>
        <w:t xml:space="preserve">Add more ticket IDs if your analysis surfaced them. Four is the minimum.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move to page 2, confirm:</w:t>
      </w:r>
    </w:p>
    <w:p>
      <w:pPr>
        <w:pStyle w:val="Compact"/>
        <w:numPr>
          <w:ilvl w:val="0"/>
          <w:numId w:val="1003"/>
        </w:numPr>
      </w:pPr>
      <w:r>
        <w:t xml:space="preserve">Title block is complete.</w:t>
      </w:r>
    </w:p>
    <w:p>
      <w:pPr>
        <w:pStyle w:val="Compact"/>
        <w:numPr>
          <w:ilvl w:val="0"/>
          <w:numId w:val="1004"/>
        </w:numPr>
      </w:pPr>
      <w:r>
        <w:t xml:space="preserve">Pattern statement is ONE sentence, specific, naming both the disposition and the missing check.</w:t>
      </w:r>
    </w:p>
    <w:p>
      <w:pPr>
        <w:pStyle w:val="Compact"/>
        <w:numPr>
          <w:ilvl w:val="0"/>
          <w:numId w:val="1005"/>
        </w:numPr>
      </w:pPr>
      <w:r>
        <w:t xml:space="preserve">At least four ticket IDs are cited.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disposition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columns are quoted</w:t>
      </w:r>
      <w:r>
        <w:t xml:space="preserve"> </w:t>
      </w:r>
      <w:r>
        <w:rPr>
          <w:b/>
          <w:bCs/>
        </w:rPr>
        <w:t xml:space="preserve">word-for-word</w:t>
      </w:r>
      <w:r>
        <w:t xml:space="preserve"> </w:t>
      </w:r>
      <w:r>
        <w:t xml:space="preserve">from the CSV.</w:t>
      </w:r>
    </w:p>
    <w:p>
      <w:pPr>
        <w:pStyle w:val="Compact"/>
        <w:numPr>
          <w:ilvl w:val="0"/>
          <w:numId w:val="100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remain.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ages-23-per-ticket-walkthrough"/>
    <w:p>
      <w:pPr>
        <w:pStyle w:val="Heading2"/>
      </w:pPr>
      <w:r>
        <w:t xml:space="preserve">── Pages 2–3 — Per-ticket walkthrough ──</w:t>
      </w:r>
    </w:p>
    <w:p>
      <w:pPr>
        <w:pStyle w:val="FirstParagraph"/>
      </w:pPr>
      <w:r>
        <w:t xml:space="preserve">For each ticket cited on page 1, write the four-field block below. Repeat the block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cited ticket.</w:t>
      </w:r>
    </w:p>
    <w:bookmarkStart w:id="14" w:name="ticket-id-e.g.-sd-40812"/>
    <w:p>
      <w:pPr>
        <w:pStyle w:val="Heading3"/>
      </w:pPr>
      <w:r>
        <w:t xml:space="preserve">[Ticket ID — e.g. SD-40812]</w:t>
      </w:r>
    </w:p>
    <w:p>
      <w:pPr>
        <w:pStyle w:val="FirstParagraph"/>
      </w:pPr>
      <w:r>
        <w:rPr>
          <w:b/>
          <w:bCs/>
        </w:rPr>
        <w:t xml:space="preserve">What the SIEM raised.</w:t>
      </w:r>
      <w:r>
        <w:t xml:space="preserve"> </w:t>
      </w:r>
      <w:r>
        <w:t xml:space="preserve">[One sentence describing the alert that fired. Be specific to what the SIEM rule was watching for — e.g.,</w:t>
      </w:r>
      <w:r>
        <w:t xml:space="preserve"> </w:t>
      </w:r>
      <w:r>
        <w:t xml:space="preserve">“publickey acceptance from an IP not in the documented vendor range”</w:t>
      </w:r>
      <w:r>
        <w:t xml:space="preserve"> </w:t>
      </w:r>
      <w:r>
        <w:t xml:space="preserve">— not just</w:t>
      </w:r>
      <w:r>
        <w:t xml:space="preserve"> </w:t>
      </w:r>
      <w:r>
        <w:t xml:space="preserve">“suspicious login”</w:t>
      </w:r>
      <w:r>
        <w:t xml:space="preserve">.]</w:t>
      </w:r>
    </w:p>
    <w:p>
      <w:pPr>
        <w:pStyle w:val="BodyText"/>
      </w:pPr>
      <w:r>
        <w:rPr>
          <w:b/>
          <w:bCs/>
        </w:rPr>
        <w:t xml:space="preserve">Dismissal.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 from CSV]</w:t>
      </w:r>
      <w:r>
        <w:t xml:space="preserve">; notes=</w:t>
      </w:r>
      <w:r>
        <w:rPr>
          <w:rStyle w:val="VerbatimChar"/>
        </w:rPr>
        <w:t xml:space="preserve">"[verbatim from CSV]"</w:t>
      </w:r>
    </w:p>
    <w:p>
      <w:pPr>
        <w:pStyle w:val="BodyText"/>
      </w:pPr>
      <w:r>
        <w:rPr>
          <w:b/>
          <w:bCs/>
        </w:rPr>
        <w:t xml:space="preserve">What was missed.</w:t>
      </w:r>
      <w:r>
        <w:t xml:space="preserve"> </w:t>
      </w:r>
      <w:r>
        <w:t xml:space="preserve">[Specific reference to another file, ticket, row, or log line that, if checked, would have escalated this ticket. Cite the file or ticket ID precisely. Example shape:</w:t>
      </w:r>
      <w:r>
        <w:t xml:space="preserve"> </w:t>
      </w:r>
      <w:r>
        <w:t xml:space="preserve">“If the analyst had cross-referenced this against</w:t>
      </w:r>
      <w:r>
        <w:t xml:space="preserve"> </w:t>
      </w:r>
      <w:r>
        <w:rPr>
          <w:rStyle w:val="VerbatimChar"/>
        </w:rPr>
        <w:t xml:space="preserve">sankofa-roster.csv</w:t>
      </w:r>
      <w:r>
        <w:t xml:space="preserve"> </w:t>
      </w:r>
      <w:r>
        <w:t xml:space="preserve">row X, they would have seen that the account had been offboarded N days earlier — which the SIEM rule does not auto-correlate.”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What it cost Sankofa.</w:t>
      </w:r>
      <w:r>
        <w:t xml:space="preserve"> </w:t>
      </w:r>
      <w:r>
        <w:t xml:space="preserve">[One concrete consequence. Not</w:t>
      </w:r>
      <w:r>
        <w:t xml:space="preserve"> </w:t>
      </w:r>
      <w:r>
        <w:t xml:space="preserve">“increased risk”</w:t>
      </w:r>
      <w:r>
        <w:t xml:space="preserve"> </w:t>
      </w:r>
      <w:r>
        <w:t xml:space="preserve">— something specific. Example shape:</w:t>
      </w:r>
      <w:r>
        <w:t xml:space="preserve"> </w:t>
      </w:r>
      <w:r>
        <w:t xml:space="preserve">“The attacker returned 25 hours later from the same IP without any new SIEM rule firing; if this ticket had been escalated, the SD-40835 alert would have inherited the prior context and triggered a manual review.”</w:t>
      </w:r>
      <w:r>
        <w:t xml:space="preserve">]</w:t>
      </w:r>
    </w:p>
    <w:bookmarkEnd w:id="14"/>
    <w:bookmarkStart w:id="15" w:name="ticket-id-second-one"/>
    <w:p>
      <w:pPr>
        <w:pStyle w:val="Heading3"/>
      </w:pPr>
      <w:r>
        <w:t xml:space="preserve">[Ticket ID — second one]</w:t>
      </w:r>
    </w:p>
    <w:p>
      <w:pPr>
        <w:pStyle w:val="FirstParagraph"/>
      </w:pPr>
      <w:r>
        <w:rPr>
          <w:b/>
          <w:bCs/>
        </w:rPr>
        <w:t xml:space="preserve">What the SIEM raised.</w:t>
      </w:r>
      <w:r>
        <w:t xml:space="preserve"> </w:t>
      </w:r>
      <w:r>
        <w:t xml:space="preserve">[…]</w:t>
      </w:r>
    </w:p>
    <w:p>
      <w:pPr>
        <w:pStyle w:val="BodyText"/>
      </w:pPr>
      <w:r>
        <w:rPr>
          <w:b/>
          <w:bCs/>
        </w:rPr>
        <w:t xml:space="preserve">Dismissal.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[verbatim]</w:t>
      </w:r>
      <w:r>
        <w:t xml:space="preserve">; notes=</w:t>
      </w:r>
      <w:r>
        <w:rPr>
          <w:rStyle w:val="VerbatimChar"/>
        </w:rPr>
        <w:t xml:space="preserve">"[verbatim]"</w:t>
      </w:r>
    </w:p>
    <w:p>
      <w:pPr>
        <w:pStyle w:val="BodyText"/>
      </w:pPr>
      <w:r>
        <w:rPr>
          <w:b/>
          <w:bCs/>
        </w:rPr>
        <w:t xml:space="preserve">What was missed.</w:t>
      </w:r>
      <w:r>
        <w:t xml:space="preserve"> </w:t>
      </w:r>
      <w:r>
        <w:t xml:space="preserve">[…]</w:t>
      </w:r>
    </w:p>
    <w:p>
      <w:pPr>
        <w:pStyle w:val="BodyText"/>
      </w:pPr>
      <w:r>
        <w:rPr>
          <w:b/>
          <w:bCs/>
        </w:rPr>
        <w:t xml:space="preserve">What it cost Sankofa.</w:t>
      </w:r>
      <w:r>
        <w:t xml:space="preserve"> </w:t>
      </w:r>
      <w:r>
        <w:t xml:space="preserve">[…]</w:t>
      </w:r>
    </w:p>
    <w:bookmarkEnd w:id="15"/>
    <w:bookmarkStart w:id="16" w:name="ticket-id-third-one"/>
    <w:p>
      <w:pPr>
        <w:pStyle w:val="Heading3"/>
      </w:pPr>
      <w:r>
        <w:t xml:space="preserve">[Ticket ID — third one]</w:t>
      </w:r>
    </w:p>
    <w:p>
      <w:pPr>
        <w:pStyle w:val="FirstParagraph"/>
      </w:pPr>
      <w:r>
        <w:rPr>
          <w:b/>
          <w:bCs/>
        </w:rPr>
        <w:t xml:space="preserve">What the SIEM raised.</w:t>
      </w:r>
      <w:r>
        <w:t xml:space="preserve"> </w:t>
      </w:r>
      <w:r>
        <w:t xml:space="preserve">[…]</w:t>
      </w:r>
    </w:p>
    <w:p>
      <w:pPr>
        <w:pStyle w:val="BodyText"/>
      </w:pPr>
      <w:r>
        <w:rPr>
          <w:b/>
          <w:bCs/>
        </w:rPr>
        <w:t xml:space="preserve">Dismissal.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[verbatim]</w:t>
      </w:r>
      <w:r>
        <w:t xml:space="preserve">; notes=</w:t>
      </w:r>
      <w:r>
        <w:rPr>
          <w:rStyle w:val="VerbatimChar"/>
        </w:rPr>
        <w:t xml:space="preserve">"[verbatim]"</w:t>
      </w:r>
    </w:p>
    <w:p>
      <w:pPr>
        <w:pStyle w:val="BodyText"/>
      </w:pPr>
      <w:r>
        <w:rPr>
          <w:b/>
          <w:bCs/>
        </w:rPr>
        <w:t xml:space="preserve">What was missed.</w:t>
      </w:r>
      <w:r>
        <w:t xml:space="preserve"> </w:t>
      </w:r>
      <w:r>
        <w:t xml:space="preserve">[…]</w:t>
      </w:r>
    </w:p>
    <w:p>
      <w:pPr>
        <w:pStyle w:val="BodyText"/>
      </w:pPr>
      <w:r>
        <w:rPr>
          <w:b/>
          <w:bCs/>
        </w:rPr>
        <w:t xml:space="preserve">What it cost Sankofa.</w:t>
      </w:r>
      <w:r>
        <w:t xml:space="preserve"> </w:t>
      </w:r>
      <w:r>
        <w:t xml:space="preserve">[…]</w:t>
      </w:r>
    </w:p>
    <w:bookmarkEnd w:id="16"/>
    <w:bookmarkStart w:id="17" w:name="ticket-id-fourth-one"/>
    <w:p>
      <w:pPr>
        <w:pStyle w:val="Heading3"/>
      </w:pPr>
      <w:r>
        <w:t xml:space="preserve">[Ticket ID — fourth one]</w:t>
      </w:r>
    </w:p>
    <w:p>
      <w:pPr>
        <w:pStyle w:val="FirstParagraph"/>
      </w:pPr>
      <w:r>
        <w:rPr>
          <w:b/>
          <w:bCs/>
        </w:rPr>
        <w:t xml:space="preserve">What the SIEM raised.</w:t>
      </w:r>
      <w:r>
        <w:t xml:space="preserve"> </w:t>
      </w:r>
      <w:r>
        <w:t xml:space="preserve">[…]</w:t>
      </w:r>
    </w:p>
    <w:p>
      <w:pPr>
        <w:pStyle w:val="BodyText"/>
      </w:pPr>
      <w:r>
        <w:rPr>
          <w:b/>
          <w:bCs/>
        </w:rPr>
        <w:t xml:space="preserve">Dismissal.</w:t>
      </w:r>
      <w:r>
        <w:t xml:space="preserve"> </w:t>
      </w:r>
      <w:r>
        <w:t xml:space="preserve">disposition=</w:t>
      </w:r>
      <w:r>
        <w:rPr>
          <w:rStyle w:val="VerbatimChar"/>
        </w:rPr>
        <w:t xml:space="preserve">[verbatim]</w:t>
      </w:r>
      <w:r>
        <w:t xml:space="preserve">; notes=</w:t>
      </w:r>
      <w:r>
        <w:rPr>
          <w:rStyle w:val="VerbatimChar"/>
        </w:rPr>
        <w:t xml:space="preserve">"[verbatim]"</w:t>
      </w:r>
    </w:p>
    <w:p>
      <w:pPr>
        <w:pStyle w:val="BodyText"/>
      </w:pPr>
      <w:r>
        <w:rPr>
          <w:b/>
          <w:bCs/>
        </w:rPr>
        <w:t xml:space="preserve">What was missed.</w:t>
      </w:r>
      <w:r>
        <w:t xml:space="preserve"> </w:t>
      </w:r>
      <w:r>
        <w:t xml:space="preserve">[…]</w:t>
      </w:r>
    </w:p>
    <w:p>
      <w:pPr>
        <w:pStyle w:val="BodyText"/>
      </w:pPr>
      <w:r>
        <w:rPr>
          <w:b/>
          <w:bCs/>
        </w:rPr>
        <w:t xml:space="preserve">What it cost Sankofa.</w:t>
      </w:r>
      <w:r>
        <w:t xml:space="preserve"> </w:t>
      </w:r>
      <w:r>
        <w:t xml:space="preserve">[…]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move to page 4, confirm:</w:t>
      </w:r>
    </w:p>
    <w:p>
      <w:pPr>
        <w:pStyle w:val="Compact"/>
        <w:numPr>
          <w:ilvl w:val="0"/>
          <w:numId w:val="1008"/>
        </w:numPr>
      </w:pPr>
      <w:r>
        <w:t xml:space="preserve">You have a four-field block for every ticket cited on page 1.</w:t>
      </w:r>
    </w:p>
    <w:p>
      <w:pPr>
        <w:pStyle w:val="Compact"/>
        <w:numPr>
          <w:ilvl w:val="0"/>
          <w:numId w:val="1009"/>
        </w:numPr>
      </w:pPr>
      <w:r>
        <w:t xml:space="preserve">Every dismissal quote is verbatim from the CSV.</w:t>
      </w:r>
    </w:p>
    <w:p>
      <w:pPr>
        <w:pStyle w:val="Compact"/>
        <w:numPr>
          <w:ilvl w:val="0"/>
          <w:numId w:val="1010"/>
        </w:numPr>
      </w:pPr>
      <w:r>
        <w:t xml:space="preserve">“What was missed”</w:t>
      </w:r>
      <w:r>
        <w:t xml:space="preserve"> </w:t>
      </w:r>
      <w:r>
        <w:t xml:space="preserve">cites a specific external source (file, row, ticket, log line) — not an opinion.</w:t>
      </w:r>
    </w:p>
    <w:p>
      <w:pPr>
        <w:pStyle w:val="Compact"/>
        <w:numPr>
          <w:ilvl w:val="0"/>
          <w:numId w:val="1011"/>
        </w:numPr>
      </w:pPr>
      <w:r>
        <w:t xml:space="preserve">“What it cost”</w:t>
      </w:r>
      <w:r>
        <w:t xml:space="preserve"> </w:t>
      </w:r>
      <w:r>
        <w:t xml:space="preserve">is concrete and specific to each ticket, not generic risk language.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age-4-root-cause"/>
    <w:p>
      <w:pPr>
        <w:pStyle w:val="Heading2"/>
      </w:pPr>
      <w:r>
        <w:t xml:space="preserve">── Page 4 — Root cause ──</w:t>
      </w:r>
    </w:p>
    <w:bookmarkStart w:id="19" w:name="X55291a073b359c682c17f8c4490d1dffee5844a"/>
    <w:p>
      <w:pPr>
        <w:pStyle w:val="Heading3"/>
      </w:pPr>
      <w:r>
        <w:t xml:space="preserve">The single-analyst pattern, with column evidence</w:t>
      </w:r>
    </w:p>
    <w:p>
      <w:pPr>
        <w:pStyle w:val="FirstParagraph"/>
      </w:pPr>
      <w:r>
        <w:t xml:space="preserve">[Use the columns of</w:t>
      </w:r>
      <w:r>
        <w:t xml:space="preserve"> </w:t>
      </w:r>
      <w:r>
        <w:rPr>
          <w:rStyle w:val="VerbatimChar"/>
        </w:rPr>
        <w:t xml:space="preserve">tier-1-ticket-history.csv</w:t>
      </w:r>
      <w:r>
        <w:t xml:space="preserve"> </w:t>
      </w:r>
      <w:r>
        <w:t xml:space="preserve">to make the case explicitly. Count the closures:</w:t>
      </w:r>
    </w:p>
    <w:p>
      <w:pPr>
        <w:pStyle w:val="Compact"/>
        <w:numPr>
          <w:ilvl w:val="0"/>
          <w:numId w:val="1012"/>
        </w:numPr>
      </w:pPr>
      <w:r>
        <w:t xml:space="preserve">“Of the N partner-portal auto-tickets opened in Q2 2024, M were closed by the same Tier-1 analyst (column</w:t>
      </w:r>
      <w:r>
        <w:t xml:space="preserve"> </w:t>
      </w:r>
      <w:r>
        <w:rPr>
          <w:rStyle w:val="VerbatimChar"/>
        </w:rPr>
        <w:t xml:space="preserve">closed_by</w:t>
      </w:r>
      <w:r>
        <w:t xml:space="preserve">).”</w:t>
      </w:r>
    </w:p>
    <w:p>
      <w:pPr>
        <w:pStyle w:val="Compact"/>
        <w:numPr>
          <w:ilvl w:val="0"/>
          <w:numId w:val="1012"/>
        </w:numPr>
      </w:pPr>
      <w:r>
        <w:t xml:space="preserve">“Of those M, K used the</w:t>
      </w:r>
      <w:r>
        <w:t xml:space="preserve"> </w:t>
      </w:r>
      <w:r>
        <w:rPr>
          <w:rStyle w:val="VerbatimChar"/>
        </w:rPr>
        <w:t xml:space="preserve">resolved-by-reference</w:t>
      </w:r>
      <w:r>
        <w:t xml:space="preserve"> </w:t>
      </w:r>
      <w:r>
        <w:t xml:space="preserve">disposition (column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).”</w:t>
      </w:r>
    </w:p>
    <w:p>
      <w:pPr>
        <w:pStyle w:val="FirstParagraph"/>
      </w:pPr>
      <w:r>
        <w:t xml:space="preserve">This is your root cause. Say it explicitly. Do not hedge. Reference the columns by name.]</w:t>
      </w:r>
    </w:p>
    <w:bookmarkEnd w:id="19"/>
    <w:bookmarkStart w:id="20" w:name="why-this-matters-operationally"/>
    <w:p>
      <w:pPr>
        <w:pStyle w:val="Heading3"/>
      </w:pPr>
      <w:r>
        <w:t xml:space="preserve">Why this matters operationally</w:t>
      </w:r>
    </w:p>
    <w:p>
      <w:pPr>
        <w:pStyle w:val="FirstParagraph"/>
      </w:pPr>
      <w:r>
        <w:t xml:space="preserve">[~80 words. Explain how single-analyst coverage breaks SIEM triage. The brief mentions Sankofa’s SOC bench size — connect that bench size to the pattern you named on page 1. Two-three sentences.]</w:t>
      </w:r>
    </w:p>
    <w:p>
      <w:pPr>
        <w:pStyle w:val="BodyText"/>
      </w:pPr>
      <w:r>
        <w:rPr>
          <w:i/>
          <w:iCs/>
        </w:rPr>
        <w:t xml:space="preserve">Example shape to adapt:</w:t>
      </w:r>
      <w:r>
        <w:rPr>
          <w:i/>
          <w:iCs/>
        </w:rPr>
        <w:t xml:space="preserve"> </w:t>
      </w:r>
      <w:r>
        <w:rPr>
          <w:i/>
          <w:iCs/>
        </w:rPr>
        <w:t xml:space="preserve">“Sankofa’s SOC bench is four analysts on rotating shifts. Coverage on the high-volume auto-ticket queue collapsed to a single rotation slot during the breach window because [reason from the evidence pack]. The breach period aligns exactly with the period when [analyst name] held that queue alone, which is why the dismissal pattern was uniform — there was no second pair of eyes.”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Before you move to page 5, confirm:</w:t>
      </w:r>
    </w:p>
    <w:p>
      <w:pPr>
        <w:pStyle w:val="Compact"/>
        <w:numPr>
          <w:ilvl w:val="0"/>
          <w:numId w:val="1013"/>
        </w:numPr>
      </w:pPr>
      <w:r>
        <w:t xml:space="preserve">The root cause uses column counts as evidence — actual numbers, not opinions.</w:t>
      </w:r>
    </w:p>
    <w:p>
      <w:pPr>
        <w:pStyle w:val="Compact"/>
        <w:numPr>
          <w:ilvl w:val="0"/>
          <w:numId w:val="1014"/>
        </w:numPr>
      </w:pPr>
      <w:r>
        <w:t xml:space="preserve">The single-analyst problem is named explicitly.</w:t>
      </w:r>
    </w:p>
    <w:p>
      <w:pPr>
        <w:pStyle w:val="Compact"/>
        <w:numPr>
          <w:ilvl w:val="0"/>
          <w:numId w:val="1015"/>
        </w:numPr>
      </w:pPr>
      <w:r>
        <w:t xml:space="preserve">Sankofa’s SOC bench size is connected to the failure.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age-5-break-point-and-recommendation"/>
    <w:p>
      <w:pPr>
        <w:pStyle w:val="Heading2"/>
      </w:pPr>
      <w:r>
        <w:t xml:space="preserve">── Page 5 — Break-point and recommendation ──</w:t>
      </w:r>
    </w:p>
    <w:bookmarkStart w:id="22" w:name="X41dae5b70c21b9eb6698ad41ad93d3d8ad6e730"/>
    <w:p>
      <w:pPr>
        <w:pStyle w:val="Heading3"/>
      </w:pPr>
      <w:r>
        <w:t xml:space="preserve">The moment the pattern broke — Tunde Afolabi’s escalation (SD-40866)</w:t>
      </w:r>
    </w:p>
    <w:p>
      <w:pPr>
        <w:pStyle w:val="FirstParagraph"/>
      </w:pPr>
      <w:r>
        <w:t xml:space="preserve">[Explain in 2–3 sentences why SD-40866 broke the pattern. What did Tunde do differently? Was it a different analyst closing it, a different disposition vocabulary, a cross-correlation that finally happened? Why did the pattern that hid SD-40812 not work here?]</w:t>
      </w:r>
    </w:p>
    <w:bookmarkEnd w:id="22"/>
    <w:bookmarkStart w:id="23" w:name="one-concrete-procedural-recommendation"/>
    <w:p>
      <w:pPr>
        <w:pStyle w:val="Heading3"/>
      </w:pPr>
      <w:r>
        <w:t xml:space="preserve">One concrete procedural recommendation</w:t>
      </w:r>
    </w:p>
    <w:p>
      <w:pPr>
        <w:pStyle w:val="FirstParagraph"/>
      </w:pPr>
      <w:r>
        <w:t xml:space="preserve">[Write ONE specific procedure change. The test of specificity: another company should be able to read your recommendation and implement it without further interpretation.</w:t>
      </w:r>
    </w:p>
    <w:p>
      <w:pPr>
        <w:pStyle w:val="BodyText"/>
      </w:pPr>
      <w:r>
        <w:rPr>
          <w:b/>
          <w:bCs/>
        </w:rPr>
        <w:t xml:space="preserve">Acceptable shapes:</w:t>
      </w:r>
      <w:r>
        <w:t xml:space="preserve"> </w:t>
      </w:r>
      <w:r>
        <w:t xml:space="preserve">-</w:t>
      </w:r>
      <w:r>
        <w:t xml:space="preserve"> </w:t>
      </w:r>
      <w:r>
        <w:t xml:space="preserve">“Any MEDIUM+ SIEM auto-ticket dismissed as</w:t>
      </w:r>
      <w:r>
        <w:t xml:space="preserve"> </w:t>
      </w:r>
      <w:r>
        <w:rPr>
          <w:rStyle w:val="VerbatimChar"/>
        </w:rPr>
        <w:t xml:space="preserve">resolved-by-reference</w:t>
      </w:r>
      <w:r>
        <w:t xml:space="preserve"> </w:t>
      </w:r>
      <w:r>
        <w:t xml:space="preserve">requires a second analyst’s signature within 4 hours of close.”</w:t>
      </w:r>
      <w:r>
        <w:t xml:space="preserve"> </w:t>
      </w:r>
      <w:r>
        <w:t xml:space="preserve">-</w:t>
      </w:r>
      <w:r>
        <w:t xml:space="preserve"> </w:t>
      </w:r>
      <w:r>
        <w:t xml:space="preserve">“Dual sign-off before close on any ticket where ≥ 2 SIEM rules fired on the same asset in the prior 24 hours.”</w:t>
      </w:r>
      <w:r>
        <w:t xml:space="preserve"> </w:t>
      </w:r>
      <w:r>
        <w:t xml:space="preserve">-</w:t>
      </w:r>
      <w:r>
        <w:t xml:space="preserve"> </w:t>
      </w:r>
      <w:r>
        <w:t xml:space="preserve">“Mandatory cross-check against</w:t>
      </w:r>
      <w:r>
        <w:t xml:space="preserve"> </w:t>
      </w:r>
      <w:r>
        <w:rPr>
          <w:rStyle w:val="VerbatimChar"/>
        </w:rPr>
        <w:t xml:space="preserve">sankofa-roster.csv</w:t>
      </w:r>
      <w:r>
        <w:t xml:space="preserve"> </w:t>
      </w:r>
      <w:r>
        <w:t xml:space="preserve">before any ticket touching an account with status</w:t>
      </w:r>
      <w:r>
        <w:t xml:space="preserve"> </w:t>
      </w:r>
      <w:r>
        <w:t xml:space="preserve">‘offboarded’</w:t>
      </w:r>
      <w:r>
        <w:t xml:space="preserve"> </w:t>
      </w:r>
      <w:r>
        <w:t xml:space="preserve">or</w:t>
      </w:r>
      <w:r>
        <w:t xml:space="preserve"> </w:t>
      </w:r>
      <w:r>
        <w:t xml:space="preserve">‘pending revocation’</w:t>
      </w:r>
      <w:r>
        <w:t xml:space="preserve"> </w:t>
      </w:r>
      <w:r>
        <w:t xml:space="preserve">can be dispositioned.”</w:t>
      </w:r>
    </w:p>
    <w:p>
      <w:pPr>
        <w:pStyle w:val="BodyText"/>
      </w:pPr>
      <w:r>
        <w:rPr>
          <w:b/>
          <w:bCs/>
        </w:rPr>
        <w:t xml:space="preserve">Unacceptable shapes — do NOT write any of these:</w:t>
      </w:r>
      <w:r>
        <w:t xml:space="preserve"> </w:t>
      </w:r>
      <w:r>
        <w:t xml:space="preserve">-</w:t>
      </w:r>
      <w:r>
        <w:t xml:space="preserve"> </w:t>
      </w:r>
      <w:r>
        <w:t xml:space="preserve">“Improve monitoring.”</w:t>
      </w:r>
      <w:r>
        <w:t xml:space="preserve"> </w:t>
      </w:r>
      <w:r>
        <w:t xml:space="preserve">-</w:t>
      </w:r>
      <w:r>
        <w:t xml:space="preserve"> </w:t>
      </w:r>
      <w:r>
        <w:t xml:space="preserve">“Review tickets more carefully.”</w:t>
      </w:r>
      <w:r>
        <w:t xml:space="preserve"> </w:t>
      </w:r>
      <w:r>
        <w:t xml:space="preserve">-</w:t>
      </w:r>
      <w:r>
        <w:t xml:space="preserve"> </w:t>
      </w:r>
      <w:r>
        <w:t xml:space="preserve">“Hire more staff.”</w:t>
      </w:r>
      <w:r>
        <w:t xml:space="preserve"> </w:t>
      </w:r>
      <w:r>
        <w:t xml:space="preserve">-</w:t>
      </w:r>
      <w:r>
        <w:t xml:space="preserve"> </w:t>
      </w:r>
      <w:r>
        <w:t xml:space="preserve">“Introduce more rigorous SOC processes.”</w:t>
      </w:r>
      <w:r>
        <w:t xml:space="preserve"> </w:t>
      </w:r>
      <w:r>
        <w:t xml:space="preserve">-</w:t>
      </w:r>
      <w:r>
        <w:t xml:space="preserve"> </w:t>
      </w:r>
      <w:r>
        <w:t xml:space="preserve">“Provide additional training.”</w:t>
      </w:r>
    </w:p>
    <w:p>
      <w:pPr>
        <w:pStyle w:val="BodyText"/>
      </w:pPr>
      <w:r>
        <w:t xml:space="preserve">Those are not procedures.]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re-submission-checklist-for-d2"/>
    <w:p>
      <w:pPr>
        <w:pStyle w:val="Heading1"/>
      </w:pPr>
      <w:r>
        <w:t xml:space="preserve">Pre-submission checklist for D2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Title block</w:t>
      </w:r>
      <w:r>
        <w:t xml:space="preserve"> </w:t>
      </w:r>
      <w:r>
        <w:t xml:space="preserve">complete.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Pattern statement</w:t>
      </w:r>
      <w:r>
        <w:t xml:space="preserve"> </w:t>
      </w:r>
      <w:r>
        <w:t xml:space="preserve">is one sentence, specific, names the failure and the missing check.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 least four ticket IDs</w:t>
      </w:r>
      <w:r>
        <w:t xml:space="preserve"> </w:t>
      </w:r>
      <w:r>
        <w:t xml:space="preserve">cited (including SD-40812 and SD-40866).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disposition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notes</w:t>
      </w:r>
      <w:r>
        <w:rPr>
          <w:b/>
          <w:bCs/>
        </w:rP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quoted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for every cited ticket.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Four-field walkthrough</w:t>
      </w:r>
      <w:r>
        <w:t xml:space="preserve"> </w:t>
      </w:r>
      <w:r>
        <w:t xml:space="preserve">completed for every cited ticket.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Root cause</w:t>
      </w:r>
      <w:r>
        <w:t xml:space="preserve"> </w:t>
      </w:r>
      <w:r>
        <w:t xml:space="preserve">uses column counts as evidence (actual numbers from the CSV).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SD-40866</w:t>
      </w:r>
      <w:r>
        <w:t xml:space="preserve"> </w:t>
      </w:r>
      <w:r>
        <w:t xml:space="preserve">is explicitly named as the break-point.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Procedural recommendation</w:t>
      </w:r>
      <w:r>
        <w:t xml:space="preserve"> </w:t>
      </w:r>
      <w:r>
        <w:t xml:space="preserve">is specific enough that another company could implement it.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“improve monitoring”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“hire more staff”</w:t>
      </w:r>
      <w:r>
        <w:t xml:space="preserve"> </w:t>
      </w:r>
      <w:r>
        <w:t xml:space="preserve">language anywhere.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[BRACKETED]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is removed.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Every italic guidance line</w:t>
      </w:r>
      <w:r>
        <w:t xml:space="preserve"> </w:t>
      </w:r>
      <w:r>
        <w:t xml:space="preserve">is removed.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File saved as PDF or DOCX.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Page count is 3–5.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File named</w:t>
      </w:r>
      <w:r>
        <w:t xml:space="preserve"> </w:t>
      </w:r>
      <w:r>
        <w:rPr>
          <w:rStyle w:val="VerbatimChar"/>
        </w:rPr>
        <w:t xml:space="preserve">D2-tier-1-dismissal-pattern.pdf</w:t>
      </w:r>
      <w:r>
        <w:t xml:space="preserve"> </w:t>
      </w:r>
      <w:r>
        <w:t xml:space="preserve">(or .docx) for the Drive folder.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i/>
          <w:iCs/>
        </w:rPr>
        <w:t xml:space="preserve">UBI Programme Team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2026-06-03T20:02:20Z</dcterms:created>
  <dcterms:modified xsi:type="dcterms:W3CDTF">2026-06-03T20:02:20Z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